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F3DC" w14:textId="77777777" w:rsidR="001E718D" w:rsidRDefault="00000000">
      <w:pPr>
        <w:pStyle w:val="Heading1"/>
      </w:pPr>
      <w:r>
        <w:t>Essential Academic and Employment Skills: Summary</w:t>
      </w:r>
    </w:p>
    <w:p w14:paraId="7C012858" w14:textId="46D12AF4" w:rsidR="001E718D" w:rsidRDefault="00000000">
      <w:r>
        <w:t>Academic and professional skills are essential for success in both education and the workplace. The ability to communicate, think critically, use information literacy, and manage time are key academic skills</w:t>
      </w:r>
      <w:sdt>
        <w:sdtPr>
          <w:id w:val="-1077677199"/>
          <w:citation/>
        </w:sdtPr>
        <w:sdtContent>
          <w:r w:rsidR="005D64C1">
            <w:fldChar w:fldCharType="begin"/>
          </w:r>
          <w:r w:rsidR="005D64C1">
            <w:rPr>
              <w:lang w:val="en-GB"/>
            </w:rPr>
            <w:instrText xml:space="preserve">CITATION Rac20 \l 2057 </w:instrText>
          </w:r>
          <w:r w:rsidR="005D64C1">
            <w:fldChar w:fldCharType="separate"/>
          </w:r>
          <w:r w:rsidR="005D64C1">
            <w:rPr>
              <w:noProof/>
              <w:lang w:val="en-GB"/>
            </w:rPr>
            <w:t xml:space="preserve"> </w:t>
          </w:r>
          <w:r w:rsidR="005D64C1" w:rsidRPr="005D64C1">
            <w:rPr>
              <w:noProof/>
              <w:lang w:val="en-GB"/>
            </w:rPr>
            <w:t>[1]</w:t>
          </w:r>
          <w:r w:rsidR="005D64C1">
            <w:fldChar w:fldCharType="end"/>
          </w:r>
        </w:sdtContent>
      </w:sdt>
      <w:r>
        <w:t xml:space="preserve">. Strong communication—both written and verbal—supports effective assignment completion, class participation, and collaboration. </w:t>
      </w:r>
    </w:p>
    <w:p w14:paraId="5375A7B0" w14:textId="2C4791C2" w:rsidR="001E718D" w:rsidRDefault="00000000">
      <w:r>
        <w:t xml:space="preserve">Students who use critical thinking can assess evidence, analyze issues, and come up with logical answers. Students who possess information literacy can recognize reliable sources, analyze data, and ethically use information </w:t>
      </w:r>
      <w:sdt>
        <w:sdtPr>
          <w:id w:val="1236286632"/>
          <w:citation/>
        </w:sdtPr>
        <w:sdtContent>
          <w:r w:rsidR="005D64C1">
            <w:fldChar w:fldCharType="begin"/>
          </w:r>
          <w:r w:rsidR="005D64C1">
            <w:rPr>
              <w:lang w:val="en-GB"/>
            </w:rPr>
            <w:instrText xml:space="preserve"> CITATION Edu11 \l 2057 </w:instrText>
          </w:r>
          <w:r w:rsidR="005D64C1">
            <w:fldChar w:fldCharType="separate"/>
          </w:r>
          <w:r w:rsidR="005D64C1" w:rsidRPr="005D64C1">
            <w:rPr>
              <w:noProof/>
              <w:lang w:val="en-GB"/>
            </w:rPr>
            <w:t>[2]</w:t>
          </w:r>
          <w:r w:rsidR="005D64C1">
            <w:fldChar w:fldCharType="end"/>
          </w:r>
        </w:sdtContent>
      </w:sdt>
      <w:r>
        <w:t>. Maintaining productivity, meeting deadlines, and balancing workloads are all made possible by time management.</w:t>
      </w:r>
    </w:p>
    <w:p w14:paraId="63AEDE2E" w14:textId="77777777" w:rsidR="001E718D" w:rsidRDefault="00000000">
      <w:r>
        <w:br/>
        <w:t xml:space="preserve">Employment skills such as teamwork, adaptability, digital literacy, and professionalism are equally important. Teamwork prepares individuals to </w:t>
      </w:r>
      <w:r>
        <w:rPr>
          <w:noProof/>
        </w:rPr>
        <w:drawing>
          <wp:inline distT="114300" distB="114300" distL="114300" distR="114300" wp14:anchorId="4358823C" wp14:editId="3589105D">
            <wp:extent cx="5486400" cy="24384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5486400" cy="2438400"/>
                    </a:xfrm>
                    <a:prstGeom prst="rect">
                      <a:avLst/>
                    </a:prstGeom>
                    <a:ln/>
                  </pic:spPr>
                </pic:pic>
              </a:graphicData>
            </a:graphic>
          </wp:inline>
        </w:drawing>
      </w:r>
    </w:p>
    <w:p w14:paraId="468E8358" w14:textId="3D16E598" w:rsidR="001E718D" w:rsidRDefault="00E65776">
      <w:r>
        <w:t>Figure:</w:t>
      </w:r>
      <w:r w:rsidR="00386519">
        <w:t xml:space="preserve"> Employability skills.</w:t>
      </w:r>
    </w:p>
    <w:p w14:paraId="6451B1BD" w14:textId="77777777" w:rsidR="001E718D" w:rsidRDefault="001E718D"/>
    <w:p w14:paraId="2D1C99A5" w14:textId="7679F2D8" w:rsidR="001E718D" w:rsidRDefault="00000000">
      <w:r>
        <w:t xml:space="preserve">work collaboratively in diverse environments, while adaptability enables them to adjust to changing technologies and workplace expectations </w:t>
      </w:r>
      <w:sdt>
        <w:sdtPr>
          <w:id w:val="-2052374273"/>
          <w:citation/>
        </w:sdtPr>
        <w:sdtContent>
          <w:r w:rsidR="00066CBA">
            <w:fldChar w:fldCharType="begin"/>
          </w:r>
          <w:r w:rsidR="00066CBA">
            <w:rPr>
              <w:lang w:val="en-GB"/>
            </w:rPr>
            <w:instrText xml:space="preserve"> CITATION LHa21 \l 2057 </w:instrText>
          </w:r>
          <w:r w:rsidR="00066CBA">
            <w:fldChar w:fldCharType="separate"/>
          </w:r>
          <w:r w:rsidR="00066CBA" w:rsidRPr="00066CBA">
            <w:rPr>
              <w:noProof/>
              <w:lang w:val="en-GB"/>
            </w:rPr>
            <w:t>[3]</w:t>
          </w:r>
          <w:r w:rsidR="00066CBA">
            <w:fldChar w:fldCharType="end"/>
          </w:r>
        </w:sdtContent>
      </w:sdt>
      <w:r>
        <w:t xml:space="preserve">. </w:t>
      </w:r>
    </w:p>
    <w:p w14:paraId="3D3F1DB1" w14:textId="77777777" w:rsidR="001E718D" w:rsidRDefault="00000000">
      <w:r>
        <w:t>As businesses depend on software tools, communication platforms, and data systems, digital literacy has become crucial for modern jobs.  Professionalism, which includes accountability, dependability, and moral conduct, promotes trust at work and long-term job development.</w:t>
      </w:r>
    </w:p>
    <w:p w14:paraId="3962E578" w14:textId="77777777" w:rsidR="001E718D" w:rsidRDefault="00000000">
      <w:r>
        <w:br/>
      </w:r>
    </w:p>
    <w:p w14:paraId="220A0217" w14:textId="77777777" w:rsidR="001E718D" w:rsidRDefault="00000000">
      <w:r>
        <w:lastRenderedPageBreak/>
        <w:t>Career choice and planning are directly supported by these academic and employment skills. Career paths aligned with individual strengths, including communication skills, analytical thinking, and digital competency, can be identified by understanding personal strengths.</w:t>
      </w:r>
    </w:p>
    <w:p w14:paraId="74FEE97E" w14:textId="287E08ED" w:rsidR="001E718D" w:rsidRDefault="00000000">
      <w:r>
        <w:t>Gaining proficiency in these areas also boosts self-esteem, enhances employability, and expands employment options in a variety of industries</w:t>
      </w:r>
      <w:sdt>
        <w:sdtPr>
          <w:id w:val="-727071289"/>
          <w:citation/>
        </w:sdtPr>
        <w:sdtContent>
          <w:r w:rsidR="00DA7E03">
            <w:fldChar w:fldCharType="begin"/>
          </w:r>
          <w:r w:rsidR="00DA7E03">
            <w:rPr>
              <w:lang w:val="en-GB"/>
            </w:rPr>
            <w:instrText xml:space="preserve"> CITATION PJR20 \l 2057 </w:instrText>
          </w:r>
          <w:r w:rsidR="00DA7E03">
            <w:fldChar w:fldCharType="separate"/>
          </w:r>
          <w:r w:rsidR="00DA7E03">
            <w:rPr>
              <w:noProof/>
              <w:lang w:val="en-GB"/>
            </w:rPr>
            <w:t xml:space="preserve"> </w:t>
          </w:r>
          <w:r w:rsidR="00DA7E03" w:rsidRPr="00DA7E03">
            <w:rPr>
              <w:noProof/>
              <w:lang w:val="en-GB"/>
            </w:rPr>
            <w:t>[4]</w:t>
          </w:r>
          <w:r w:rsidR="00DA7E03">
            <w:fldChar w:fldCharType="end"/>
          </w:r>
        </w:sdtContent>
      </w:sdt>
      <w:r>
        <w:t>.</w:t>
      </w:r>
    </w:p>
    <w:p w14:paraId="72508F5D" w14:textId="77777777" w:rsidR="001E718D" w:rsidRDefault="00000000">
      <w:r>
        <w:t>Ultimately, the combination of academic education and workplace skills equips individuals to make informed career decisions and succeed in a competitive job market.</w:t>
      </w:r>
    </w:p>
    <w:p w14:paraId="439EEF8B" w14:textId="1D81F6D1" w:rsidR="001E718D" w:rsidRDefault="00000000" w:rsidP="00DA7E03">
      <w:pPr>
        <w:pStyle w:val="Heading2"/>
      </w:pPr>
      <w:r>
        <w:t>References (IEEE Styl</w:t>
      </w:r>
      <w:r w:rsidR="00DA7E03">
        <w:t>e):</w:t>
      </w:r>
    </w:p>
    <w:sdt>
      <w:sdtPr>
        <w:rPr>
          <w:rFonts w:ascii="Cambria" w:eastAsia="Cambria" w:hAnsi="Cambria" w:cs="Cambria"/>
          <w:b w:val="0"/>
          <w:bCs w:val="0"/>
          <w:color w:val="auto"/>
          <w:sz w:val="22"/>
          <w:szCs w:val="22"/>
          <w:lang w:val="en-GB"/>
        </w:rPr>
        <w:id w:val="-1933051499"/>
        <w:docPartObj>
          <w:docPartGallery w:val="Bibliographies"/>
          <w:docPartUnique/>
        </w:docPartObj>
      </w:sdtPr>
      <w:sdtEndPr>
        <w:rPr>
          <w:lang w:val="en"/>
        </w:rPr>
      </w:sdtEndPr>
      <w:sdtContent>
        <w:p w14:paraId="38E456AA" w14:textId="1C3F6072" w:rsidR="00DA7E03" w:rsidRDefault="00DA7E03">
          <w:pPr>
            <w:pStyle w:val="Heading1"/>
          </w:pPr>
          <w:r>
            <w:rPr>
              <w:lang w:val="en-GB"/>
            </w:rPr>
            <w:t>References</w:t>
          </w:r>
        </w:p>
        <w:sdt>
          <w:sdtPr>
            <w:id w:val="-573587230"/>
            <w:bibliography/>
          </w:sdtPr>
          <w:sdtContent>
            <w:p w14:paraId="626A6269" w14:textId="77777777" w:rsidR="00DA7E03" w:rsidRDefault="00DA7E03">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
                <w:gridCol w:w="8289"/>
              </w:tblGrid>
              <w:tr w:rsidR="00DA7E03" w14:paraId="0E701E91" w14:textId="77777777">
                <w:trPr>
                  <w:divId w:val="744649008"/>
                  <w:tblCellSpacing w:w="15" w:type="dxa"/>
                </w:trPr>
                <w:tc>
                  <w:tcPr>
                    <w:tcW w:w="50" w:type="pct"/>
                    <w:hideMark/>
                  </w:tcPr>
                  <w:p w14:paraId="6D8C38F0" w14:textId="247CCA52" w:rsidR="00DA7E03" w:rsidRDefault="00DA7E03">
                    <w:pPr>
                      <w:pStyle w:val="Bibliography"/>
                      <w:rPr>
                        <w:noProof/>
                        <w:sz w:val="24"/>
                        <w:szCs w:val="24"/>
                      </w:rPr>
                    </w:pPr>
                    <w:r>
                      <w:rPr>
                        <w:noProof/>
                      </w:rPr>
                      <w:t xml:space="preserve">[1] </w:t>
                    </w:r>
                  </w:p>
                </w:tc>
                <w:tc>
                  <w:tcPr>
                    <w:tcW w:w="0" w:type="auto"/>
                    <w:hideMark/>
                  </w:tcPr>
                  <w:p w14:paraId="37713E4F" w14:textId="77777777" w:rsidR="00DA7E03" w:rsidRDefault="00DA7E03">
                    <w:pPr>
                      <w:pStyle w:val="Bibliography"/>
                      <w:rPr>
                        <w:noProof/>
                      </w:rPr>
                    </w:pPr>
                    <w:r>
                      <w:rPr>
                        <w:noProof/>
                      </w:rPr>
                      <w:t xml:space="preserve">P. Race, The Lecturer’s Toolkit: A Practical Guide to Assessment, Learning and Teaching (5th ed.), London: Routledge, 2020. </w:t>
                    </w:r>
                  </w:p>
                </w:tc>
              </w:tr>
              <w:tr w:rsidR="00DA7E03" w14:paraId="1553DB7D" w14:textId="77777777">
                <w:trPr>
                  <w:divId w:val="744649008"/>
                  <w:tblCellSpacing w:w="15" w:type="dxa"/>
                </w:trPr>
                <w:tc>
                  <w:tcPr>
                    <w:tcW w:w="50" w:type="pct"/>
                    <w:hideMark/>
                  </w:tcPr>
                  <w:p w14:paraId="7E51472F" w14:textId="77777777" w:rsidR="00DA7E03" w:rsidRDefault="00DA7E03">
                    <w:pPr>
                      <w:pStyle w:val="Bibliography"/>
                      <w:rPr>
                        <w:noProof/>
                      </w:rPr>
                    </w:pPr>
                    <w:r>
                      <w:rPr>
                        <w:noProof/>
                      </w:rPr>
                      <w:t xml:space="preserve">[2] </w:t>
                    </w:r>
                  </w:p>
                </w:tc>
                <w:tc>
                  <w:tcPr>
                    <w:tcW w:w="0" w:type="auto"/>
                    <w:hideMark/>
                  </w:tcPr>
                  <w:p w14:paraId="0F24E437" w14:textId="77777777" w:rsidR="00DA7E03" w:rsidRDefault="00DA7E03">
                    <w:pPr>
                      <w:pStyle w:val="Bibliography"/>
                      <w:rPr>
                        <w:noProof/>
                      </w:rPr>
                    </w:pPr>
                    <w:r>
                      <w:rPr>
                        <w:noProof/>
                      </w:rPr>
                      <w:t>U. I. f. I. T. i. Education, “Digital Literacy in Education,” 2011. [Online]. Available: https://iite.unesco.org/publications/3214688/.</w:t>
                    </w:r>
                  </w:p>
                </w:tc>
              </w:tr>
              <w:tr w:rsidR="00DA7E03" w14:paraId="38269A80" w14:textId="77777777">
                <w:trPr>
                  <w:divId w:val="744649008"/>
                  <w:tblCellSpacing w:w="15" w:type="dxa"/>
                </w:trPr>
                <w:tc>
                  <w:tcPr>
                    <w:tcW w:w="50" w:type="pct"/>
                    <w:hideMark/>
                  </w:tcPr>
                  <w:p w14:paraId="4D180527" w14:textId="77777777" w:rsidR="00DA7E03" w:rsidRDefault="00DA7E03">
                    <w:pPr>
                      <w:pStyle w:val="Bibliography"/>
                      <w:rPr>
                        <w:noProof/>
                      </w:rPr>
                    </w:pPr>
                    <w:r>
                      <w:rPr>
                        <w:noProof/>
                      </w:rPr>
                      <w:t xml:space="preserve">[3] </w:t>
                    </w:r>
                  </w:p>
                </w:tc>
                <w:tc>
                  <w:tcPr>
                    <w:tcW w:w="0" w:type="auto"/>
                    <w:hideMark/>
                  </w:tcPr>
                  <w:p w14:paraId="2D8A9298" w14:textId="77777777" w:rsidR="00DA7E03" w:rsidRDefault="00DA7E03">
                    <w:pPr>
                      <w:pStyle w:val="Bibliography"/>
                      <w:rPr>
                        <w:noProof/>
                      </w:rPr>
                    </w:pPr>
                    <w:r>
                      <w:rPr>
                        <w:noProof/>
                      </w:rPr>
                      <w:t xml:space="preserve">L. Harvey, “Quality in Higher Education,” vol. 27, no. 1, pp. 1-15, 2021. </w:t>
                    </w:r>
                  </w:p>
                </w:tc>
              </w:tr>
              <w:tr w:rsidR="00DA7E03" w14:paraId="7D0E0E14" w14:textId="77777777">
                <w:trPr>
                  <w:divId w:val="744649008"/>
                  <w:tblCellSpacing w:w="15" w:type="dxa"/>
                </w:trPr>
                <w:tc>
                  <w:tcPr>
                    <w:tcW w:w="50" w:type="pct"/>
                    <w:hideMark/>
                  </w:tcPr>
                  <w:p w14:paraId="3C01ECB4" w14:textId="77777777" w:rsidR="00DA7E03" w:rsidRDefault="00DA7E03">
                    <w:pPr>
                      <w:pStyle w:val="Bibliography"/>
                      <w:rPr>
                        <w:noProof/>
                      </w:rPr>
                    </w:pPr>
                    <w:r>
                      <w:rPr>
                        <w:noProof/>
                      </w:rPr>
                      <w:t xml:space="preserve">[4] </w:t>
                    </w:r>
                  </w:p>
                </w:tc>
                <w:tc>
                  <w:tcPr>
                    <w:tcW w:w="0" w:type="auto"/>
                    <w:hideMark/>
                  </w:tcPr>
                  <w:p w14:paraId="30E284D1" w14:textId="77777777" w:rsidR="00DA7E03" w:rsidRDefault="00DA7E03">
                    <w:pPr>
                      <w:pStyle w:val="Bibliography"/>
                      <w:rPr>
                        <w:noProof/>
                      </w:rPr>
                    </w:pPr>
                    <w:r>
                      <w:rPr>
                        <w:noProof/>
                      </w:rPr>
                      <w:t xml:space="preserve">T. H. &amp;. P. M. P. J. Robertson, The Oxford Handbook of Career Development, Oxford,UK: Oxford University Press, 2020. </w:t>
                    </w:r>
                  </w:p>
                </w:tc>
              </w:tr>
            </w:tbl>
            <w:p w14:paraId="1F3F1266" w14:textId="77777777" w:rsidR="00DA7E03" w:rsidRDefault="00DA7E03">
              <w:pPr>
                <w:divId w:val="744649008"/>
                <w:rPr>
                  <w:rFonts w:eastAsia="Times New Roman"/>
                  <w:noProof/>
                </w:rPr>
              </w:pPr>
            </w:p>
            <w:p w14:paraId="2ADD86A9" w14:textId="22F7ECAD" w:rsidR="00DA7E03" w:rsidRDefault="00DA7E03">
              <w:r>
                <w:rPr>
                  <w:b/>
                  <w:bCs/>
                </w:rPr>
                <w:fldChar w:fldCharType="end"/>
              </w:r>
            </w:p>
          </w:sdtContent>
        </w:sdt>
      </w:sdtContent>
    </w:sdt>
    <w:p w14:paraId="2BF30769" w14:textId="77777777" w:rsidR="00DA7E03" w:rsidRPr="00DA7E03" w:rsidRDefault="00DA7E03" w:rsidP="00DA7E03"/>
    <w:sectPr w:rsidR="00DA7E03" w:rsidRPr="00DA7E03">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embedRegular r:id="rId1" w:fontKey="{45DA1BBE-8AC0-4C9C-8E30-3AEC563B79FE}"/>
    <w:embedBold r:id="rId2" w:fontKey="{ABCDBE26-10B4-4FAE-84AB-B3053C7E4DA7}"/>
    <w:embedItalic r:id="rId3" w:fontKey="{76EA36F6-C8FC-4695-A6A3-FA63B66836FA}"/>
    <w:embedBoldItalic r:id="rId4" w:fontKey="{17E2975B-B009-46D6-91F7-5CBC05FB0893}"/>
  </w:font>
  <w:font w:name="Calibri">
    <w:panose1 w:val="020F0502020204030204"/>
    <w:charset w:val="00"/>
    <w:family w:val="swiss"/>
    <w:pitch w:val="variable"/>
    <w:sig w:usb0="E4002EFF" w:usb1="C200247B" w:usb2="00000009" w:usb3="00000000" w:csb0="000001FF" w:csb1="00000000"/>
    <w:embedRegular r:id="rId5" w:fontKey="{1B1F8F37-D5EC-4835-8E3E-F678EEA09A21}"/>
    <w:embedBold r:id="rId6" w:fontKey="{39ADE950-AF4D-48C5-9E6A-8A2667A288CA}"/>
    <w:embedItalic r:id="rId7" w:fontKey="{6955C0E4-5292-4B81-BA7D-C7416095D983}"/>
    <w:embedBoldItalic r:id="rId8" w:fontKey="{3F35C4AE-4222-490E-B777-514A70EB0746}"/>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67DB0"/>
    <w:multiLevelType w:val="multilevel"/>
    <w:tmpl w:val="4FA85446"/>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7586724A"/>
    <w:multiLevelType w:val="multilevel"/>
    <w:tmpl w:val="2946E53A"/>
    <w:lvl w:ilvl="0">
      <w:start w:val="1"/>
      <w:numFmt w:val="decimal"/>
      <w:pStyle w:val="ListBullet"/>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786846571">
    <w:abstractNumId w:val="1"/>
  </w:num>
  <w:num w:numId="2" w16cid:durableId="1096368733">
    <w:abstractNumId w:val="0"/>
  </w:num>
  <w:num w:numId="3" w16cid:durableId="7878920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91513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84827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51833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18D"/>
    <w:rsid w:val="0000020E"/>
    <w:rsid w:val="00066CBA"/>
    <w:rsid w:val="001E718D"/>
    <w:rsid w:val="00386519"/>
    <w:rsid w:val="005D64C1"/>
    <w:rsid w:val="005F48A9"/>
    <w:rsid w:val="006A2AF4"/>
    <w:rsid w:val="00845160"/>
    <w:rsid w:val="0091454C"/>
    <w:rsid w:val="00CF4AE5"/>
    <w:rsid w:val="00DA7E03"/>
    <w:rsid w:val="00E65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5FC7F"/>
  <w15:docId w15:val="{0F30E8B1-E91D-4006-8F50-E7CB4681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Calibri" w:eastAsia="Calibri" w:hAnsi="Calibri" w:cs="Calibri"/>
      <w:i/>
      <w:iCs/>
      <w:color w:val="243F61"/>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Subtitle">
    <w:name w:val="Subtitle"/>
    <w:basedOn w:val="Normal"/>
    <w:next w:val="Normal"/>
    <w:link w:val="SubtitleChar"/>
    <w:uiPriority w:val="11"/>
    <w:qFormat/>
    <w:rPr>
      <w:rFonts w:ascii="Calibri" w:eastAsia="Calibri" w:hAnsi="Calibri" w:cs="Calibri"/>
      <w:i/>
      <w:iCs/>
      <w:color w:val="4F81BD"/>
      <w:sz w:val="24"/>
      <w:szCs w:val="24"/>
    </w:rPr>
  </w:style>
  <w:style w:type="paragraph" w:styleId="Bibliography">
    <w:name w:val="Bibliography"/>
    <w:basedOn w:val="Normal"/>
    <w:next w:val="Normal"/>
    <w:uiPriority w:val="37"/>
    <w:unhideWhenUsed/>
    <w:rsid w:val="00DA7E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649008">
      <w:bodyDiv w:val="1"/>
      <w:marLeft w:val="0"/>
      <w:marRight w:val="0"/>
      <w:marTop w:val="0"/>
      <w:marBottom w:val="0"/>
      <w:divBdr>
        <w:top w:val="none" w:sz="0" w:space="0" w:color="auto"/>
        <w:left w:val="none" w:sz="0" w:space="0" w:color="auto"/>
        <w:bottom w:val="none" w:sz="0" w:space="0" w:color="auto"/>
        <w:right w:val="none" w:sz="0" w:space="0" w:color="auto"/>
      </w:divBdr>
    </w:div>
    <w:div w:id="1124155387">
      <w:bodyDiv w:val="1"/>
      <w:marLeft w:val="0"/>
      <w:marRight w:val="0"/>
      <w:marTop w:val="0"/>
      <w:marBottom w:val="0"/>
      <w:divBdr>
        <w:top w:val="none" w:sz="0" w:space="0" w:color="auto"/>
        <w:left w:val="none" w:sz="0" w:space="0" w:color="auto"/>
        <w:bottom w:val="none" w:sz="0" w:space="0" w:color="auto"/>
        <w:right w:val="none" w:sz="0" w:space="0" w:color="auto"/>
      </w:divBdr>
    </w:div>
    <w:div w:id="1300453303">
      <w:bodyDiv w:val="1"/>
      <w:marLeft w:val="0"/>
      <w:marRight w:val="0"/>
      <w:marTop w:val="0"/>
      <w:marBottom w:val="0"/>
      <w:divBdr>
        <w:top w:val="none" w:sz="0" w:space="0" w:color="auto"/>
        <w:left w:val="none" w:sz="0" w:space="0" w:color="auto"/>
        <w:bottom w:val="none" w:sz="0" w:space="0" w:color="auto"/>
        <w:right w:val="none" w:sz="0" w:space="0" w:color="auto"/>
      </w:divBdr>
    </w:div>
    <w:div w:id="1449817381">
      <w:bodyDiv w:val="1"/>
      <w:marLeft w:val="0"/>
      <w:marRight w:val="0"/>
      <w:marTop w:val="0"/>
      <w:marBottom w:val="0"/>
      <w:divBdr>
        <w:top w:val="none" w:sz="0" w:space="0" w:color="auto"/>
        <w:left w:val="none" w:sz="0" w:space="0" w:color="auto"/>
        <w:bottom w:val="none" w:sz="0" w:space="0" w:color="auto"/>
        <w:right w:val="none" w:sz="0" w:space="0" w:color="auto"/>
      </w:divBdr>
    </w:div>
    <w:div w:id="1550800065">
      <w:bodyDiv w:val="1"/>
      <w:marLeft w:val="0"/>
      <w:marRight w:val="0"/>
      <w:marTop w:val="0"/>
      <w:marBottom w:val="0"/>
      <w:divBdr>
        <w:top w:val="none" w:sz="0" w:space="0" w:color="auto"/>
        <w:left w:val="none" w:sz="0" w:space="0" w:color="auto"/>
        <w:bottom w:val="none" w:sz="0" w:space="0" w:color="auto"/>
        <w:right w:val="none" w:sz="0" w:space="0" w:color="auto"/>
      </w:divBdr>
    </w:div>
    <w:div w:id="1789935090">
      <w:bodyDiv w:val="1"/>
      <w:marLeft w:val="0"/>
      <w:marRight w:val="0"/>
      <w:marTop w:val="0"/>
      <w:marBottom w:val="0"/>
      <w:divBdr>
        <w:top w:val="none" w:sz="0" w:space="0" w:color="auto"/>
        <w:left w:val="none" w:sz="0" w:space="0" w:color="auto"/>
        <w:bottom w:val="none" w:sz="0" w:space="0" w:color="auto"/>
        <w:right w:val="none" w:sz="0" w:space="0" w:color="auto"/>
      </w:divBdr>
    </w:div>
    <w:div w:id="18077736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g7IMq3DlI8G3zwwn76fOAKQQqQ==">CgMxLjA4AHIhMVJXak00Yk12NEZjV3ZfbXhsREtYY0N3cEUtemNoQV9E</go:docsCustomData>
</go:gDocsCustomXmlDataStorage>
</file>

<file path=customXml/item2.xml><?xml version="1.0" encoding="utf-8"?>
<b:Sources xmlns:b="http://schemas.openxmlformats.org/officeDocument/2006/bibliography" xmlns="http://schemas.openxmlformats.org/officeDocument/2006/bibliography" SelectedStyle="\IEEE2006OfficeOnline.xsl" StyleName="IEEE" Version="2006">
  <b:Source>
    <b:Tag>Rac20</b:Tag>
    <b:SourceType>Book</b:SourceType>
    <b:Guid>{ED631466-F8C1-443F-9F85-A7CD78535FFD}</b:Guid>
    <b:Author>
      <b:Author>
        <b:NameList>
          <b:Person>
            <b:Last>Race</b:Last>
            <b:First>Phil</b:First>
          </b:Person>
        </b:NameList>
      </b:Author>
    </b:Author>
    <b:Title>The Lecturer’s Toolkit: A Practical Guide to Assessment, Learning and Teaching (5th ed.)</b:Title>
    <b:Year>2020</b:Year>
    <b:City>London</b:City>
    <b:Publisher>Routledge</b:Publisher>
    <b:RefOrder>1</b:RefOrder>
  </b:Source>
  <b:Source>
    <b:Tag>Edu11</b:Tag>
    <b:SourceType>InternetSite</b:SourceType>
    <b:Guid>{AFAD8803-0AB2-4684-A406-7026830C96A5}</b:Guid>
    <b:Title>Digital Literacy in Education</b:Title>
    <b:Year>2011</b:Year>
    <b:Author>
      <b:Author>
        <b:NameList>
          <b:Person>
            <b:Last>Education</b:Last>
            <b:First>UNESCO</b:First>
            <b:Middle>Institute for Information Technologies in</b:Middle>
          </b:Person>
        </b:NameList>
      </b:Author>
    </b:Author>
    <b:URL>https://iite.unesco.org/publications/3214688/</b:URL>
    <b:RefOrder>2</b:RefOrder>
  </b:Source>
  <b:Source>
    <b:Tag>LHa21</b:Tag>
    <b:SourceType>JournalArticle</b:SourceType>
    <b:Guid>{5C4F5DC3-B661-41F7-AAEF-F72633C9D05C}</b:Guid>
    <b:Title>Quality in Higher Education</b:Title>
    <b:Year>2021</b:Year>
    <b:Author>
      <b:Author>
        <b:NameList>
          <b:Person>
            <b:Last>Harvey</b:Last>
            <b:First>L.</b:First>
          </b:Person>
        </b:NameList>
      </b:Author>
    </b:Author>
    <b:Pages>1-15</b:Pages>
    <b:Volume>27</b:Volume>
    <b:Issue>1</b:Issue>
    <b:RefOrder>3</b:RefOrder>
  </b:Source>
  <b:Source>
    <b:Tag>PJR20</b:Tag>
    <b:SourceType>Book</b:SourceType>
    <b:Guid>{8A220276-0E85-4037-BF2F-08124441D8AC}</b:Guid>
    <b:Title>The Oxford Handbook of Career Development</b:Title>
    <b:Year>2020</b:Year>
    <b:Author>
      <b:Author>
        <b:NameList>
          <b:Person>
            <b:Last>P. J. Robertson</b:Last>
            <b:First>T.</b:First>
            <b:Middle>Hooley, &amp; P. McCash</b:Middle>
          </b:Person>
        </b:NameList>
      </b:Author>
    </b:Author>
    <b:City>Oxford,UK</b:City>
    <b:Publisher>Oxford University Press</b:Publisher>
    <b:RefOrder>4</b:RefOrder>
  </b:Source>
</b:Sourc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153C469-4C63-4313-AF97-44DD14FF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342</Words>
  <Characters>2223</Characters>
  <Application>Microsoft Office Word</Application>
  <DocSecurity>0</DocSecurity>
  <Lines>50</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cp:lastModifiedBy>Mohammad Mukitur Rahman Adnan (2517206)</cp:lastModifiedBy>
  <cp:revision>7</cp:revision>
  <dcterms:created xsi:type="dcterms:W3CDTF">2013-12-23T23:15:00Z</dcterms:created>
  <dcterms:modified xsi:type="dcterms:W3CDTF">2025-11-19T01:02:00Z</dcterms:modified>
</cp:coreProperties>
</file>