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394C" w:rsidRDefault="00B5394C" w:rsidP="00B5394C">
      <w:pPr>
        <w:jc w:val="center"/>
        <w:rPr>
          <w:sz w:val="72"/>
        </w:rPr>
      </w:pPr>
    </w:p>
    <w:p w:rsidR="00B5394C" w:rsidRDefault="00B5394C" w:rsidP="00B5394C">
      <w:pPr>
        <w:jc w:val="center"/>
        <w:rPr>
          <w:sz w:val="72"/>
        </w:rPr>
      </w:pPr>
    </w:p>
    <w:p w:rsidR="00116EAE" w:rsidRPr="00B5394C" w:rsidRDefault="00445CC1" w:rsidP="00B5394C">
      <w:pPr>
        <w:jc w:val="center"/>
        <w:rPr>
          <w:sz w:val="52"/>
        </w:rPr>
      </w:pPr>
      <w:r w:rsidRPr="00B5394C">
        <w:rPr>
          <w:sz w:val="52"/>
        </w:rPr>
        <w:t>Dylan Samuel</w:t>
      </w:r>
    </w:p>
    <w:p w:rsidR="00445CC1" w:rsidRPr="00B5394C" w:rsidRDefault="008721E4" w:rsidP="00B5394C">
      <w:pPr>
        <w:jc w:val="center"/>
        <w:rPr>
          <w:sz w:val="52"/>
        </w:rPr>
      </w:pPr>
      <w:r>
        <w:rPr>
          <w:sz w:val="52"/>
        </w:rPr>
        <w:t>The tort of negligence</w:t>
      </w:r>
    </w:p>
    <w:p w:rsidR="00B5394C" w:rsidRDefault="00B5394C" w:rsidP="00B5394C">
      <w:pPr>
        <w:jc w:val="center"/>
        <w:rPr>
          <w:sz w:val="52"/>
        </w:rPr>
      </w:pPr>
      <w:r w:rsidRPr="00B5394C">
        <w:rPr>
          <w:sz w:val="52"/>
        </w:rPr>
        <w:t>1/12/2022</w:t>
      </w:r>
    </w:p>
    <w:p w:rsidR="00B5394C" w:rsidRDefault="00B5394C" w:rsidP="00B5394C">
      <w:pPr>
        <w:jc w:val="center"/>
        <w:rPr>
          <w:sz w:val="52"/>
        </w:rPr>
      </w:pPr>
    </w:p>
    <w:p w:rsidR="00B5394C" w:rsidRDefault="00B5394C" w:rsidP="00B5394C">
      <w:pPr>
        <w:jc w:val="center"/>
        <w:rPr>
          <w:sz w:val="52"/>
        </w:rPr>
      </w:pPr>
    </w:p>
    <w:p w:rsidR="00B5394C" w:rsidRDefault="00B5394C" w:rsidP="00B5394C">
      <w:pPr>
        <w:jc w:val="center"/>
        <w:rPr>
          <w:sz w:val="52"/>
        </w:rPr>
      </w:pPr>
    </w:p>
    <w:p w:rsidR="00B5394C" w:rsidRDefault="00B5394C" w:rsidP="00B5394C">
      <w:pPr>
        <w:jc w:val="center"/>
        <w:rPr>
          <w:sz w:val="52"/>
        </w:rPr>
      </w:pPr>
    </w:p>
    <w:p w:rsidR="00B5394C" w:rsidRDefault="00B5394C" w:rsidP="00B5394C">
      <w:pPr>
        <w:jc w:val="center"/>
        <w:rPr>
          <w:sz w:val="52"/>
        </w:rPr>
      </w:pPr>
    </w:p>
    <w:p w:rsidR="00B5394C" w:rsidRDefault="00B5394C" w:rsidP="00B5394C">
      <w:pPr>
        <w:jc w:val="center"/>
        <w:rPr>
          <w:sz w:val="52"/>
        </w:rPr>
      </w:pPr>
    </w:p>
    <w:p w:rsidR="00B5394C" w:rsidRDefault="00B5394C" w:rsidP="00B5394C">
      <w:pPr>
        <w:jc w:val="center"/>
        <w:rPr>
          <w:sz w:val="52"/>
        </w:rPr>
      </w:pPr>
    </w:p>
    <w:p w:rsidR="00B5394C" w:rsidRDefault="00B5394C" w:rsidP="00B5394C">
      <w:pPr>
        <w:jc w:val="center"/>
        <w:rPr>
          <w:sz w:val="52"/>
        </w:rPr>
      </w:pPr>
    </w:p>
    <w:p w:rsidR="00B5394C" w:rsidRDefault="00B5394C" w:rsidP="00B5394C">
      <w:pPr>
        <w:jc w:val="center"/>
        <w:rPr>
          <w:sz w:val="52"/>
        </w:rPr>
      </w:pPr>
    </w:p>
    <w:p w:rsidR="00B5394C" w:rsidRDefault="00B5394C" w:rsidP="00B5394C">
      <w:pPr>
        <w:jc w:val="center"/>
        <w:rPr>
          <w:sz w:val="52"/>
        </w:rPr>
      </w:pPr>
    </w:p>
    <w:p w:rsidR="00B5394C" w:rsidRDefault="00B5394C" w:rsidP="00B5394C">
      <w:pPr>
        <w:jc w:val="center"/>
        <w:rPr>
          <w:sz w:val="52"/>
        </w:rPr>
      </w:pPr>
    </w:p>
    <w:p w:rsidR="008B621D" w:rsidRDefault="008B621D" w:rsidP="008B621D">
      <w:pPr>
        <w:rPr>
          <w:b/>
          <w:sz w:val="28"/>
          <w:u w:val="single"/>
        </w:rPr>
      </w:pPr>
      <w:r>
        <w:rPr>
          <w:b/>
          <w:sz w:val="28"/>
          <w:u w:val="single"/>
        </w:rPr>
        <w:lastRenderedPageBreak/>
        <w:t xml:space="preserve">Index </w:t>
      </w:r>
    </w:p>
    <w:p w:rsidR="006A35D6" w:rsidRDefault="006A35D6" w:rsidP="008B621D">
      <w:pPr>
        <w:rPr>
          <w:b/>
          <w:sz w:val="28"/>
          <w:u w:val="single"/>
        </w:rPr>
      </w:pPr>
    </w:p>
    <w:p w:rsidR="008B621D" w:rsidRDefault="008B621D" w:rsidP="008B621D">
      <w:pPr>
        <w:pStyle w:val="ListParagraph"/>
        <w:numPr>
          <w:ilvl w:val="0"/>
          <w:numId w:val="2"/>
        </w:numPr>
        <w:rPr>
          <w:b/>
          <w:sz w:val="28"/>
        </w:rPr>
      </w:pPr>
      <w:r>
        <w:rPr>
          <w:b/>
          <w:sz w:val="28"/>
        </w:rPr>
        <w:t>–</w:t>
      </w:r>
      <w:r w:rsidRPr="008B621D">
        <w:rPr>
          <w:b/>
          <w:sz w:val="28"/>
        </w:rPr>
        <w:t xml:space="preserve"> introduction</w:t>
      </w:r>
    </w:p>
    <w:p w:rsidR="006A35D6" w:rsidRDefault="006A35D6" w:rsidP="006A35D6">
      <w:pPr>
        <w:pStyle w:val="ListParagraph"/>
        <w:ind w:left="435"/>
        <w:rPr>
          <w:b/>
          <w:sz w:val="28"/>
        </w:rPr>
      </w:pPr>
    </w:p>
    <w:p w:rsidR="008B621D" w:rsidRPr="008B621D" w:rsidRDefault="008B621D" w:rsidP="008B621D">
      <w:pPr>
        <w:pStyle w:val="ListParagraph"/>
        <w:ind w:left="435"/>
        <w:rPr>
          <w:b/>
          <w:sz w:val="28"/>
        </w:rPr>
      </w:pPr>
    </w:p>
    <w:p w:rsidR="008B621D" w:rsidRDefault="008B621D" w:rsidP="008B621D">
      <w:pPr>
        <w:pStyle w:val="ListParagraph"/>
        <w:numPr>
          <w:ilvl w:val="0"/>
          <w:numId w:val="2"/>
        </w:numPr>
        <w:rPr>
          <w:b/>
          <w:sz w:val="28"/>
        </w:rPr>
      </w:pPr>
      <w:r>
        <w:rPr>
          <w:b/>
          <w:sz w:val="28"/>
        </w:rPr>
        <w:t xml:space="preserve">– the tort of negligence </w:t>
      </w:r>
    </w:p>
    <w:p w:rsidR="008B621D" w:rsidRPr="008B621D" w:rsidRDefault="008B621D" w:rsidP="008B621D">
      <w:pPr>
        <w:pStyle w:val="ListParagraph"/>
        <w:rPr>
          <w:b/>
          <w:sz w:val="28"/>
        </w:rPr>
      </w:pPr>
    </w:p>
    <w:p w:rsidR="008B621D" w:rsidRDefault="008B621D" w:rsidP="008B621D">
      <w:pPr>
        <w:pStyle w:val="ListParagraph"/>
        <w:ind w:left="435"/>
        <w:rPr>
          <w:b/>
          <w:sz w:val="28"/>
        </w:rPr>
      </w:pPr>
    </w:p>
    <w:p w:rsidR="008B621D" w:rsidRDefault="008B621D" w:rsidP="008B621D">
      <w:pPr>
        <w:pStyle w:val="ListParagraph"/>
        <w:numPr>
          <w:ilvl w:val="0"/>
          <w:numId w:val="2"/>
        </w:numPr>
        <w:rPr>
          <w:b/>
          <w:sz w:val="28"/>
        </w:rPr>
      </w:pPr>
      <w:r>
        <w:rPr>
          <w:b/>
          <w:sz w:val="28"/>
        </w:rPr>
        <w:t xml:space="preserve">– the elements of the tort of negligence </w:t>
      </w:r>
    </w:p>
    <w:p w:rsidR="008B621D" w:rsidRDefault="008B621D" w:rsidP="008B621D">
      <w:pPr>
        <w:pStyle w:val="ListParagraph"/>
        <w:numPr>
          <w:ilvl w:val="1"/>
          <w:numId w:val="2"/>
        </w:numPr>
        <w:rPr>
          <w:b/>
          <w:sz w:val="28"/>
        </w:rPr>
      </w:pPr>
      <w:r>
        <w:rPr>
          <w:b/>
          <w:sz w:val="28"/>
        </w:rPr>
        <w:t xml:space="preserve">– duty of care </w:t>
      </w:r>
    </w:p>
    <w:p w:rsidR="008B621D" w:rsidRDefault="008B621D" w:rsidP="008B621D">
      <w:pPr>
        <w:pStyle w:val="ListParagraph"/>
        <w:numPr>
          <w:ilvl w:val="1"/>
          <w:numId w:val="2"/>
        </w:numPr>
        <w:rPr>
          <w:b/>
          <w:sz w:val="28"/>
        </w:rPr>
      </w:pPr>
      <w:r>
        <w:rPr>
          <w:b/>
          <w:sz w:val="28"/>
        </w:rPr>
        <w:t>– breach of duty of care</w:t>
      </w:r>
    </w:p>
    <w:p w:rsidR="008B621D" w:rsidRDefault="008B621D" w:rsidP="008B621D">
      <w:pPr>
        <w:pStyle w:val="ListParagraph"/>
        <w:numPr>
          <w:ilvl w:val="1"/>
          <w:numId w:val="2"/>
        </w:numPr>
        <w:rPr>
          <w:b/>
          <w:sz w:val="28"/>
        </w:rPr>
      </w:pPr>
      <w:r>
        <w:rPr>
          <w:b/>
          <w:sz w:val="28"/>
        </w:rPr>
        <w:t>- Harm caused by breach of duty</w:t>
      </w:r>
    </w:p>
    <w:p w:rsidR="006A35D6" w:rsidRDefault="006A35D6" w:rsidP="006A35D6">
      <w:pPr>
        <w:pStyle w:val="ListParagraph"/>
        <w:ind w:left="1155"/>
        <w:rPr>
          <w:b/>
          <w:sz w:val="28"/>
        </w:rPr>
      </w:pPr>
    </w:p>
    <w:p w:rsidR="006A35D6" w:rsidRDefault="006A35D6" w:rsidP="006A35D6">
      <w:pPr>
        <w:pStyle w:val="ListParagraph"/>
        <w:ind w:left="1155"/>
        <w:rPr>
          <w:b/>
          <w:sz w:val="28"/>
        </w:rPr>
      </w:pPr>
    </w:p>
    <w:p w:rsidR="006A35D6" w:rsidRDefault="006A35D6" w:rsidP="006A35D6">
      <w:pPr>
        <w:pStyle w:val="NormalWeb"/>
        <w:numPr>
          <w:ilvl w:val="0"/>
          <w:numId w:val="2"/>
        </w:numPr>
        <w:shd w:val="clear" w:color="auto" w:fill="FFFFFF"/>
        <w:spacing w:before="0" w:beforeAutospacing="0" w:after="360" w:afterAutospacing="0"/>
        <w:rPr>
          <w:rFonts w:asciiTheme="minorHAnsi" w:hAnsiTheme="minorHAnsi" w:cstheme="minorHAnsi"/>
          <w:b/>
          <w:sz w:val="28"/>
          <w:szCs w:val="21"/>
        </w:rPr>
      </w:pPr>
      <w:r w:rsidRPr="006A35D6">
        <w:rPr>
          <w:rFonts w:asciiTheme="minorHAnsi" w:hAnsiTheme="minorHAnsi" w:cstheme="minorHAnsi"/>
          <w:b/>
          <w:sz w:val="28"/>
          <w:szCs w:val="21"/>
        </w:rPr>
        <w:t>- Case law within construction and the effect it can have on project progression</w:t>
      </w:r>
    </w:p>
    <w:p w:rsidR="008B621D" w:rsidRDefault="006A35D6" w:rsidP="006A35D6">
      <w:pPr>
        <w:pStyle w:val="NormalWeb"/>
        <w:numPr>
          <w:ilvl w:val="1"/>
          <w:numId w:val="2"/>
        </w:numPr>
        <w:shd w:val="clear" w:color="auto" w:fill="FFFFFF"/>
        <w:spacing w:before="0" w:beforeAutospacing="0" w:after="360" w:afterAutospacing="0"/>
        <w:rPr>
          <w:rFonts w:asciiTheme="minorHAnsi" w:hAnsiTheme="minorHAnsi" w:cstheme="minorHAnsi"/>
          <w:b/>
          <w:sz w:val="28"/>
          <w:szCs w:val="21"/>
        </w:rPr>
      </w:pPr>
      <w:r>
        <w:rPr>
          <w:rFonts w:asciiTheme="minorHAnsi" w:hAnsiTheme="minorHAnsi" w:cstheme="minorHAnsi"/>
          <w:b/>
          <w:sz w:val="28"/>
          <w:szCs w:val="21"/>
        </w:rPr>
        <w:t xml:space="preserve">– conclusion </w:t>
      </w:r>
    </w:p>
    <w:p w:rsidR="006A35D6" w:rsidRDefault="006A35D6" w:rsidP="006A35D6">
      <w:pPr>
        <w:pStyle w:val="NormalWeb"/>
        <w:shd w:val="clear" w:color="auto" w:fill="FFFFFF"/>
        <w:spacing w:before="0" w:beforeAutospacing="0" w:after="360" w:afterAutospacing="0"/>
        <w:ind w:left="1155"/>
        <w:rPr>
          <w:rFonts w:asciiTheme="minorHAnsi" w:hAnsiTheme="minorHAnsi" w:cstheme="minorHAnsi"/>
          <w:b/>
          <w:sz w:val="28"/>
          <w:szCs w:val="21"/>
        </w:rPr>
      </w:pPr>
    </w:p>
    <w:p w:rsidR="006A35D6" w:rsidRDefault="006A35D6" w:rsidP="006A35D6">
      <w:pPr>
        <w:pStyle w:val="NormalWeb"/>
        <w:numPr>
          <w:ilvl w:val="0"/>
          <w:numId w:val="2"/>
        </w:numPr>
        <w:shd w:val="clear" w:color="auto" w:fill="FFFFFF"/>
        <w:spacing w:before="0" w:beforeAutospacing="0" w:after="360" w:afterAutospacing="0"/>
        <w:rPr>
          <w:rFonts w:asciiTheme="minorHAnsi" w:hAnsiTheme="minorHAnsi" w:cstheme="minorHAnsi"/>
          <w:b/>
          <w:color w:val="000000" w:themeColor="text1"/>
          <w:sz w:val="28"/>
          <w:szCs w:val="21"/>
        </w:rPr>
      </w:pPr>
      <w:r w:rsidRPr="006A35D6">
        <w:rPr>
          <w:rFonts w:asciiTheme="minorHAnsi" w:hAnsiTheme="minorHAnsi" w:cstheme="minorHAnsi"/>
          <w:b/>
          <w:sz w:val="32"/>
          <w:szCs w:val="21"/>
        </w:rPr>
        <w:t xml:space="preserve">- </w:t>
      </w:r>
      <w:r w:rsidRPr="006A35D6">
        <w:rPr>
          <w:rFonts w:asciiTheme="minorHAnsi" w:hAnsiTheme="minorHAnsi" w:cstheme="minorHAnsi"/>
          <w:b/>
          <w:color w:val="000000" w:themeColor="text1"/>
          <w:sz w:val="28"/>
          <w:szCs w:val="21"/>
        </w:rPr>
        <w:t>Importance and the possible impact on project progression</w:t>
      </w:r>
    </w:p>
    <w:p w:rsidR="006A35D6" w:rsidRDefault="006A35D6" w:rsidP="006A35D6">
      <w:pPr>
        <w:pStyle w:val="NormalWeb"/>
        <w:shd w:val="clear" w:color="auto" w:fill="FFFFFF"/>
        <w:spacing w:before="0" w:beforeAutospacing="0" w:after="360" w:afterAutospacing="0"/>
        <w:ind w:left="435"/>
        <w:rPr>
          <w:rFonts w:asciiTheme="minorHAnsi" w:hAnsiTheme="minorHAnsi" w:cstheme="minorHAnsi"/>
          <w:b/>
          <w:color w:val="000000" w:themeColor="text1"/>
          <w:sz w:val="28"/>
          <w:szCs w:val="21"/>
        </w:rPr>
      </w:pPr>
    </w:p>
    <w:p w:rsidR="006A35D6" w:rsidRDefault="006A35D6" w:rsidP="006A35D6">
      <w:pPr>
        <w:pStyle w:val="NormalWeb"/>
        <w:numPr>
          <w:ilvl w:val="0"/>
          <w:numId w:val="2"/>
        </w:numPr>
        <w:shd w:val="clear" w:color="auto" w:fill="FFFFFF"/>
        <w:spacing w:before="0" w:beforeAutospacing="0" w:after="360" w:afterAutospacing="0"/>
        <w:rPr>
          <w:rFonts w:asciiTheme="minorHAnsi" w:hAnsiTheme="minorHAnsi" w:cstheme="minorHAnsi"/>
          <w:b/>
          <w:color w:val="000000" w:themeColor="text1"/>
          <w:sz w:val="28"/>
          <w:szCs w:val="21"/>
        </w:rPr>
      </w:pPr>
      <w:r>
        <w:rPr>
          <w:rFonts w:asciiTheme="minorHAnsi" w:hAnsiTheme="minorHAnsi" w:cstheme="minorHAnsi"/>
          <w:b/>
          <w:color w:val="000000" w:themeColor="text1"/>
          <w:sz w:val="28"/>
          <w:szCs w:val="21"/>
        </w:rPr>
        <w:t xml:space="preserve">– </w:t>
      </w:r>
      <w:r w:rsidRPr="006A35D6">
        <w:rPr>
          <w:rFonts w:asciiTheme="minorHAnsi" w:hAnsiTheme="minorHAnsi" w:cstheme="minorHAnsi"/>
          <w:b/>
          <w:color w:val="000000" w:themeColor="text1"/>
          <w:sz w:val="28"/>
          <w:szCs w:val="21"/>
        </w:rPr>
        <w:t>The impact of adjudication upon deciding a dispute.</w:t>
      </w:r>
    </w:p>
    <w:p w:rsidR="006A35D6" w:rsidRDefault="006A35D6" w:rsidP="006A35D6">
      <w:pPr>
        <w:pStyle w:val="ListParagraph"/>
        <w:rPr>
          <w:rFonts w:cstheme="minorHAnsi"/>
          <w:b/>
          <w:color w:val="000000" w:themeColor="text1"/>
          <w:sz w:val="28"/>
          <w:szCs w:val="21"/>
        </w:rPr>
      </w:pPr>
    </w:p>
    <w:p w:rsidR="006A35D6" w:rsidRDefault="006A35D6" w:rsidP="006A35D6">
      <w:pPr>
        <w:pStyle w:val="NormalWeb"/>
        <w:shd w:val="clear" w:color="auto" w:fill="FFFFFF"/>
        <w:spacing w:before="0" w:beforeAutospacing="0" w:after="360" w:afterAutospacing="0"/>
        <w:ind w:left="435"/>
        <w:rPr>
          <w:rFonts w:asciiTheme="minorHAnsi" w:hAnsiTheme="minorHAnsi" w:cstheme="minorHAnsi"/>
          <w:b/>
          <w:color w:val="000000" w:themeColor="text1"/>
          <w:sz w:val="28"/>
          <w:szCs w:val="21"/>
        </w:rPr>
      </w:pPr>
    </w:p>
    <w:p w:rsidR="006A35D6" w:rsidRPr="006A35D6" w:rsidRDefault="00E453ED" w:rsidP="006A35D6">
      <w:pPr>
        <w:pStyle w:val="NormalWeb"/>
        <w:numPr>
          <w:ilvl w:val="0"/>
          <w:numId w:val="2"/>
        </w:numPr>
        <w:shd w:val="clear" w:color="auto" w:fill="FFFFFF"/>
        <w:spacing w:before="0" w:beforeAutospacing="0" w:after="360" w:afterAutospacing="0"/>
        <w:rPr>
          <w:rFonts w:asciiTheme="minorHAnsi" w:hAnsiTheme="minorHAnsi" w:cstheme="minorHAnsi"/>
          <w:b/>
          <w:color w:val="000000" w:themeColor="text1"/>
          <w:sz w:val="28"/>
          <w:szCs w:val="21"/>
        </w:rPr>
      </w:pPr>
      <w:r>
        <w:rPr>
          <w:rFonts w:asciiTheme="minorHAnsi" w:hAnsiTheme="minorHAnsi" w:cstheme="minorHAnsi"/>
          <w:b/>
          <w:color w:val="000000" w:themeColor="text1"/>
          <w:sz w:val="28"/>
          <w:szCs w:val="21"/>
        </w:rPr>
        <w:t>–</w:t>
      </w:r>
      <w:r w:rsidR="006A35D6">
        <w:rPr>
          <w:rFonts w:asciiTheme="minorHAnsi" w:hAnsiTheme="minorHAnsi" w:cstheme="minorHAnsi"/>
          <w:b/>
          <w:color w:val="000000" w:themeColor="text1"/>
          <w:sz w:val="28"/>
          <w:szCs w:val="21"/>
        </w:rPr>
        <w:t xml:space="preserve"> </w:t>
      </w:r>
      <w:r>
        <w:rPr>
          <w:rFonts w:asciiTheme="minorHAnsi" w:hAnsiTheme="minorHAnsi" w:cstheme="minorHAnsi"/>
          <w:b/>
          <w:color w:val="000000" w:themeColor="text1"/>
          <w:sz w:val="28"/>
          <w:szCs w:val="21"/>
        </w:rPr>
        <w:t xml:space="preserve">references </w:t>
      </w:r>
    </w:p>
    <w:p w:rsidR="006A35D6" w:rsidRPr="006A35D6" w:rsidRDefault="006A35D6" w:rsidP="006A35D6">
      <w:pPr>
        <w:pStyle w:val="NormalWeb"/>
        <w:shd w:val="clear" w:color="auto" w:fill="FFFFFF"/>
        <w:spacing w:before="0" w:beforeAutospacing="0" w:after="360" w:afterAutospacing="0"/>
        <w:ind w:left="1155"/>
        <w:rPr>
          <w:rFonts w:asciiTheme="minorHAnsi" w:hAnsiTheme="minorHAnsi" w:cstheme="minorHAnsi"/>
          <w:b/>
          <w:sz w:val="28"/>
          <w:szCs w:val="21"/>
        </w:rPr>
      </w:pPr>
    </w:p>
    <w:p w:rsidR="008B621D" w:rsidRPr="008B621D" w:rsidRDefault="008B621D" w:rsidP="008B621D">
      <w:pPr>
        <w:pStyle w:val="ListParagraph"/>
        <w:ind w:left="1155"/>
        <w:rPr>
          <w:b/>
          <w:sz w:val="28"/>
        </w:rPr>
      </w:pPr>
    </w:p>
    <w:p w:rsidR="006A35D6" w:rsidRDefault="006A35D6" w:rsidP="006A35D6">
      <w:pPr>
        <w:rPr>
          <w:b/>
          <w:sz w:val="28"/>
        </w:rPr>
      </w:pPr>
    </w:p>
    <w:p w:rsidR="00B5394C" w:rsidRPr="00580397" w:rsidRDefault="006A35D6" w:rsidP="006A35D6">
      <w:pPr>
        <w:jc w:val="center"/>
        <w:rPr>
          <w:b/>
          <w:sz w:val="28"/>
          <w:u w:val="single"/>
        </w:rPr>
      </w:pPr>
      <w:r>
        <w:rPr>
          <w:b/>
          <w:sz w:val="28"/>
          <w:u w:val="single"/>
        </w:rPr>
        <w:lastRenderedPageBreak/>
        <w:t xml:space="preserve">1.0 </w:t>
      </w:r>
      <w:r w:rsidR="00B5394C" w:rsidRPr="00580397">
        <w:rPr>
          <w:b/>
          <w:sz w:val="28"/>
          <w:u w:val="single"/>
        </w:rPr>
        <w:t>Introduction</w:t>
      </w:r>
    </w:p>
    <w:p w:rsidR="00432668" w:rsidRDefault="00651701" w:rsidP="00580397">
      <w:pPr>
        <w:rPr>
          <w:sz w:val="24"/>
        </w:rPr>
      </w:pPr>
      <w:r>
        <w:rPr>
          <w:sz w:val="24"/>
        </w:rPr>
        <w:t>This report will</w:t>
      </w:r>
      <w:r w:rsidR="00432668">
        <w:rPr>
          <w:sz w:val="24"/>
        </w:rPr>
        <w:t xml:space="preserve"> cover the tort of negligence and its essential </w:t>
      </w:r>
      <w:r w:rsidR="001E3DB9">
        <w:rPr>
          <w:sz w:val="24"/>
        </w:rPr>
        <w:t xml:space="preserve">3 </w:t>
      </w:r>
      <w:r w:rsidR="00432668">
        <w:rPr>
          <w:sz w:val="24"/>
        </w:rPr>
        <w:t>elements. I</w:t>
      </w:r>
      <w:r>
        <w:rPr>
          <w:sz w:val="24"/>
        </w:rPr>
        <w:t xml:space="preserve">t </w:t>
      </w:r>
      <w:r w:rsidR="00432668">
        <w:rPr>
          <w:sz w:val="24"/>
        </w:rPr>
        <w:t xml:space="preserve">will also be outlining the importance of case law within construction and the impact it can have on a </w:t>
      </w:r>
      <w:r w:rsidR="00E453ED">
        <w:rPr>
          <w:sz w:val="24"/>
        </w:rPr>
        <w:t>project’s</w:t>
      </w:r>
      <w:r w:rsidR="00432668">
        <w:rPr>
          <w:sz w:val="24"/>
        </w:rPr>
        <w:t xml:space="preserve"> progression.</w:t>
      </w:r>
      <w:r w:rsidR="00C83CF3">
        <w:rPr>
          <w:sz w:val="24"/>
        </w:rPr>
        <w:t xml:space="preserve"> </w:t>
      </w:r>
      <w:r w:rsidR="00432668">
        <w:rPr>
          <w:sz w:val="24"/>
        </w:rPr>
        <w:t xml:space="preserve">Finally, using the case of </w:t>
      </w:r>
      <w:r w:rsidR="00CD5304">
        <w:rPr>
          <w:sz w:val="24"/>
        </w:rPr>
        <w:t>Vinci</w:t>
      </w:r>
      <w:r w:rsidR="00432668">
        <w:rPr>
          <w:sz w:val="24"/>
        </w:rPr>
        <w:t xml:space="preserve"> construction</w:t>
      </w:r>
      <w:r w:rsidR="00CD5304">
        <w:rPr>
          <w:sz w:val="24"/>
        </w:rPr>
        <w:t xml:space="preserve"> UK LTD v Beumer group UK LTD (2018) to outline the impact of adjudication upon deciding such a dispute.</w:t>
      </w:r>
    </w:p>
    <w:p w:rsidR="001C542D" w:rsidRDefault="001C542D" w:rsidP="00580397">
      <w:pPr>
        <w:rPr>
          <w:b/>
          <w:sz w:val="24"/>
          <w:u w:val="single"/>
        </w:rPr>
      </w:pPr>
    </w:p>
    <w:p w:rsidR="00CD5304" w:rsidRPr="00580397" w:rsidRDefault="006A35D6" w:rsidP="00580397">
      <w:pPr>
        <w:jc w:val="center"/>
        <w:rPr>
          <w:b/>
          <w:sz w:val="28"/>
          <w:u w:val="single"/>
        </w:rPr>
      </w:pPr>
      <w:r>
        <w:rPr>
          <w:b/>
          <w:sz w:val="28"/>
          <w:u w:val="single"/>
        </w:rPr>
        <w:t xml:space="preserve">2.0 </w:t>
      </w:r>
      <w:r w:rsidR="001C542D" w:rsidRPr="00580397">
        <w:rPr>
          <w:b/>
          <w:sz w:val="28"/>
          <w:u w:val="single"/>
        </w:rPr>
        <w:t>The tort of negligence</w:t>
      </w:r>
    </w:p>
    <w:p w:rsidR="001C542D" w:rsidRPr="001C542D" w:rsidRDefault="001C542D" w:rsidP="00580397">
      <w:pPr>
        <w:rPr>
          <w:b/>
          <w:sz w:val="24"/>
          <w:u w:val="single"/>
        </w:rPr>
      </w:pPr>
    </w:p>
    <w:p w:rsidR="00B5394C" w:rsidRDefault="00DE4BE1" w:rsidP="00580397">
      <w:pPr>
        <w:rPr>
          <w:sz w:val="24"/>
        </w:rPr>
      </w:pPr>
      <w:r>
        <w:rPr>
          <w:sz w:val="24"/>
        </w:rPr>
        <w:t xml:space="preserve">A legal wrong such as </w:t>
      </w:r>
      <w:r w:rsidRPr="00DE4BE1">
        <w:rPr>
          <w:sz w:val="24"/>
        </w:rPr>
        <w:t>the Tort of Negligenc</w:t>
      </w:r>
      <w:r>
        <w:rPr>
          <w:sz w:val="24"/>
        </w:rPr>
        <w:t>e is committed when someone</w:t>
      </w:r>
      <w:r w:rsidRPr="00DE4BE1">
        <w:rPr>
          <w:sz w:val="24"/>
        </w:rPr>
        <w:t xml:space="preserve"> neglects to take reasonable precautions to prevent what a person would consider a risk. In many situations, </w:t>
      </w:r>
      <w:r>
        <w:rPr>
          <w:sz w:val="24"/>
        </w:rPr>
        <w:t>for example a doctor and a patient or an</w:t>
      </w:r>
      <w:r w:rsidRPr="00DE4BE1">
        <w:rPr>
          <w:sz w:val="24"/>
        </w:rPr>
        <w:t xml:space="preserve"> employer and an employee</w:t>
      </w:r>
      <w:r>
        <w:rPr>
          <w:sz w:val="24"/>
        </w:rPr>
        <w:t>, there will be an</w:t>
      </w:r>
      <w:r w:rsidRPr="00DE4BE1">
        <w:rPr>
          <w:sz w:val="24"/>
        </w:rPr>
        <w:t xml:space="preserve"> implied contractual relationship</w:t>
      </w:r>
      <w:r>
        <w:rPr>
          <w:sz w:val="24"/>
        </w:rPr>
        <w:t>/agreement</w:t>
      </w:r>
      <w:r w:rsidRPr="00DE4BE1">
        <w:rPr>
          <w:sz w:val="24"/>
        </w:rPr>
        <w:t xml:space="preserve"> betw</w:t>
      </w:r>
      <w:r>
        <w:rPr>
          <w:sz w:val="24"/>
        </w:rPr>
        <w:t>een the parties involved. Until a relatively recent change, it was necessary</w:t>
      </w:r>
      <w:r w:rsidRPr="00DE4BE1">
        <w:rPr>
          <w:sz w:val="24"/>
        </w:rPr>
        <w:t xml:space="preserve"> a contractual relationship to exist in order for a claim for negligence to succeed.</w:t>
      </w:r>
      <w:r w:rsidR="000F0A75">
        <w:rPr>
          <w:sz w:val="24"/>
        </w:rPr>
        <w:t xml:space="preserve"> In present times, a contractual agreement does not have to be established for a claim in tort to be successful.</w:t>
      </w:r>
      <w:r w:rsidR="000F0A75" w:rsidRPr="000F0A75">
        <w:t xml:space="preserve"> </w:t>
      </w:r>
      <w:r w:rsidR="000F0A75" w:rsidRPr="000F0A75">
        <w:rPr>
          <w:sz w:val="24"/>
        </w:rPr>
        <w:t>Due to the fact that people involved in accidents frequently do not know one another, for instance</w:t>
      </w:r>
      <w:r w:rsidR="000F0A75">
        <w:rPr>
          <w:sz w:val="24"/>
        </w:rPr>
        <w:t xml:space="preserve"> a road accident. The parties will often have no previous relationship at all.</w:t>
      </w:r>
    </w:p>
    <w:p w:rsidR="001C542D" w:rsidRDefault="001C542D" w:rsidP="00580397">
      <w:pPr>
        <w:rPr>
          <w:sz w:val="24"/>
        </w:rPr>
      </w:pPr>
    </w:p>
    <w:p w:rsidR="001C542D" w:rsidRPr="001E3DB9" w:rsidRDefault="006A35D6" w:rsidP="00580397">
      <w:pPr>
        <w:rPr>
          <w:b/>
          <w:sz w:val="28"/>
          <w:u w:val="single"/>
        </w:rPr>
      </w:pPr>
      <w:r>
        <w:rPr>
          <w:b/>
          <w:sz w:val="28"/>
          <w:u w:val="single"/>
        </w:rPr>
        <w:t xml:space="preserve">3.0 </w:t>
      </w:r>
      <w:r w:rsidR="001C542D" w:rsidRPr="001E3DB9">
        <w:rPr>
          <w:b/>
          <w:sz w:val="28"/>
          <w:u w:val="single"/>
        </w:rPr>
        <w:t xml:space="preserve">The elements of </w:t>
      </w:r>
      <w:r w:rsidR="00580397" w:rsidRPr="001E3DB9">
        <w:rPr>
          <w:b/>
          <w:sz w:val="28"/>
          <w:u w:val="single"/>
        </w:rPr>
        <w:t>the tort of negligence;</w:t>
      </w:r>
    </w:p>
    <w:p w:rsidR="00113762" w:rsidRPr="00113762" w:rsidRDefault="00113762" w:rsidP="00580397">
      <w:pPr>
        <w:rPr>
          <w:sz w:val="24"/>
        </w:rPr>
      </w:pPr>
      <w:r>
        <w:rPr>
          <w:sz w:val="24"/>
        </w:rPr>
        <w:t xml:space="preserve">The tort of negligence consists of three main elements which are </w:t>
      </w:r>
      <w:r w:rsidR="00651701">
        <w:rPr>
          <w:sz w:val="24"/>
        </w:rPr>
        <w:t>recognised</w:t>
      </w:r>
      <w:r>
        <w:rPr>
          <w:sz w:val="24"/>
        </w:rPr>
        <w:t xml:space="preserve"> as duty of care, breach of duty </w:t>
      </w:r>
      <w:r w:rsidR="00651701">
        <w:rPr>
          <w:sz w:val="24"/>
        </w:rPr>
        <w:t>and</w:t>
      </w:r>
      <w:r>
        <w:rPr>
          <w:sz w:val="24"/>
        </w:rPr>
        <w:t xml:space="preserve"> the harm caused by breach of duty.</w:t>
      </w:r>
    </w:p>
    <w:p w:rsidR="00580397" w:rsidRDefault="006A35D6" w:rsidP="00580397">
      <w:pPr>
        <w:rPr>
          <w:b/>
          <w:sz w:val="24"/>
          <w:u w:val="single"/>
        </w:rPr>
      </w:pPr>
      <w:r>
        <w:rPr>
          <w:b/>
          <w:sz w:val="24"/>
          <w:u w:val="single"/>
        </w:rPr>
        <w:t xml:space="preserve">3.1 </w:t>
      </w:r>
      <w:r w:rsidR="00580397">
        <w:rPr>
          <w:b/>
          <w:sz w:val="24"/>
          <w:u w:val="single"/>
        </w:rPr>
        <w:t>Duty of care;</w:t>
      </w:r>
    </w:p>
    <w:p w:rsidR="00E453ED" w:rsidRDefault="00113762" w:rsidP="00113762">
      <w:pPr>
        <w:pStyle w:val="NormalWeb"/>
        <w:shd w:val="clear" w:color="auto" w:fill="FFFFFF"/>
        <w:spacing w:before="0" w:beforeAutospacing="0" w:after="360" w:afterAutospacing="0"/>
        <w:jc w:val="both"/>
        <w:rPr>
          <w:rFonts w:ascii="Arial" w:hAnsi="Arial" w:cs="Arial"/>
          <w:sz w:val="21"/>
          <w:szCs w:val="21"/>
        </w:rPr>
      </w:pPr>
      <w:r w:rsidRPr="001E3DB9">
        <w:rPr>
          <w:rFonts w:ascii="Arial" w:hAnsi="Arial" w:cs="Arial"/>
          <w:sz w:val="21"/>
          <w:szCs w:val="21"/>
        </w:rPr>
        <w:t xml:space="preserve">Any individual is required by law to use reasonable care in order to avoid hurting or harming another person. This responsibility is known as the "duty of care." For </w:t>
      </w:r>
      <w:proofErr w:type="gramStart"/>
      <w:r w:rsidRPr="001E3DB9">
        <w:rPr>
          <w:rFonts w:ascii="Arial" w:hAnsi="Arial" w:cs="Arial"/>
          <w:sz w:val="21"/>
          <w:szCs w:val="21"/>
        </w:rPr>
        <w:t>example</w:t>
      </w:r>
      <w:proofErr w:type="gramEnd"/>
      <w:r w:rsidRPr="001E3DB9">
        <w:rPr>
          <w:rFonts w:ascii="Arial" w:hAnsi="Arial" w:cs="Arial"/>
          <w:sz w:val="21"/>
          <w:szCs w:val="21"/>
        </w:rPr>
        <w:t xml:space="preserve"> a doctor has the duty of care of his patients.</w:t>
      </w:r>
      <w:r w:rsidR="00E453ED">
        <w:rPr>
          <w:rFonts w:ascii="Arial" w:hAnsi="Arial" w:cs="Arial"/>
          <w:sz w:val="21"/>
          <w:szCs w:val="21"/>
        </w:rPr>
        <w:t xml:space="preserve"> Duty of care is owed when someone is at possible risk of harm or loss due to someone else’s actions.</w:t>
      </w:r>
    </w:p>
    <w:p w:rsidR="009C5B72" w:rsidRPr="009C5B72" w:rsidRDefault="009C5B72" w:rsidP="00113762">
      <w:pPr>
        <w:pStyle w:val="NormalWeb"/>
        <w:shd w:val="clear" w:color="auto" w:fill="FFFFFF"/>
        <w:spacing w:before="0" w:beforeAutospacing="0" w:after="360" w:afterAutospacing="0"/>
        <w:jc w:val="both"/>
        <w:rPr>
          <w:rFonts w:ascii="Arial" w:hAnsi="Arial" w:cs="Arial"/>
          <w:b/>
          <w:bCs/>
          <w:sz w:val="22"/>
          <w:szCs w:val="22"/>
          <w:u w:val="single"/>
        </w:rPr>
      </w:pPr>
      <w:r w:rsidRPr="009C5B72">
        <w:rPr>
          <w:rFonts w:ascii="Arial" w:hAnsi="Arial" w:cs="Arial"/>
          <w:b/>
          <w:bCs/>
          <w:sz w:val="22"/>
          <w:szCs w:val="22"/>
          <w:u w:val="single"/>
        </w:rPr>
        <w:t xml:space="preserve">The standard of care; </w:t>
      </w:r>
    </w:p>
    <w:p w:rsidR="009C5B72" w:rsidRPr="001E3DB9" w:rsidRDefault="009C5B72" w:rsidP="00113762">
      <w:pPr>
        <w:pStyle w:val="NormalWeb"/>
        <w:shd w:val="clear" w:color="auto" w:fill="FFFFFF"/>
        <w:spacing w:before="0" w:beforeAutospacing="0" w:after="360" w:afterAutospacing="0"/>
        <w:jc w:val="both"/>
        <w:rPr>
          <w:rFonts w:ascii="Arial" w:hAnsi="Arial" w:cs="Arial"/>
          <w:sz w:val="21"/>
          <w:szCs w:val="21"/>
        </w:rPr>
      </w:pPr>
      <w:r>
        <w:rPr>
          <w:rFonts w:ascii="Arial" w:hAnsi="Arial" w:cs="Arial"/>
          <w:sz w:val="21"/>
          <w:szCs w:val="21"/>
        </w:rPr>
        <w:t xml:space="preserve">The standard of care is determined by the reference of what a reasonable person would </w:t>
      </w:r>
      <w:proofErr w:type="gramStart"/>
      <w:r>
        <w:rPr>
          <w:rFonts w:ascii="Arial" w:hAnsi="Arial" w:cs="Arial"/>
          <w:sz w:val="21"/>
          <w:szCs w:val="21"/>
        </w:rPr>
        <w:t>of</w:t>
      </w:r>
      <w:proofErr w:type="gramEnd"/>
      <w:r>
        <w:rPr>
          <w:rFonts w:ascii="Arial" w:hAnsi="Arial" w:cs="Arial"/>
          <w:sz w:val="21"/>
          <w:szCs w:val="21"/>
        </w:rPr>
        <w:t xml:space="preserve"> done. It may vary from person to person as a professional person with a high skill set will have higher standards and expected to take more reasonable action.</w:t>
      </w:r>
    </w:p>
    <w:p w:rsidR="00113762" w:rsidRPr="00C13927" w:rsidRDefault="006A35D6" w:rsidP="00113762">
      <w:pPr>
        <w:pStyle w:val="NormalWeb"/>
        <w:shd w:val="clear" w:color="auto" w:fill="FFFFFF"/>
        <w:spacing w:before="0" w:beforeAutospacing="0" w:after="360" w:afterAutospacing="0"/>
        <w:jc w:val="both"/>
        <w:rPr>
          <w:rFonts w:ascii="Arial" w:hAnsi="Arial" w:cs="Arial"/>
          <w:b/>
          <w:sz w:val="21"/>
          <w:szCs w:val="21"/>
          <w:u w:val="single"/>
        </w:rPr>
      </w:pPr>
      <w:r>
        <w:rPr>
          <w:rFonts w:ascii="Arial" w:hAnsi="Arial" w:cs="Arial"/>
          <w:b/>
          <w:sz w:val="21"/>
          <w:szCs w:val="21"/>
          <w:u w:val="single"/>
        </w:rPr>
        <w:t xml:space="preserve">3.2 </w:t>
      </w:r>
      <w:r w:rsidR="00113762" w:rsidRPr="00C13927">
        <w:rPr>
          <w:rFonts w:ascii="Arial" w:hAnsi="Arial" w:cs="Arial"/>
          <w:b/>
          <w:sz w:val="21"/>
          <w:szCs w:val="21"/>
          <w:u w:val="single"/>
        </w:rPr>
        <w:t>Breaching the duty of care;</w:t>
      </w:r>
    </w:p>
    <w:p w:rsidR="00AA3479" w:rsidRDefault="00C13927" w:rsidP="00113762">
      <w:pPr>
        <w:pStyle w:val="NormalWeb"/>
        <w:shd w:val="clear" w:color="auto" w:fill="FFFFFF"/>
        <w:spacing w:before="0" w:beforeAutospacing="0" w:after="360" w:afterAutospacing="0"/>
        <w:jc w:val="both"/>
        <w:rPr>
          <w:rFonts w:asciiTheme="minorHAnsi" w:hAnsiTheme="minorHAnsi" w:cstheme="minorHAnsi"/>
          <w:sz w:val="22"/>
          <w:szCs w:val="21"/>
        </w:rPr>
      </w:pPr>
      <w:r w:rsidRPr="001E3DB9">
        <w:rPr>
          <w:rFonts w:asciiTheme="minorHAnsi" w:hAnsiTheme="minorHAnsi" w:cstheme="minorHAnsi"/>
          <w:sz w:val="22"/>
          <w:szCs w:val="21"/>
        </w:rPr>
        <w:t>When someone is harmed or hurt in an occurrence due to negligence from someone else, the duty of care has been broken. Additionally, if the offender knew or should have known that the activity would carry a high risk of harm or injury to a person, then this states that a reasonable person in the same circumstances would not have behaved that way and eventually redirected the danger of injury.</w:t>
      </w:r>
    </w:p>
    <w:p w:rsidR="00E453ED" w:rsidRDefault="00E453ED" w:rsidP="00113762">
      <w:pPr>
        <w:pStyle w:val="NormalWeb"/>
        <w:shd w:val="clear" w:color="auto" w:fill="FFFFFF"/>
        <w:spacing w:before="0" w:beforeAutospacing="0" w:after="360" w:afterAutospacing="0"/>
        <w:jc w:val="both"/>
        <w:rPr>
          <w:rFonts w:asciiTheme="minorHAnsi" w:hAnsiTheme="minorHAnsi" w:cstheme="minorHAnsi"/>
          <w:sz w:val="22"/>
          <w:szCs w:val="21"/>
        </w:rPr>
      </w:pPr>
      <w:r>
        <w:rPr>
          <w:rFonts w:asciiTheme="minorHAnsi" w:hAnsiTheme="minorHAnsi" w:cstheme="minorHAnsi"/>
          <w:sz w:val="22"/>
          <w:szCs w:val="21"/>
        </w:rPr>
        <w:lastRenderedPageBreak/>
        <w:t>The standard duty of care ensures that all employers in all workplaces must identify any potential risks or hazards within the workplace and ensure that all health and safety measures are in place to ensure the safety of all staff within the workplace. The employees of the existing workplace also have a standard duty of care in which they must ensure they Take reasonable care of their own health and safety, comply with reasonable instructions and ensure they do not affect the health and safety of other workers.</w:t>
      </w:r>
    </w:p>
    <w:p w:rsidR="00AA3479" w:rsidRPr="001E3DB9" w:rsidRDefault="00AA3479" w:rsidP="00113762">
      <w:pPr>
        <w:pStyle w:val="NormalWeb"/>
        <w:shd w:val="clear" w:color="auto" w:fill="FFFFFF"/>
        <w:spacing w:before="0" w:beforeAutospacing="0" w:after="360" w:afterAutospacing="0"/>
        <w:jc w:val="both"/>
        <w:rPr>
          <w:rFonts w:asciiTheme="minorHAnsi" w:hAnsiTheme="minorHAnsi" w:cstheme="minorHAnsi"/>
          <w:sz w:val="22"/>
          <w:szCs w:val="21"/>
        </w:rPr>
      </w:pPr>
    </w:p>
    <w:p w:rsidR="001E3DB9" w:rsidRDefault="006A35D6" w:rsidP="00113762">
      <w:pPr>
        <w:pStyle w:val="NormalWeb"/>
        <w:shd w:val="clear" w:color="auto" w:fill="FFFFFF"/>
        <w:spacing w:before="0" w:beforeAutospacing="0" w:after="360" w:afterAutospacing="0"/>
        <w:jc w:val="both"/>
        <w:rPr>
          <w:rFonts w:asciiTheme="minorHAnsi" w:hAnsiTheme="minorHAnsi" w:cstheme="minorHAnsi"/>
          <w:b/>
          <w:szCs w:val="21"/>
          <w:u w:val="single"/>
        </w:rPr>
      </w:pPr>
      <w:r>
        <w:rPr>
          <w:rFonts w:asciiTheme="minorHAnsi" w:hAnsiTheme="minorHAnsi" w:cstheme="minorHAnsi"/>
          <w:b/>
          <w:szCs w:val="21"/>
          <w:u w:val="single"/>
        </w:rPr>
        <w:t xml:space="preserve">3.3 </w:t>
      </w:r>
      <w:r w:rsidR="001E3DB9" w:rsidRPr="001E3DB9">
        <w:rPr>
          <w:rFonts w:asciiTheme="minorHAnsi" w:hAnsiTheme="minorHAnsi" w:cstheme="minorHAnsi"/>
          <w:b/>
          <w:szCs w:val="21"/>
          <w:u w:val="single"/>
        </w:rPr>
        <w:t>Harm caused by breach of duty;</w:t>
      </w:r>
    </w:p>
    <w:p w:rsidR="001E3DB9" w:rsidRDefault="001E3DB9" w:rsidP="00113762">
      <w:pPr>
        <w:pStyle w:val="NormalWeb"/>
        <w:shd w:val="clear" w:color="auto" w:fill="FFFFFF"/>
        <w:spacing w:before="0" w:beforeAutospacing="0" w:after="360" w:afterAutospacing="0"/>
        <w:jc w:val="both"/>
        <w:rPr>
          <w:rFonts w:asciiTheme="minorHAnsi" w:hAnsiTheme="minorHAnsi" w:cstheme="minorHAnsi"/>
          <w:szCs w:val="21"/>
        </w:rPr>
      </w:pPr>
      <w:r w:rsidRPr="001E3DB9">
        <w:rPr>
          <w:rFonts w:asciiTheme="minorHAnsi" w:hAnsiTheme="minorHAnsi" w:cstheme="minorHAnsi"/>
          <w:szCs w:val="21"/>
        </w:rPr>
        <w:t>Damages resulting from a breach of d</w:t>
      </w:r>
      <w:r>
        <w:rPr>
          <w:rFonts w:asciiTheme="minorHAnsi" w:hAnsiTheme="minorHAnsi" w:cstheme="minorHAnsi"/>
          <w:szCs w:val="21"/>
        </w:rPr>
        <w:t>uty must be proven by the plaintiff</w:t>
      </w:r>
      <w:r w:rsidRPr="001E3DB9">
        <w:rPr>
          <w:rFonts w:asciiTheme="minorHAnsi" w:hAnsiTheme="minorHAnsi" w:cstheme="minorHAnsi"/>
          <w:szCs w:val="21"/>
        </w:rPr>
        <w:t xml:space="preserve"> in a way that shows the defendants' negligence, whether it caused the damage directly or indirectly. In other words, the pl</w:t>
      </w:r>
      <w:r>
        <w:rPr>
          <w:rFonts w:asciiTheme="minorHAnsi" w:hAnsiTheme="minorHAnsi" w:cstheme="minorHAnsi"/>
          <w:szCs w:val="21"/>
        </w:rPr>
        <w:t>aintiff must present solid evidence</w:t>
      </w:r>
      <w:r w:rsidRPr="001E3DB9">
        <w:rPr>
          <w:rFonts w:asciiTheme="minorHAnsi" w:hAnsiTheme="minorHAnsi" w:cstheme="minorHAnsi"/>
          <w:szCs w:val="21"/>
        </w:rPr>
        <w:t xml:space="preserve"> that the defendant is to bla</w:t>
      </w:r>
      <w:r w:rsidR="001231EA">
        <w:rPr>
          <w:rFonts w:asciiTheme="minorHAnsi" w:hAnsiTheme="minorHAnsi" w:cstheme="minorHAnsi"/>
          <w:szCs w:val="21"/>
        </w:rPr>
        <w:t xml:space="preserve">me for the incident; otherwise, </w:t>
      </w:r>
      <w:r w:rsidR="001231EA" w:rsidRPr="001231EA">
        <w:rPr>
          <w:rFonts w:asciiTheme="minorHAnsi" w:hAnsiTheme="minorHAnsi" w:cstheme="minorHAnsi"/>
          <w:szCs w:val="21"/>
        </w:rPr>
        <w:t xml:space="preserve">if </w:t>
      </w:r>
      <w:r w:rsidRPr="001231EA">
        <w:rPr>
          <w:rFonts w:asciiTheme="minorHAnsi" w:hAnsiTheme="minorHAnsi" w:cstheme="minorHAnsi"/>
          <w:szCs w:val="21"/>
        </w:rPr>
        <w:t>the defendant's actions resulted in the injury due to chance or</w:t>
      </w:r>
      <w:r w:rsidR="001231EA">
        <w:rPr>
          <w:rFonts w:asciiTheme="minorHAnsi" w:hAnsiTheme="minorHAnsi" w:cstheme="minorHAnsi"/>
          <w:szCs w:val="21"/>
        </w:rPr>
        <w:t xml:space="preserve"> </w:t>
      </w:r>
      <w:r w:rsidRPr="001E3DB9">
        <w:rPr>
          <w:rFonts w:asciiTheme="minorHAnsi" w:hAnsiTheme="minorHAnsi" w:cstheme="minorHAnsi"/>
          <w:szCs w:val="21"/>
        </w:rPr>
        <w:t>unanticipated circumstances, this would likely be viewed as unforeseeable and the defendant would not be held accountable.</w:t>
      </w:r>
    </w:p>
    <w:p w:rsidR="00C223F1" w:rsidRDefault="006A35D6" w:rsidP="00C223F1">
      <w:pPr>
        <w:pStyle w:val="NormalWeb"/>
        <w:shd w:val="clear" w:color="auto" w:fill="FFFFFF"/>
        <w:spacing w:before="0" w:beforeAutospacing="0" w:after="360" w:afterAutospacing="0"/>
        <w:jc w:val="center"/>
        <w:rPr>
          <w:rFonts w:asciiTheme="minorHAnsi" w:hAnsiTheme="minorHAnsi" w:cstheme="minorHAnsi"/>
          <w:b/>
          <w:sz w:val="28"/>
          <w:szCs w:val="21"/>
          <w:u w:val="single"/>
        </w:rPr>
      </w:pPr>
      <w:r>
        <w:rPr>
          <w:rFonts w:asciiTheme="minorHAnsi" w:hAnsiTheme="minorHAnsi" w:cstheme="minorHAnsi"/>
          <w:b/>
          <w:sz w:val="28"/>
          <w:szCs w:val="21"/>
          <w:u w:val="single"/>
        </w:rPr>
        <w:t xml:space="preserve">4.0 </w:t>
      </w:r>
      <w:r w:rsidR="00C223F1" w:rsidRPr="00C223F1">
        <w:rPr>
          <w:rFonts w:asciiTheme="minorHAnsi" w:hAnsiTheme="minorHAnsi" w:cstheme="minorHAnsi"/>
          <w:b/>
          <w:sz w:val="28"/>
          <w:szCs w:val="21"/>
          <w:u w:val="single"/>
        </w:rPr>
        <w:t>Case law within construction and the effect it can have on project progression</w:t>
      </w:r>
    </w:p>
    <w:p w:rsidR="00260583" w:rsidRPr="00E453ED" w:rsidRDefault="00260583" w:rsidP="00260583">
      <w:pPr>
        <w:pStyle w:val="paragraph"/>
        <w:spacing w:before="0" w:beforeAutospacing="0" w:after="0" w:afterAutospacing="0"/>
        <w:textAlignment w:val="baseline"/>
        <w:rPr>
          <w:rStyle w:val="eop"/>
          <w:rFonts w:ascii="Arial" w:hAnsi="Arial" w:cs="Arial"/>
          <w:b/>
          <w:bCs/>
          <w:sz w:val="22"/>
          <w:szCs w:val="22"/>
          <w:u w:val="single"/>
          <w:lang w:val="en-US"/>
        </w:rPr>
      </w:pPr>
      <w:r w:rsidRPr="00E453ED">
        <w:rPr>
          <w:rStyle w:val="normaltextrun"/>
          <w:rFonts w:ascii="Trebuchet MS" w:hAnsi="Trebuchet MS" w:cs="Arial"/>
          <w:b/>
          <w:bCs/>
          <w:sz w:val="22"/>
          <w:szCs w:val="22"/>
          <w:u w:val="single"/>
        </w:rPr>
        <w:t>Paris v Stepney Borough Council [1957]</w:t>
      </w:r>
      <w:r w:rsidRPr="00E453ED">
        <w:rPr>
          <w:rStyle w:val="eop"/>
          <w:rFonts w:ascii="Arial" w:hAnsi="Arial" w:cs="Arial"/>
          <w:b/>
          <w:bCs/>
          <w:sz w:val="22"/>
          <w:szCs w:val="22"/>
          <w:u w:val="single"/>
          <w:lang w:val="en-US"/>
        </w:rPr>
        <w:t xml:space="preserve"> ​</w:t>
      </w:r>
    </w:p>
    <w:p w:rsidR="00260583" w:rsidRPr="00E453ED" w:rsidRDefault="00260583" w:rsidP="00260583">
      <w:pPr>
        <w:pStyle w:val="paragraph"/>
        <w:spacing w:before="0" w:beforeAutospacing="0" w:after="0" w:afterAutospacing="0"/>
        <w:textAlignment w:val="baseline"/>
        <w:rPr>
          <w:rStyle w:val="eop"/>
          <w:rFonts w:ascii="Arial" w:hAnsi="Arial" w:cs="Arial"/>
          <w:b/>
          <w:bCs/>
          <w:sz w:val="22"/>
          <w:szCs w:val="22"/>
          <w:u w:val="single"/>
          <w:lang w:val="en-US"/>
        </w:rPr>
      </w:pPr>
    </w:p>
    <w:p w:rsidR="00260583" w:rsidRPr="00E453ED" w:rsidRDefault="00260583" w:rsidP="00260583">
      <w:pPr>
        <w:pStyle w:val="paragraph"/>
        <w:spacing w:before="0" w:beforeAutospacing="0" w:after="0" w:afterAutospacing="0"/>
        <w:textAlignment w:val="baseline"/>
        <w:rPr>
          <w:rStyle w:val="eop"/>
          <w:rFonts w:ascii="Arial" w:hAnsi="Arial" w:cs="Arial"/>
          <w:sz w:val="22"/>
          <w:szCs w:val="22"/>
          <w:lang w:val="en-US"/>
        </w:rPr>
      </w:pPr>
      <w:r w:rsidRPr="00E453ED">
        <w:rPr>
          <w:rStyle w:val="eop"/>
          <w:rFonts w:ascii="Arial" w:hAnsi="Arial" w:cs="Arial"/>
          <w:sz w:val="22"/>
          <w:szCs w:val="22"/>
          <w:lang w:val="en-US"/>
        </w:rPr>
        <w:t xml:space="preserve">In this case the claimant had been working in a garage. </w:t>
      </w:r>
      <w:r w:rsidR="004C11D2" w:rsidRPr="00E453ED">
        <w:rPr>
          <w:rStyle w:val="eop"/>
          <w:rFonts w:ascii="Arial" w:hAnsi="Arial" w:cs="Arial"/>
          <w:sz w:val="22"/>
          <w:szCs w:val="22"/>
          <w:lang w:val="en-US"/>
        </w:rPr>
        <w:t xml:space="preserve">The individual only had sight in one eye after damaging his eye significantly in the war. </w:t>
      </w:r>
      <w:r w:rsidR="00E453ED" w:rsidRPr="00E453ED">
        <w:rPr>
          <w:rStyle w:val="eop"/>
          <w:rFonts w:ascii="Arial" w:hAnsi="Arial" w:cs="Arial"/>
          <w:sz w:val="22"/>
          <w:szCs w:val="22"/>
          <w:lang w:val="en-US"/>
        </w:rPr>
        <w:t>When cutting metal, h</w:t>
      </w:r>
      <w:r w:rsidRPr="00E453ED">
        <w:rPr>
          <w:rStyle w:val="eop"/>
          <w:rFonts w:ascii="Arial" w:hAnsi="Arial" w:cs="Arial"/>
          <w:sz w:val="22"/>
          <w:szCs w:val="22"/>
          <w:lang w:val="en-US"/>
        </w:rPr>
        <w:t>e was not provided safety goggle</w:t>
      </w:r>
      <w:r w:rsidR="00E453ED" w:rsidRPr="00E453ED">
        <w:rPr>
          <w:rStyle w:val="eop"/>
          <w:rFonts w:ascii="Arial" w:hAnsi="Arial" w:cs="Arial"/>
          <w:sz w:val="22"/>
          <w:szCs w:val="22"/>
          <w:lang w:val="en-US"/>
        </w:rPr>
        <w:t>s</w:t>
      </w:r>
      <w:r w:rsidRPr="00E453ED">
        <w:rPr>
          <w:rStyle w:val="eop"/>
          <w:rFonts w:ascii="Arial" w:hAnsi="Arial" w:cs="Arial"/>
          <w:sz w:val="22"/>
          <w:szCs w:val="22"/>
          <w:lang w:val="en-US"/>
        </w:rPr>
        <w:t>. Unfortunately, a piece of metal struck the claimant in his undamaged eye leaving him blind. The claimant sued his employer in the claim of negligence.</w:t>
      </w:r>
    </w:p>
    <w:p w:rsidR="004646F2" w:rsidRPr="00E453ED" w:rsidRDefault="004646F2" w:rsidP="00260583">
      <w:pPr>
        <w:pStyle w:val="paragraph"/>
        <w:spacing w:before="0" w:beforeAutospacing="0" w:after="0" w:afterAutospacing="0"/>
        <w:textAlignment w:val="baseline"/>
        <w:rPr>
          <w:rStyle w:val="eop"/>
          <w:rFonts w:ascii="Arial" w:hAnsi="Arial" w:cs="Arial"/>
          <w:sz w:val="22"/>
          <w:szCs w:val="22"/>
          <w:lang w:val="en-US"/>
        </w:rPr>
      </w:pPr>
    </w:p>
    <w:p w:rsidR="004646F2" w:rsidRPr="00E453ED" w:rsidRDefault="004646F2" w:rsidP="00260583">
      <w:pPr>
        <w:pStyle w:val="paragraph"/>
        <w:spacing w:before="0" w:beforeAutospacing="0" w:after="0" w:afterAutospacing="0"/>
        <w:textAlignment w:val="baseline"/>
        <w:rPr>
          <w:rStyle w:val="eop"/>
          <w:rFonts w:ascii="Arial" w:hAnsi="Arial" w:cs="Arial"/>
          <w:sz w:val="22"/>
          <w:szCs w:val="22"/>
          <w:lang w:val="en-US"/>
        </w:rPr>
      </w:pPr>
      <w:r w:rsidRPr="00E453ED">
        <w:rPr>
          <w:rStyle w:val="eop"/>
          <w:rFonts w:ascii="Arial" w:hAnsi="Arial" w:cs="Arial"/>
          <w:sz w:val="22"/>
          <w:szCs w:val="22"/>
          <w:lang w:val="en-US"/>
        </w:rPr>
        <w:t>Establishing that the defendant owed the claimant a duty of care, which was breached in a manner. This then caused the claimant unrecoverable harm. To establish the breach of any duty of care owed, the claimant must provide evidence that the defendant failed to act like any reasonable person would in the same situation.</w:t>
      </w:r>
    </w:p>
    <w:p w:rsidR="007549E5" w:rsidRPr="00E453ED" w:rsidRDefault="007549E5" w:rsidP="00260583">
      <w:pPr>
        <w:pStyle w:val="paragraph"/>
        <w:spacing w:before="0" w:beforeAutospacing="0" w:after="0" w:afterAutospacing="0"/>
        <w:textAlignment w:val="baseline"/>
        <w:rPr>
          <w:rStyle w:val="eop"/>
          <w:rFonts w:ascii="Arial" w:hAnsi="Arial" w:cs="Arial"/>
          <w:sz w:val="22"/>
          <w:szCs w:val="22"/>
          <w:lang w:val="en-US"/>
        </w:rPr>
      </w:pPr>
    </w:p>
    <w:p w:rsidR="007549E5" w:rsidRPr="00E453ED" w:rsidRDefault="007549E5" w:rsidP="00260583">
      <w:pPr>
        <w:pStyle w:val="paragraph"/>
        <w:spacing w:before="0" w:beforeAutospacing="0" w:after="0" w:afterAutospacing="0"/>
        <w:textAlignment w:val="baseline"/>
        <w:rPr>
          <w:rStyle w:val="eop"/>
          <w:rFonts w:ascii="Arial" w:hAnsi="Arial" w:cs="Arial"/>
          <w:sz w:val="22"/>
          <w:szCs w:val="22"/>
          <w:lang w:val="en-US"/>
        </w:rPr>
      </w:pPr>
      <w:r w:rsidRPr="00E453ED">
        <w:rPr>
          <w:rStyle w:val="eop"/>
          <w:rFonts w:ascii="Arial" w:hAnsi="Arial" w:cs="Arial"/>
          <w:sz w:val="22"/>
          <w:szCs w:val="22"/>
          <w:lang w:val="en-US"/>
        </w:rPr>
        <w:t>For this case to be successful for the claimant, they had to determine what factors were relevant to determine how the reasonable person would behave, and therefore when the defendant would be in breach of their duty of care.</w:t>
      </w:r>
    </w:p>
    <w:p w:rsidR="007549E5" w:rsidRPr="00E453ED" w:rsidRDefault="007549E5" w:rsidP="00260583">
      <w:pPr>
        <w:pStyle w:val="paragraph"/>
        <w:spacing w:before="0" w:beforeAutospacing="0" w:after="0" w:afterAutospacing="0"/>
        <w:textAlignment w:val="baseline"/>
        <w:rPr>
          <w:rStyle w:val="eop"/>
          <w:rFonts w:ascii="Arial" w:hAnsi="Arial" w:cs="Arial"/>
          <w:sz w:val="22"/>
          <w:szCs w:val="22"/>
          <w:lang w:val="en-US"/>
        </w:rPr>
      </w:pPr>
    </w:p>
    <w:p w:rsidR="007549E5" w:rsidRDefault="007549E5" w:rsidP="00260583">
      <w:pPr>
        <w:pStyle w:val="paragraph"/>
        <w:spacing w:before="0" w:beforeAutospacing="0" w:after="0" w:afterAutospacing="0"/>
        <w:textAlignment w:val="baseline"/>
        <w:rPr>
          <w:rStyle w:val="eop"/>
          <w:rFonts w:ascii="Arial" w:hAnsi="Arial" w:cs="Arial"/>
          <w:color w:val="404040"/>
          <w:sz w:val="22"/>
          <w:szCs w:val="22"/>
          <w:lang w:val="en-US"/>
        </w:rPr>
      </w:pPr>
      <w:r w:rsidRPr="00E453ED">
        <w:rPr>
          <w:rStyle w:val="eop"/>
          <w:rFonts w:ascii="Arial" w:hAnsi="Arial" w:cs="Arial"/>
          <w:sz w:val="22"/>
          <w:szCs w:val="22"/>
          <w:lang w:val="en-US"/>
        </w:rPr>
        <w:t xml:space="preserve">In the </w:t>
      </w:r>
      <w:r w:rsidR="00A804A2" w:rsidRPr="00E453ED">
        <w:rPr>
          <w:rStyle w:val="eop"/>
          <w:rFonts w:ascii="Arial" w:hAnsi="Arial" w:cs="Arial"/>
          <w:sz w:val="22"/>
          <w:szCs w:val="22"/>
          <w:lang w:val="en-US"/>
        </w:rPr>
        <w:t>defendant’s</w:t>
      </w:r>
      <w:r w:rsidRPr="00E453ED">
        <w:rPr>
          <w:rStyle w:val="eop"/>
          <w:rFonts w:ascii="Arial" w:hAnsi="Arial" w:cs="Arial"/>
          <w:sz w:val="22"/>
          <w:szCs w:val="22"/>
          <w:lang w:val="en-US"/>
        </w:rPr>
        <w:t xml:space="preserve"> argument, they stated that it was not normal practice to provide normally sighted employees with safety goggles, and therefore the defendant was under no obligation to provide them to the claimant</w:t>
      </w:r>
      <w:r>
        <w:rPr>
          <w:rStyle w:val="eop"/>
          <w:rFonts w:ascii="Arial" w:hAnsi="Arial" w:cs="Arial"/>
          <w:color w:val="404040"/>
          <w:sz w:val="22"/>
          <w:szCs w:val="22"/>
          <w:lang w:val="en-US"/>
        </w:rPr>
        <w:t>.</w:t>
      </w:r>
    </w:p>
    <w:p w:rsidR="004C11D2" w:rsidRDefault="004C11D2" w:rsidP="00260583">
      <w:pPr>
        <w:pStyle w:val="paragraph"/>
        <w:spacing w:before="0" w:beforeAutospacing="0" w:after="0" w:afterAutospacing="0"/>
        <w:textAlignment w:val="baseline"/>
        <w:rPr>
          <w:rStyle w:val="eop"/>
          <w:rFonts w:ascii="Arial" w:hAnsi="Arial" w:cs="Arial"/>
          <w:color w:val="404040"/>
          <w:sz w:val="22"/>
          <w:szCs w:val="22"/>
          <w:lang w:val="en-US"/>
        </w:rPr>
      </w:pPr>
    </w:p>
    <w:p w:rsidR="004C11D2" w:rsidRPr="00E453ED" w:rsidRDefault="004C11D2" w:rsidP="00260583">
      <w:pPr>
        <w:pStyle w:val="paragraph"/>
        <w:spacing w:before="0" w:beforeAutospacing="0" w:after="0" w:afterAutospacing="0"/>
        <w:textAlignment w:val="baseline"/>
        <w:rPr>
          <w:rStyle w:val="eop"/>
          <w:rFonts w:ascii="Arial" w:hAnsi="Arial" w:cs="Arial"/>
          <w:b/>
          <w:bCs/>
          <w:u w:val="single"/>
          <w:lang w:val="en-US"/>
        </w:rPr>
      </w:pPr>
      <w:r w:rsidRPr="00E453ED">
        <w:rPr>
          <w:rStyle w:val="eop"/>
          <w:rFonts w:ascii="Arial" w:hAnsi="Arial" w:cs="Arial"/>
          <w:b/>
          <w:bCs/>
          <w:u w:val="single"/>
          <w:lang w:val="en-US"/>
        </w:rPr>
        <w:t>The outcome;</w:t>
      </w:r>
    </w:p>
    <w:p w:rsidR="004C11D2" w:rsidRDefault="004C11D2" w:rsidP="00260583">
      <w:pPr>
        <w:pStyle w:val="paragraph"/>
        <w:spacing w:before="0" w:beforeAutospacing="0" w:after="0" w:afterAutospacing="0"/>
        <w:textAlignment w:val="baseline"/>
        <w:rPr>
          <w:rStyle w:val="eop"/>
          <w:rFonts w:ascii="Arial" w:hAnsi="Arial" w:cs="Arial"/>
          <w:b/>
          <w:bCs/>
          <w:color w:val="404040"/>
          <w:u w:val="single"/>
          <w:lang w:val="en-US"/>
        </w:rPr>
      </w:pPr>
    </w:p>
    <w:p w:rsidR="00E453ED" w:rsidRPr="00E453ED" w:rsidRDefault="00E453ED" w:rsidP="00E453ED">
      <w:pPr>
        <w:shd w:val="clear" w:color="auto" w:fill="FFFFFF"/>
        <w:spacing w:after="100" w:afterAutospacing="1" w:line="240" w:lineRule="auto"/>
        <w:rPr>
          <w:rFonts w:eastAsia="Times New Roman" w:cstheme="minorHAnsi"/>
          <w:color w:val="212529"/>
          <w:sz w:val="24"/>
          <w:szCs w:val="24"/>
          <w:lang w:eastAsia="en-GB"/>
        </w:rPr>
      </w:pPr>
      <w:r w:rsidRPr="00E453ED">
        <w:rPr>
          <w:rFonts w:eastAsia="Times New Roman" w:cstheme="minorHAnsi"/>
          <w:color w:val="212529"/>
          <w:sz w:val="24"/>
          <w:szCs w:val="24"/>
          <w:lang w:eastAsia="en-GB"/>
        </w:rPr>
        <w:t xml:space="preserve">The seriousness of the harm which might be caused to the claimant was relevant to how a reasonable person would behave. The court noted that the duty the defendant owed was to the </w:t>
      </w:r>
      <w:r w:rsidRPr="00E453ED">
        <w:rPr>
          <w:rFonts w:eastAsia="Times New Roman" w:cstheme="minorHAnsi"/>
          <w:color w:val="212529"/>
          <w:sz w:val="24"/>
          <w:szCs w:val="24"/>
          <w:lang w:eastAsia="en-GB"/>
        </w:rPr>
        <w:t>employee</w:t>
      </w:r>
      <w:r w:rsidRPr="00E453ED">
        <w:rPr>
          <w:rFonts w:eastAsia="Times New Roman" w:cstheme="minorHAnsi"/>
          <w:color w:val="212529"/>
          <w:sz w:val="24"/>
          <w:szCs w:val="24"/>
          <w:lang w:eastAsia="en-GB"/>
        </w:rPr>
        <w:t xml:space="preserve"> (with all his known characteristics), not to a hypothetical ‘reasonable’ employee.</w:t>
      </w:r>
    </w:p>
    <w:p w:rsidR="00E453ED" w:rsidRPr="00E453ED" w:rsidRDefault="00E453ED" w:rsidP="00E453ED">
      <w:pPr>
        <w:shd w:val="clear" w:color="auto" w:fill="FFFFFF"/>
        <w:spacing w:after="100" w:afterAutospacing="1" w:line="240" w:lineRule="auto"/>
        <w:rPr>
          <w:rFonts w:eastAsia="Times New Roman" w:cstheme="minorHAnsi"/>
          <w:color w:val="212529"/>
          <w:sz w:val="24"/>
          <w:szCs w:val="24"/>
          <w:lang w:eastAsia="en-GB"/>
        </w:rPr>
      </w:pPr>
      <w:r w:rsidRPr="00E453ED">
        <w:rPr>
          <w:rFonts w:eastAsia="Times New Roman" w:cstheme="minorHAnsi"/>
          <w:color w:val="212529"/>
          <w:sz w:val="24"/>
          <w:szCs w:val="24"/>
          <w:lang w:eastAsia="en-GB"/>
        </w:rPr>
        <w:lastRenderedPageBreak/>
        <w:t xml:space="preserve">Because the claimant had sight only in one eye, there was a strong potential that the harm would be </w:t>
      </w:r>
      <w:r w:rsidRPr="00E453ED">
        <w:rPr>
          <w:rFonts w:eastAsia="Times New Roman" w:cstheme="minorHAnsi"/>
          <w:color w:val="212529"/>
          <w:sz w:val="24"/>
          <w:szCs w:val="24"/>
          <w:lang w:eastAsia="en-GB"/>
        </w:rPr>
        <w:t>great</w:t>
      </w:r>
      <w:r w:rsidRPr="00E453ED">
        <w:rPr>
          <w:rFonts w:eastAsia="Times New Roman" w:cstheme="minorHAnsi"/>
          <w:color w:val="212529"/>
          <w:sz w:val="24"/>
          <w:szCs w:val="24"/>
          <w:lang w:eastAsia="en-GB"/>
        </w:rPr>
        <w:t xml:space="preserve">: more so than would be inflicted on a </w:t>
      </w:r>
      <w:r w:rsidRPr="00E453ED">
        <w:rPr>
          <w:rFonts w:eastAsia="Times New Roman" w:cstheme="minorHAnsi"/>
          <w:color w:val="212529"/>
          <w:sz w:val="24"/>
          <w:szCs w:val="24"/>
          <w:lang w:eastAsia="en-GB"/>
        </w:rPr>
        <w:t>normally sighted</w:t>
      </w:r>
      <w:r w:rsidRPr="00E453ED">
        <w:rPr>
          <w:rFonts w:eastAsia="Times New Roman" w:cstheme="minorHAnsi"/>
          <w:color w:val="212529"/>
          <w:sz w:val="24"/>
          <w:szCs w:val="24"/>
          <w:lang w:eastAsia="en-GB"/>
        </w:rPr>
        <w:t xml:space="preserve"> person. This meant that a reasonable person would take greater steps than usual to protect him</w:t>
      </w:r>
      <w:r>
        <w:rPr>
          <w:rFonts w:eastAsia="Times New Roman" w:cstheme="minorHAnsi"/>
          <w:color w:val="212529"/>
          <w:sz w:val="24"/>
          <w:szCs w:val="24"/>
          <w:lang w:eastAsia="en-GB"/>
        </w:rPr>
        <w:t>.</w:t>
      </w:r>
      <w:sdt>
        <w:sdtPr>
          <w:rPr>
            <w:rFonts w:eastAsia="Times New Roman" w:cstheme="minorHAnsi"/>
            <w:color w:val="212529"/>
            <w:sz w:val="24"/>
            <w:szCs w:val="24"/>
            <w:lang w:eastAsia="en-GB"/>
          </w:rPr>
          <w:id w:val="-1736155985"/>
          <w:citation/>
        </w:sdtPr>
        <w:sdtContent>
          <w:r>
            <w:rPr>
              <w:rFonts w:eastAsia="Times New Roman" w:cstheme="minorHAnsi"/>
              <w:color w:val="212529"/>
              <w:sz w:val="24"/>
              <w:szCs w:val="24"/>
              <w:lang w:eastAsia="en-GB"/>
            </w:rPr>
            <w:fldChar w:fldCharType="begin"/>
          </w:r>
          <w:r>
            <w:rPr>
              <w:rFonts w:eastAsia="Times New Roman" w:cstheme="minorHAnsi"/>
              <w:color w:val="212529"/>
              <w:sz w:val="24"/>
              <w:szCs w:val="24"/>
              <w:lang w:val="en-US" w:eastAsia="en-GB"/>
            </w:rPr>
            <w:instrText xml:space="preserve"> CITATION law21 \l 1033 </w:instrText>
          </w:r>
          <w:r>
            <w:rPr>
              <w:rFonts w:eastAsia="Times New Roman" w:cstheme="minorHAnsi"/>
              <w:color w:val="212529"/>
              <w:sz w:val="24"/>
              <w:szCs w:val="24"/>
              <w:lang w:eastAsia="en-GB"/>
            </w:rPr>
            <w:fldChar w:fldCharType="separate"/>
          </w:r>
          <w:r>
            <w:rPr>
              <w:rFonts w:eastAsia="Times New Roman" w:cstheme="minorHAnsi"/>
              <w:noProof/>
              <w:color w:val="212529"/>
              <w:sz w:val="24"/>
              <w:szCs w:val="24"/>
              <w:lang w:val="en-US" w:eastAsia="en-GB"/>
            </w:rPr>
            <w:t xml:space="preserve"> </w:t>
          </w:r>
          <w:r w:rsidRPr="00E453ED">
            <w:rPr>
              <w:rFonts w:eastAsia="Times New Roman" w:cstheme="minorHAnsi"/>
              <w:noProof/>
              <w:color w:val="212529"/>
              <w:sz w:val="24"/>
              <w:szCs w:val="24"/>
              <w:lang w:val="en-US" w:eastAsia="en-GB"/>
            </w:rPr>
            <w:t>(lawteacher, 2021)</w:t>
          </w:r>
          <w:r>
            <w:rPr>
              <w:rFonts w:eastAsia="Times New Roman" w:cstheme="minorHAnsi"/>
              <w:color w:val="212529"/>
              <w:sz w:val="24"/>
              <w:szCs w:val="24"/>
              <w:lang w:eastAsia="en-GB"/>
            </w:rPr>
            <w:fldChar w:fldCharType="end"/>
          </w:r>
        </w:sdtContent>
      </w:sdt>
    </w:p>
    <w:p w:rsidR="004C11D2" w:rsidRDefault="004C11D2" w:rsidP="00260583">
      <w:pPr>
        <w:pStyle w:val="paragraph"/>
        <w:spacing w:before="0" w:beforeAutospacing="0" w:after="0" w:afterAutospacing="0"/>
        <w:textAlignment w:val="baseline"/>
        <w:rPr>
          <w:rStyle w:val="eop"/>
          <w:rFonts w:ascii="Arial" w:hAnsi="Arial" w:cs="Arial"/>
          <w:color w:val="404040"/>
          <w:sz w:val="22"/>
          <w:szCs w:val="22"/>
          <w:lang w:val="en-US"/>
        </w:rPr>
      </w:pPr>
    </w:p>
    <w:p w:rsidR="004C11D2" w:rsidRPr="004C11D2" w:rsidRDefault="004C11D2" w:rsidP="00260583">
      <w:pPr>
        <w:pStyle w:val="paragraph"/>
        <w:spacing w:before="0" w:beforeAutospacing="0" w:after="0" w:afterAutospacing="0"/>
        <w:textAlignment w:val="baseline"/>
        <w:rPr>
          <w:rStyle w:val="eop"/>
          <w:rFonts w:ascii="Arial" w:hAnsi="Arial" w:cs="Arial"/>
          <w:color w:val="404040"/>
          <w:sz w:val="22"/>
          <w:szCs w:val="22"/>
          <w:lang w:val="en-US"/>
        </w:rPr>
      </w:pPr>
    </w:p>
    <w:p w:rsidR="00352F69" w:rsidRDefault="006A35D6" w:rsidP="00C223F1">
      <w:pPr>
        <w:pStyle w:val="NormalWeb"/>
        <w:shd w:val="clear" w:color="auto" w:fill="FFFFFF"/>
        <w:spacing w:before="0" w:beforeAutospacing="0" w:after="360" w:afterAutospacing="0"/>
        <w:rPr>
          <w:rFonts w:asciiTheme="minorHAnsi" w:hAnsiTheme="minorHAnsi" w:cstheme="minorHAnsi"/>
          <w:b/>
          <w:color w:val="000000" w:themeColor="text1"/>
          <w:szCs w:val="21"/>
          <w:u w:val="single"/>
        </w:rPr>
      </w:pPr>
      <w:r>
        <w:rPr>
          <w:rFonts w:asciiTheme="minorHAnsi" w:hAnsiTheme="minorHAnsi" w:cstheme="minorHAnsi"/>
          <w:b/>
          <w:color w:val="000000" w:themeColor="text1"/>
          <w:szCs w:val="21"/>
          <w:u w:val="single"/>
        </w:rPr>
        <w:t xml:space="preserve">4.1 </w:t>
      </w:r>
      <w:r w:rsidR="001231EA">
        <w:rPr>
          <w:rFonts w:asciiTheme="minorHAnsi" w:hAnsiTheme="minorHAnsi" w:cstheme="minorHAnsi"/>
          <w:b/>
          <w:color w:val="000000" w:themeColor="text1"/>
          <w:szCs w:val="21"/>
          <w:u w:val="single"/>
        </w:rPr>
        <w:t>Conclusion</w:t>
      </w:r>
    </w:p>
    <w:p w:rsidR="005842BB" w:rsidRPr="00E453ED" w:rsidRDefault="00E453ED" w:rsidP="00C223F1">
      <w:pPr>
        <w:pStyle w:val="NormalWeb"/>
        <w:shd w:val="clear" w:color="auto" w:fill="FFFFFF"/>
        <w:spacing w:before="0" w:beforeAutospacing="0" w:after="360" w:afterAutospacing="0"/>
        <w:rPr>
          <w:rFonts w:asciiTheme="minorHAnsi" w:hAnsiTheme="minorHAnsi" w:cstheme="minorHAnsi"/>
          <w:bCs/>
          <w:color w:val="000000" w:themeColor="text1"/>
          <w:szCs w:val="21"/>
        </w:rPr>
      </w:pPr>
      <w:r w:rsidRPr="00E453ED">
        <w:rPr>
          <w:rFonts w:asciiTheme="minorHAnsi" w:hAnsiTheme="minorHAnsi" w:cstheme="minorHAnsi"/>
          <w:bCs/>
          <w:color w:val="000000" w:themeColor="text1"/>
          <w:szCs w:val="21"/>
        </w:rPr>
        <w:t>This case highlights the importance of the duty of care within a workplace and what effect it can have on someone’s life when not followed correctly.</w:t>
      </w:r>
      <w:r>
        <w:rPr>
          <w:rFonts w:asciiTheme="minorHAnsi" w:hAnsiTheme="minorHAnsi" w:cstheme="minorHAnsi"/>
          <w:bCs/>
          <w:color w:val="000000" w:themeColor="text1"/>
          <w:szCs w:val="21"/>
        </w:rPr>
        <w:t xml:space="preserve"> If the employee was provided with the correct health and safety equipment when using such dangerous power tools, the employee’s eyesight would remain in that eye. Due to negligence and poor health and safety management, he has lost his sight. Since this case, the health and safety at work act has been implemented into all aspects of the work industry. The regulations are proving their importance to this day by keeping people safe and minimising work-related injuries daily.</w:t>
      </w:r>
    </w:p>
    <w:p w:rsidR="0026746C" w:rsidRDefault="006A35D6" w:rsidP="006A35D6">
      <w:pPr>
        <w:pStyle w:val="NormalWeb"/>
        <w:shd w:val="clear" w:color="auto" w:fill="FFFFFF"/>
        <w:spacing w:before="0" w:beforeAutospacing="0" w:after="360" w:afterAutospacing="0"/>
        <w:jc w:val="center"/>
        <w:rPr>
          <w:rFonts w:asciiTheme="minorHAnsi" w:hAnsiTheme="minorHAnsi" w:cstheme="minorHAnsi"/>
          <w:b/>
          <w:color w:val="000000" w:themeColor="text1"/>
          <w:szCs w:val="21"/>
          <w:u w:val="single"/>
        </w:rPr>
      </w:pPr>
      <w:r>
        <w:rPr>
          <w:rFonts w:asciiTheme="minorHAnsi" w:hAnsiTheme="minorHAnsi" w:cstheme="minorHAnsi"/>
          <w:b/>
          <w:color w:val="000000" w:themeColor="text1"/>
          <w:szCs w:val="21"/>
          <w:u w:val="single"/>
        </w:rPr>
        <w:t xml:space="preserve">5.0 </w:t>
      </w:r>
      <w:r w:rsidR="001231EA" w:rsidRPr="001231EA">
        <w:rPr>
          <w:rFonts w:asciiTheme="minorHAnsi" w:hAnsiTheme="minorHAnsi" w:cstheme="minorHAnsi"/>
          <w:b/>
          <w:color w:val="000000" w:themeColor="text1"/>
          <w:szCs w:val="21"/>
          <w:u w:val="single"/>
        </w:rPr>
        <w:t>Importance and</w:t>
      </w:r>
      <w:r w:rsidR="0026746C">
        <w:rPr>
          <w:rFonts w:asciiTheme="minorHAnsi" w:hAnsiTheme="minorHAnsi" w:cstheme="minorHAnsi"/>
          <w:b/>
          <w:color w:val="000000" w:themeColor="text1"/>
          <w:szCs w:val="21"/>
          <w:u w:val="single"/>
        </w:rPr>
        <w:t xml:space="preserve"> the</w:t>
      </w:r>
      <w:r w:rsidR="001231EA" w:rsidRPr="001231EA">
        <w:rPr>
          <w:rFonts w:asciiTheme="minorHAnsi" w:hAnsiTheme="minorHAnsi" w:cstheme="minorHAnsi"/>
          <w:b/>
          <w:color w:val="000000" w:themeColor="text1"/>
          <w:szCs w:val="21"/>
          <w:u w:val="single"/>
        </w:rPr>
        <w:t xml:space="preserve"> possible impact on project progression</w:t>
      </w:r>
    </w:p>
    <w:p w:rsidR="0026746C" w:rsidRDefault="0026746C"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r w:rsidRPr="0026746C">
        <w:rPr>
          <w:rFonts w:asciiTheme="minorHAnsi" w:hAnsiTheme="minorHAnsi" w:cstheme="minorHAnsi"/>
          <w:color w:val="000000" w:themeColor="text1"/>
          <w:szCs w:val="21"/>
        </w:rPr>
        <w:t xml:space="preserve">This case law </w:t>
      </w:r>
      <w:r>
        <w:rPr>
          <w:rFonts w:asciiTheme="minorHAnsi" w:hAnsiTheme="minorHAnsi" w:cstheme="minorHAnsi"/>
          <w:color w:val="000000" w:themeColor="text1"/>
          <w:szCs w:val="21"/>
        </w:rPr>
        <w:t xml:space="preserve">still proves its importance to this day. </w:t>
      </w:r>
      <w:r w:rsidR="006D17EC">
        <w:rPr>
          <w:rFonts w:asciiTheme="minorHAnsi" w:hAnsiTheme="minorHAnsi" w:cstheme="minorHAnsi"/>
          <w:color w:val="000000" w:themeColor="text1"/>
          <w:szCs w:val="21"/>
        </w:rPr>
        <w:t>The case took place in 1958 where health and safety regulations were not as in depth as todays. Without cases like this there would be little to no changes and alterations to the regulations.</w:t>
      </w:r>
      <w:r w:rsidR="00DF4F2D">
        <w:rPr>
          <w:rFonts w:asciiTheme="minorHAnsi" w:hAnsiTheme="minorHAnsi" w:cstheme="minorHAnsi"/>
          <w:color w:val="000000" w:themeColor="text1"/>
          <w:szCs w:val="21"/>
        </w:rPr>
        <w:t xml:space="preserve"> Incidents like this have almost acted like a lesson to the health and safety at work board. All construction sites will come across health and safety issues, whether it be smaller incidents like a cut on a finger or larger incidents with more severe outcomes. No matter the size of the incident, they all need to be reported so that they can be dealt with professionally. If the correct measures are taken place by contractors on site, there should be less incidents. Relating to this case, if the defendant had provided his </w:t>
      </w:r>
      <w:r w:rsidR="00E453ED">
        <w:rPr>
          <w:rFonts w:asciiTheme="minorHAnsi" w:hAnsiTheme="minorHAnsi" w:cstheme="minorHAnsi"/>
          <w:color w:val="000000" w:themeColor="text1"/>
          <w:szCs w:val="21"/>
        </w:rPr>
        <w:t>employee</w:t>
      </w:r>
      <w:r w:rsidR="00DF4F2D">
        <w:rPr>
          <w:rFonts w:asciiTheme="minorHAnsi" w:hAnsiTheme="minorHAnsi" w:cstheme="minorHAnsi"/>
          <w:color w:val="000000" w:themeColor="text1"/>
          <w:szCs w:val="21"/>
        </w:rPr>
        <w:t xml:space="preserve"> with safety goggles, the claimant would </w:t>
      </w:r>
      <w:r w:rsidR="00E453ED">
        <w:rPr>
          <w:rFonts w:asciiTheme="minorHAnsi" w:hAnsiTheme="minorHAnsi" w:cstheme="minorHAnsi"/>
          <w:color w:val="000000" w:themeColor="text1"/>
          <w:szCs w:val="21"/>
        </w:rPr>
        <w:t>have kept his eyesight in that eye.</w:t>
      </w:r>
      <w:r w:rsidR="00DF4F2D">
        <w:rPr>
          <w:rFonts w:asciiTheme="minorHAnsi" w:hAnsiTheme="minorHAnsi" w:cstheme="minorHAnsi"/>
          <w:color w:val="000000" w:themeColor="text1"/>
          <w:szCs w:val="21"/>
        </w:rPr>
        <w:t xml:space="preserve"> </w:t>
      </w:r>
      <w:r w:rsidR="00E453ED">
        <w:rPr>
          <w:rFonts w:asciiTheme="minorHAnsi" w:hAnsiTheme="minorHAnsi" w:cstheme="minorHAnsi"/>
          <w:color w:val="000000" w:themeColor="text1"/>
          <w:szCs w:val="21"/>
        </w:rPr>
        <w:t>This case</w:t>
      </w:r>
      <w:r w:rsidR="003C6DCA">
        <w:rPr>
          <w:rFonts w:asciiTheme="minorHAnsi" w:hAnsiTheme="minorHAnsi" w:cstheme="minorHAnsi"/>
          <w:color w:val="000000" w:themeColor="text1"/>
          <w:szCs w:val="21"/>
        </w:rPr>
        <w:t xml:space="preserve"> is still related to daily within the construction industry</w:t>
      </w:r>
      <w:r w:rsidR="00E453ED">
        <w:rPr>
          <w:rFonts w:asciiTheme="minorHAnsi" w:hAnsiTheme="minorHAnsi" w:cstheme="minorHAnsi"/>
          <w:color w:val="000000" w:themeColor="text1"/>
          <w:szCs w:val="21"/>
        </w:rPr>
        <w:t xml:space="preserve"> as there are many near misses or incidents which are like this case.</w:t>
      </w:r>
    </w:p>
    <w:p w:rsidR="00E453ED" w:rsidRDefault="00E453ED"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r>
        <w:rPr>
          <w:rFonts w:asciiTheme="minorHAnsi" w:hAnsiTheme="minorHAnsi" w:cstheme="minorHAnsi"/>
          <w:color w:val="000000" w:themeColor="text1"/>
          <w:szCs w:val="21"/>
        </w:rPr>
        <w:t xml:space="preserve">Risk assessment and method statements are now in place to prevent any work-related injuries. Relating to this case, a risk assessment would be done before any works is carried out. The risk assessment would identify what risks there are when performing this act, who is at risk and what can be done to lower the risk. A method statement is in place to guide all workers on how to perform any work acts safely. </w:t>
      </w:r>
    </w:p>
    <w:p w:rsidR="00E453ED" w:rsidRDefault="00E453ED"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r>
        <w:rPr>
          <w:rFonts w:asciiTheme="minorHAnsi" w:hAnsiTheme="minorHAnsi" w:cstheme="minorHAnsi"/>
          <w:color w:val="000000" w:themeColor="text1"/>
          <w:szCs w:val="21"/>
        </w:rPr>
        <w:t>Permits are also a method which helps prevent any possible accidents. A permit is issued when the site management team are happy that the person is competent and trained to carry out the work act, all safety equipment is being used and finally that there are no possible hazards around the area that may cause harm to any employees.</w:t>
      </w:r>
    </w:p>
    <w:p w:rsidR="00E453ED" w:rsidRDefault="00E453ED"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r>
        <w:rPr>
          <w:rFonts w:asciiTheme="minorHAnsi" w:hAnsiTheme="minorHAnsi" w:cstheme="minorHAnsi"/>
          <w:color w:val="000000" w:themeColor="text1"/>
          <w:szCs w:val="21"/>
        </w:rPr>
        <w:t>All these measurements are in place as part of the duty of care act within a workplace and prevent negligence in the workplace.</w:t>
      </w:r>
    </w:p>
    <w:p w:rsidR="00E453ED" w:rsidRDefault="00E453ED"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p>
    <w:p w:rsidR="00E453ED" w:rsidRDefault="00E453ED"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p>
    <w:p w:rsidR="00CD42CC" w:rsidRDefault="006A35D6" w:rsidP="00C223F1">
      <w:pPr>
        <w:pStyle w:val="NormalWeb"/>
        <w:shd w:val="clear" w:color="auto" w:fill="FFFFFF"/>
        <w:spacing w:before="0" w:beforeAutospacing="0" w:after="360" w:afterAutospacing="0"/>
        <w:rPr>
          <w:rFonts w:asciiTheme="minorHAnsi" w:hAnsiTheme="minorHAnsi" w:cstheme="minorHAnsi"/>
          <w:b/>
          <w:color w:val="000000" w:themeColor="text1"/>
          <w:szCs w:val="21"/>
          <w:u w:val="single"/>
        </w:rPr>
      </w:pPr>
      <w:r>
        <w:rPr>
          <w:rFonts w:asciiTheme="minorHAnsi" w:hAnsiTheme="minorHAnsi" w:cstheme="minorHAnsi"/>
          <w:b/>
          <w:color w:val="000000" w:themeColor="text1"/>
          <w:szCs w:val="21"/>
          <w:u w:val="single"/>
        </w:rPr>
        <w:t xml:space="preserve">6.0 </w:t>
      </w:r>
      <w:r w:rsidR="000B4168" w:rsidRPr="000B4168">
        <w:rPr>
          <w:rFonts w:asciiTheme="minorHAnsi" w:hAnsiTheme="minorHAnsi" w:cstheme="minorHAnsi"/>
          <w:b/>
          <w:color w:val="000000" w:themeColor="text1"/>
          <w:szCs w:val="21"/>
          <w:u w:val="single"/>
        </w:rPr>
        <w:t>The impact of adjudication upon deciding a dispute.</w:t>
      </w:r>
    </w:p>
    <w:p w:rsidR="000B4168" w:rsidRDefault="000B4168" w:rsidP="00C223F1">
      <w:pPr>
        <w:pStyle w:val="NormalWeb"/>
        <w:shd w:val="clear" w:color="auto" w:fill="FFFFFF"/>
        <w:spacing w:before="0" w:beforeAutospacing="0" w:after="360" w:afterAutospacing="0"/>
        <w:rPr>
          <w:rFonts w:asciiTheme="minorHAnsi" w:hAnsiTheme="minorHAnsi" w:cstheme="minorHAnsi"/>
          <w:color w:val="000000" w:themeColor="text1"/>
        </w:rPr>
      </w:pPr>
      <w:r>
        <w:rPr>
          <w:rFonts w:asciiTheme="minorHAnsi" w:hAnsiTheme="minorHAnsi" w:cstheme="minorHAnsi"/>
          <w:color w:val="000000" w:themeColor="text1"/>
          <w:szCs w:val="21"/>
        </w:rPr>
        <w:t>Adjudication can be a ben</w:t>
      </w:r>
      <w:r w:rsidR="00161B9B">
        <w:rPr>
          <w:rFonts w:asciiTheme="minorHAnsi" w:hAnsiTheme="minorHAnsi" w:cstheme="minorHAnsi"/>
          <w:color w:val="000000" w:themeColor="text1"/>
          <w:szCs w:val="21"/>
        </w:rPr>
        <w:t>eficial method of settling a dispute</w:t>
      </w:r>
      <w:r w:rsidR="00E453ED">
        <w:rPr>
          <w:rFonts w:asciiTheme="minorHAnsi" w:hAnsiTheme="minorHAnsi" w:cstheme="minorHAnsi"/>
          <w:color w:val="000000" w:themeColor="text1"/>
          <w:szCs w:val="21"/>
        </w:rPr>
        <w:t xml:space="preserve"> between multiple parties</w:t>
      </w:r>
      <w:r w:rsidR="00161B9B">
        <w:rPr>
          <w:rFonts w:asciiTheme="minorHAnsi" w:hAnsiTheme="minorHAnsi" w:cstheme="minorHAnsi"/>
          <w:color w:val="000000" w:themeColor="text1"/>
          <w:szCs w:val="21"/>
        </w:rPr>
        <w:t>.</w:t>
      </w:r>
      <w:r w:rsidR="00E453ED">
        <w:rPr>
          <w:rFonts w:asciiTheme="minorHAnsi" w:hAnsiTheme="minorHAnsi" w:cstheme="minorHAnsi"/>
          <w:color w:val="000000" w:themeColor="text1"/>
          <w:szCs w:val="21"/>
        </w:rPr>
        <w:t xml:space="preserve"> An adjudication is a formal judgement which is decided within a court where it is both heard and judged. An adjudication provides</w:t>
      </w:r>
      <w:r w:rsidR="00161B9B">
        <w:rPr>
          <w:rFonts w:asciiTheme="minorHAnsi" w:hAnsiTheme="minorHAnsi" w:cstheme="minorHAnsi"/>
          <w:color w:val="000000" w:themeColor="text1"/>
          <w:szCs w:val="21"/>
        </w:rPr>
        <w:t xml:space="preserve"> a very short window in which the dispute </w:t>
      </w:r>
      <w:r w:rsidR="00E453ED">
        <w:rPr>
          <w:rFonts w:asciiTheme="minorHAnsi" w:hAnsiTheme="minorHAnsi" w:cstheme="minorHAnsi"/>
          <w:color w:val="000000" w:themeColor="text1"/>
          <w:szCs w:val="21"/>
        </w:rPr>
        <w:t>must</w:t>
      </w:r>
      <w:r w:rsidR="00161B9B">
        <w:rPr>
          <w:rFonts w:asciiTheme="minorHAnsi" w:hAnsiTheme="minorHAnsi" w:cstheme="minorHAnsi"/>
          <w:color w:val="000000" w:themeColor="text1"/>
          <w:szCs w:val="21"/>
        </w:rPr>
        <w:t xml:space="preserve"> be settled, which can be beneficial for organisations wanting a dispute settled in a short period of time. The timeframe can be extended to 42 days if both parties involved in the dispute agree. However, in the “</w:t>
      </w:r>
      <w:hyperlink r:id="rId6" w:tooltip="Legal update, Adjudicator's decision enforced as no breach of natural justice (TCC)" w:history="1">
        <w:r w:rsidR="00161B9B" w:rsidRPr="00161B9B">
          <w:rPr>
            <w:rStyle w:val="Emphasis"/>
            <w:rFonts w:asciiTheme="minorHAnsi" w:eastAsiaTheme="majorEastAsia" w:hAnsiTheme="minorHAnsi" w:cstheme="minorHAnsi"/>
            <w:i w:val="0"/>
            <w:color w:val="000000" w:themeColor="text1"/>
            <w:shd w:val="clear" w:color="auto" w:fill="FFFFFF"/>
          </w:rPr>
          <w:t>Vinci Construction UK Ltd v Beumer Group UK Ltd</w:t>
        </w:r>
      </w:hyperlink>
      <w:r w:rsidR="00161B9B">
        <w:rPr>
          <w:rFonts w:asciiTheme="minorHAnsi" w:hAnsiTheme="minorHAnsi" w:cstheme="minorHAnsi"/>
          <w:i/>
          <w:color w:val="000000" w:themeColor="text1"/>
        </w:rPr>
        <w:t xml:space="preserve">” </w:t>
      </w:r>
      <w:r w:rsidR="00161B9B" w:rsidRPr="00A02C29">
        <w:rPr>
          <w:rFonts w:asciiTheme="minorHAnsi" w:hAnsiTheme="minorHAnsi" w:cstheme="minorHAnsi"/>
          <w:color w:val="000000" w:themeColor="text1"/>
        </w:rPr>
        <w:t>case</w:t>
      </w:r>
      <w:r w:rsidR="00161B9B">
        <w:rPr>
          <w:rFonts w:asciiTheme="minorHAnsi" w:hAnsiTheme="minorHAnsi" w:cstheme="minorHAnsi"/>
          <w:color w:val="000000" w:themeColor="text1"/>
        </w:rPr>
        <w:t xml:space="preserve"> it’s a lot different.</w:t>
      </w:r>
    </w:p>
    <w:p w:rsidR="006B34AF" w:rsidRDefault="00B06116" w:rsidP="00C223F1">
      <w:pPr>
        <w:pStyle w:val="NormalWeb"/>
        <w:shd w:val="clear" w:color="auto" w:fill="FFFFFF"/>
        <w:spacing w:before="0" w:beforeAutospacing="0" w:after="360" w:afterAutospacing="0"/>
        <w:rPr>
          <w:rFonts w:asciiTheme="minorHAnsi" w:hAnsiTheme="minorHAnsi" w:cstheme="minorHAnsi"/>
          <w:color w:val="000000" w:themeColor="text1"/>
        </w:rPr>
      </w:pPr>
      <w:r>
        <w:rPr>
          <w:rFonts w:asciiTheme="minorHAnsi" w:hAnsiTheme="minorHAnsi" w:cstheme="minorHAnsi"/>
          <w:color w:val="000000" w:themeColor="text1"/>
        </w:rPr>
        <w:t>Brian Eggleston</w:t>
      </w:r>
      <w:r w:rsidR="008A7BE8">
        <w:rPr>
          <w:rFonts w:asciiTheme="minorHAnsi" w:hAnsiTheme="minorHAnsi" w:cstheme="minorHAnsi"/>
          <w:color w:val="000000" w:themeColor="text1"/>
        </w:rPr>
        <w:t xml:space="preserve"> was the adjudicator for the 7</w:t>
      </w:r>
      <w:r w:rsidR="008A7BE8" w:rsidRPr="008A7BE8">
        <w:rPr>
          <w:rFonts w:asciiTheme="minorHAnsi" w:hAnsiTheme="minorHAnsi" w:cstheme="minorHAnsi"/>
          <w:color w:val="000000" w:themeColor="text1"/>
          <w:vertAlign w:val="superscript"/>
        </w:rPr>
        <w:t>th</w:t>
      </w:r>
      <w:r w:rsidR="008A7BE8">
        <w:rPr>
          <w:rFonts w:asciiTheme="minorHAnsi" w:hAnsiTheme="minorHAnsi" w:cstheme="minorHAnsi"/>
          <w:color w:val="000000" w:themeColor="text1"/>
        </w:rPr>
        <w:t xml:space="preserve"> hearing of this </w:t>
      </w:r>
      <w:r w:rsidR="00F152B0">
        <w:rPr>
          <w:rFonts w:asciiTheme="minorHAnsi" w:hAnsiTheme="minorHAnsi" w:cstheme="minorHAnsi"/>
          <w:color w:val="000000" w:themeColor="text1"/>
        </w:rPr>
        <w:t xml:space="preserve">case. </w:t>
      </w:r>
      <w:r>
        <w:rPr>
          <w:rFonts w:asciiTheme="minorHAnsi" w:hAnsiTheme="minorHAnsi" w:cstheme="minorHAnsi"/>
          <w:color w:val="000000" w:themeColor="text1"/>
        </w:rPr>
        <w:t xml:space="preserve">He made the decision in </w:t>
      </w:r>
      <w:r w:rsidR="00FC2ACC">
        <w:rPr>
          <w:rFonts w:asciiTheme="minorHAnsi" w:hAnsiTheme="minorHAnsi" w:cstheme="minorHAnsi"/>
          <w:color w:val="000000" w:themeColor="text1"/>
        </w:rPr>
        <w:t>‘</w:t>
      </w:r>
      <w:r>
        <w:rPr>
          <w:rFonts w:asciiTheme="minorHAnsi" w:hAnsiTheme="minorHAnsi" w:cstheme="minorHAnsi"/>
          <w:color w:val="000000" w:themeColor="text1"/>
        </w:rPr>
        <w:t>Vinci construction’</w:t>
      </w:r>
      <w:r w:rsidR="00FC2ACC">
        <w:rPr>
          <w:rFonts w:asciiTheme="minorHAnsi" w:hAnsiTheme="minorHAnsi" w:cstheme="minorHAnsi"/>
          <w:color w:val="000000" w:themeColor="text1"/>
        </w:rPr>
        <w:t>s’ favour coming to the conclusion that £9.7 million was owed to Vinci construction by beumer group.</w:t>
      </w:r>
      <w:r w:rsidR="00A02C29">
        <w:rPr>
          <w:rFonts w:asciiTheme="minorHAnsi" w:hAnsiTheme="minorHAnsi" w:cstheme="minorHAnsi"/>
          <w:color w:val="000000" w:themeColor="text1"/>
        </w:rPr>
        <w:t xml:space="preserve"> Beumer group however made the decision to challenge the adjud</w:t>
      </w:r>
      <w:r w:rsidR="008721E4">
        <w:rPr>
          <w:rFonts w:asciiTheme="minorHAnsi" w:hAnsiTheme="minorHAnsi" w:cstheme="minorHAnsi"/>
          <w:color w:val="000000" w:themeColor="text1"/>
        </w:rPr>
        <w:t>icator</w:t>
      </w:r>
      <w:r w:rsidR="00A02C29">
        <w:rPr>
          <w:rFonts w:asciiTheme="minorHAnsi" w:hAnsiTheme="minorHAnsi" w:cstheme="minorHAnsi"/>
          <w:color w:val="000000" w:themeColor="text1"/>
        </w:rPr>
        <w:t xml:space="preserve">. </w:t>
      </w:r>
      <w:r w:rsidR="00C407F4">
        <w:rPr>
          <w:rFonts w:asciiTheme="minorHAnsi" w:hAnsiTheme="minorHAnsi" w:cstheme="minorHAnsi"/>
          <w:color w:val="000000" w:themeColor="text1"/>
        </w:rPr>
        <w:t xml:space="preserve">The challenge was made because Beumer group believed that the adjudicator did not keep the requirements of natural justice in mind </w:t>
      </w:r>
      <w:r w:rsidR="006B34AF">
        <w:rPr>
          <w:rFonts w:asciiTheme="minorHAnsi" w:hAnsiTheme="minorHAnsi" w:cstheme="minorHAnsi"/>
          <w:color w:val="000000" w:themeColor="text1"/>
        </w:rPr>
        <w:t xml:space="preserve">when writing his decision. </w:t>
      </w:r>
      <w:r w:rsidR="00494BD5">
        <w:rPr>
          <w:rFonts w:asciiTheme="minorHAnsi" w:hAnsiTheme="minorHAnsi" w:cstheme="minorHAnsi"/>
          <w:color w:val="000000" w:themeColor="text1"/>
        </w:rPr>
        <w:t>As an adjudicator is a 3</w:t>
      </w:r>
      <w:r w:rsidR="00494BD5" w:rsidRPr="00494BD5">
        <w:rPr>
          <w:rFonts w:asciiTheme="minorHAnsi" w:hAnsiTheme="minorHAnsi" w:cstheme="minorHAnsi"/>
          <w:color w:val="000000" w:themeColor="text1"/>
          <w:vertAlign w:val="superscript"/>
        </w:rPr>
        <w:t>rd</w:t>
      </w:r>
      <w:r w:rsidR="00494BD5">
        <w:rPr>
          <w:rFonts w:asciiTheme="minorHAnsi" w:hAnsiTheme="minorHAnsi" w:cstheme="minorHAnsi"/>
          <w:color w:val="000000" w:themeColor="text1"/>
        </w:rPr>
        <w:t xml:space="preserve"> party organisation appointed by both parties, the decision can be overruled </w:t>
      </w:r>
      <w:r w:rsidR="008721E4">
        <w:rPr>
          <w:rFonts w:asciiTheme="minorHAnsi" w:hAnsiTheme="minorHAnsi" w:cstheme="minorHAnsi"/>
          <w:color w:val="000000" w:themeColor="text1"/>
        </w:rPr>
        <w:t>by a legal decision from a judge in court.</w:t>
      </w:r>
    </w:p>
    <w:p w:rsidR="00F669C3" w:rsidRDefault="006B34AF" w:rsidP="00C223F1">
      <w:pPr>
        <w:pStyle w:val="NormalWeb"/>
        <w:shd w:val="clear" w:color="auto" w:fill="FFFFFF"/>
        <w:spacing w:before="0" w:beforeAutospacing="0" w:after="360" w:afterAutospacing="0"/>
        <w:rPr>
          <w:rFonts w:asciiTheme="minorHAnsi" w:hAnsiTheme="minorHAnsi" w:cstheme="minorHAnsi"/>
          <w:color w:val="000000" w:themeColor="text1"/>
        </w:rPr>
      </w:pPr>
      <w:r>
        <w:rPr>
          <w:rFonts w:asciiTheme="minorHAnsi" w:hAnsiTheme="minorHAnsi" w:cstheme="minorHAnsi"/>
          <w:color w:val="000000" w:themeColor="text1"/>
        </w:rPr>
        <w:t xml:space="preserve">As the adjudicators decision was challenged the </w:t>
      </w:r>
      <w:r w:rsidR="00494BD5">
        <w:rPr>
          <w:rFonts w:asciiTheme="minorHAnsi" w:hAnsiTheme="minorHAnsi" w:cstheme="minorHAnsi"/>
          <w:color w:val="000000" w:themeColor="text1"/>
        </w:rPr>
        <w:t>by B</w:t>
      </w:r>
      <w:r w:rsidR="008721E4">
        <w:rPr>
          <w:rFonts w:asciiTheme="minorHAnsi" w:hAnsiTheme="minorHAnsi" w:cstheme="minorHAnsi"/>
          <w:color w:val="000000" w:themeColor="text1"/>
        </w:rPr>
        <w:t>eumer</w:t>
      </w:r>
      <w:r w:rsidR="00494BD5">
        <w:rPr>
          <w:rFonts w:asciiTheme="minorHAnsi" w:hAnsiTheme="minorHAnsi" w:cstheme="minorHAnsi"/>
          <w:color w:val="000000" w:themeColor="text1"/>
        </w:rPr>
        <w:t xml:space="preserve"> group the only other option was to face the judge in court to settle the dispute. This gives the challengers another chance to win the dispute by providing evidence on how the adjudicator’s decision is incorrect. </w:t>
      </w:r>
    </w:p>
    <w:p w:rsidR="00F669C3" w:rsidRDefault="00F669C3" w:rsidP="00C223F1">
      <w:pPr>
        <w:pStyle w:val="NormalWeb"/>
        <w:shd w:val="clear" w:color="auto" w:fill="FFFFFF"/>
        <w:spacing w:before="0" w:beforeAutospacing="0" w:after="360" w:afterAutospacing="0"/>
        <w:rPr>
          <w:rFonts w:asciiTheme="minorHAnsi" w:hAnsiTheme="minorHAnsi" w:cstheme="minorHAnsi"/>
          <w:color w:val="000000" w:themeColor="text1"/>
        </w:rPr>
      </w:pPr>
      <w:r>
        <w:rPr>
          <w:rFonts w:asciiTheme="minorHAnsi" w:hAnsiTheme="minorHAnsi" w:cstheme="minorHAnsi"/>
          <w:color w:val="000000" w:themeColor="text1"/>
        </w:rPr>
        <w:t>Beumer</w:t>
      </w:r>
      <w:r w:rsidR="008721E4">
        <w:rPr>
          <w:rFonts w:asciiTheme="minorHAnsi" w:hAnsiTheme="minorHAnsi" w:cstheme="minorHAnsi"/>
          <w:color w:val="000000" w:themeColor="text1"/>
        </w:rPr>
        <w:t xml:space="preserve"> group </w:t>
      </w:r>
      <w:r>
        <w:rPr>
          <w:rFonts w:asciiTheme="minorHAnsi" w:hAnsiTheme="minorHAnsi" w:cstheme="minorHAnsi"/>
          <w:color w:val="000000" w:themeColor="text1"/>
        </w:rPr>
        <w:t>used the following 3 arguments in court;</w:t>
      </w:r>
    </w:p>
    <w:p w:rsidR="00F669C3" w:rsidRPr="00F669C3" w:rsidRDefault="00F669C3" w:rsidP="00F669C3">
      <w:pPr>
        <w:numPr>
          <w:ilvl w:val="0"/>
          <w:numId w:val="1"/>
        </w:numPr>
        <w:shd w:val="clear" w:color="auto" w:fill="FFFFFF"/>
        <w:spacing w:before="100" w:beforeAutospacing="1" w:after="100" w:afterAutospacing="1" w:line="240" w:lineRule="auto"/>
        <w:ind w:left="0"/>
        <w:rPr>
          <w:rFonts w:eastAsia="Times New Roman" w:cstheme="minorHAnsi"/>
          <w:i/>
          <w:color w:val="000000" w:themeColor="text1"/>
          <w:sz w:val="24"/>
          <w:szCs w:val="24"/>
          <w:lang w:eastAsia="en-GB"/>
        </w:rPr>
      </w:pPr>
      <w:r w:rsidRPr="00F669C3">
        <w:rPr>
          <w:rFonts w:eastAsia="Times New Roman" w:cstheme="minorHAnsi"/>
          <w:i/>
          <w:color w:val="000000" w:themeColor="text1"/>
          <w:sz w:val="24"/>
          <w:szCs w:val="24"/>
          <w:lang w:eastAsia="en-GB"/>
        </w:rPr>
        <w:t>That the seventh decision was inconsistent with the same adjudicator’s findings in adjudications four and six. Also, that the adjudicator decided a point that was not argued by either party (with regard to clause 61.7 of the parties’ sub-contract).</w:t>
      </w:r>
    </w:p>
    <w:p w:rsidR="00F669C3" w:rsidRPr="00F669C3" w:rsidRDefault="00F669C3" w:rsidP="00F669C3">
      <w:pPr>
        <w:numPr>
          <w:ilvl w:val="0"/>
          <w:numId w:val="1"/>
        </w:numPr>
        <w:shd w:val="clear" w:color="auto" w:fill="FFFFFF"/>
        <w:spacing w:before="100" w:beforeAutospacing="1" w:after="100" w:afterAutospacing="1" w:line="240" w:lineRule="auto"/>
        <w:ind w:left="0"/>
        <w:rPr>
          <w:rFonts w:eastAsia="Times New Roman" w:cstheme="minorHAnsi"/>
          <w:i/>
          <w:color w:val="000000" w:themeColor="text1"/>
          <w:sz w:val="24"/>
          <w:szCs w:val="24"/>
          <w:lang w:eastAsia="en-GB"/>
        </w:rPr>
      </w:pPr>
      <w:r w:rsidRPr="00F669C3">
        <w:rPr>
          <w:rFonts w:eastAsia="Times New Roman" w:cstheme="minorHAnsi"/>
          <w:i/>
          <w:color w:val="000000" w:themeColor="text1"/>
          <w:sz w:val="24"/>
          <w:szCs w:val="24"/>
          <w:lang w:eastAsia="en-GB"/>
        </w:rPr>
        <w:t>The adjudicator failed to provide “any or any proper reasons” for his decision.</w:t>
      </w:r>
    </w:p>
    <w:p w:rsidR="00F669C3" w:rsidRDefault="00F669C3" w:rsidP="00F669C3">
      <w:pPr>
        <w:numPr>
          <w:ilvl w:val="0"/>
          <w:numId w:val="1"/>
        </w:numPr>
        <w:shd w:val="clear" w:color="auto" w:fill="FFFFFF"/>
        <w:spacing w:before="100" w:beforeAutospacing="1" w:after="100" w:afterAutospacing="1" w:line="240" w:lineRule="auto"/>
        <w:ind w:left="0"/>
        <w:rPr>
          <w:rFonts w:eastAsia="Times New Roman" w:cstheme="minorHAnsi"/>
          <w:i/>
          <w:color w:val="1F4E79" w:themeColor="accent1" w:themeShade="80"/>
          <w:sz w:val="24"/>
          <w:szCs w:val="24"/>
          <w:lang w:eastAsia="en-GB"/>
        </w:rPr>
      </w:pPr>
      <w:r w:rsidRPr="00F669C3">
        <w:rPr>
          <w:rFonts w:eastAsia="Times New Roman" w:cstheme="minorHAnsi"/>
          <w:i/>
          <w:color w:val="000000" w:themeColor="text1"/>
          <w:sz w:val="24"/>
          <w:szCs w:val="24"/>
          <w:lang w:eastAsia="en-GB"/>
        </w:rPr>
        <w:t>The adjudicator did not disclose or order Vinci to disclose materials from a previous adjudication. This was relevant because Beumer had asserted that Vinci was running a different case in the seventh adjudication to the one it had argued in an adjudication started by Balfour Beatty Engineering Services Ltd against Vinci in September 2016.</w:t>
      </w:r>
      <w:sdt>
        <w:sdtPr>
          <w:rPr>
            <w:rFonts w:eastAsia="Times New Roman" w:cstheme="minorHAnsi"/>
            <w:i/>
            <w:color w:val="000000" w:themeColor="text1"/>
            <w:sz w:val="24"/>
            <w:szCs w:val="24"/>
            <w:lang w:eastAsia="en-GB"/>
          </w:rPr>
          <w:id w:val="1793553397"/>
          <w:citation/>
        </w:sdtPr>
        <w:sdtEndPr>
          <w:rPr>
            <w:color w:val="1F4E79" w:themeColor="accent1" w:themeShade="80"/>
          </w:rPr>
        </w:sdtEndPr>
        <w:sdtContent>
          <w:r w:rsidRPr="00F669C3">
            <w:rPr>
              <w:rFonts w:eastAsia="Times New Roman" w:cstheme="minorHAnsi"/>
              <w:i/>
              <w:color w:val="1F4E79" w:themeColor="accent1" w:themeShade="80"/>
              <w:sz w:val="24"/>
              <w:szCs w:val="24"/>
              <w:lang w:eastAsia="en-GB"/>
            </w:rPr>
            <w:fldChar w:fldCharType="begin"/>
          </w:r>
          <w:r w:rsidRPr="00F669C3">
            <w:rPr>
              <w:rFonts w:eastAsia="Times New Roman" w:cstheme="minorHAnsi"/>
              <w:i/>
              <w:color w:val="1F4E79" w:themeColor="accent1" w:themeShade="80"/>
              <w:sz w:val="24"/>
              <w:szCs w:val="24"/>
              <w:lang w:eastAsia="en-GB"/>
            </w:rPr>
            <w:instrText xml:space="preserve"> CITATION jon18 \l 2057 </w:instrText>
          </w:r>
          <w:r w:rsidRPr="00F669C3">
            <w:rPr>
              <w:rFonts w:eastAsia="Times New Roman" w:cstheme="minorHAnsi"/>
              <w:i/>
              <w:color w:val="1F4E79" w:themeColor="accent1" w:themeShade="80"/>
              <w:sz w:val="24"/>
              <w:szCs w:val="24"/>
              <w:lang w:eastAsia="en-GB"/>
            </w:rPr>
            <w:fldChar w:fldCharType="separate"/>
          </w:r>
          <w:r w:rsidR="00E453ED">
            <w:rPr>
              <w:rFonts w:eastAsia="Times New Roman" w:cstheme="minorHAnsi"/>
              <w:i/>
              <w:noProof/>
              <w:color w:val="1F4E79" w:themeColor="accent1" w:themeShade="80"/>
              <w:sz w:val="24"/>
              <w:szCs w:val="24"/>
              <w:lang w:eastAsia="en-GB"/>
            </w:rPr>
            <w:t xml:space="preserve"> </w:t>
          </w:r>
          <w:r w:rsidR="00E453ED" w:rsidRPr="00E453ED">
            <w:rPr>
              <w:rFonts w:eastAsia="Times New Roman" w:cstheme="minorHAnsi"/>
              <w:noProof/>
              <w:color w:val="1F4E79" w:themeColor="accent1" w:themeShade="80"/>
              <w:sz w:val="24"/>
              <w:szCs w:val="24"/>
              <w:lang w:eastAsia="en-GB"/>
            </w:rPr>
            <w:t>(cope, 2018)</w:t>
          </w:r>
          <w:r w:rsidRPr="00F669C3">
            <w:rPr>
              <w:rFonts w:eastAsia="Times New Roman" w:cstheme="minorHAnsi"/>
              <w:i/>
              <w:color w:val="1F4E79" w:themeColor="accent1" w:themeShade="80"/>
              <w:sz w:val="24"/>
              <w:szCs w:val="24"/>
              <w:lang w:eastAsia="en-GB"/>
            </w:rPr>
            <w:fldChar w:fldCharType="end"/>
          </w:r>
        </w:sdtContent>
      </w:sdt>
    </w:p>
    <w:p w:rsidR="00F152B0" w:rsidRDefault="00F152B0" w:rsidP="00F152B0">
      <w:p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The judge had no issue with the adjudicator’s decision and believes that his decision was made fairly considering the amount of information he was provided by both parties. Both parties provided what they believed was enough information for them to win this dispute. The judge discovered that at no point did either party order for the a</w:t>
      </w:r>
      <w:r w:rsidR="00FD606F">
        <w:rPr>
          <w:rFonts w:eastAsia="Times New Roman" w:cstheme="minorHAnsi"/>
          <w:color w:val="000000" w:themeColor="text1"/>
          <w:sz w:val="24"/>
          <w:szCs w:val="24"/>
          <w:lang w:eastAsia="en-GB"/>
        </w:rPr>
        <w:t>djudicator to close the dispute so the adjudicator had no reason to take such action.</w:t>
      </w:r>
    </w:p>
    <w:p w:rsidR="00FD606F" w:rsidRDefault="006A640B" w:rsidP="00F152B0">
      <w:p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With a large dispute like this (</w:t>
      </w:r>
      <w:r w:rsidRPr="006A640B">
        <w:rPr>
          <w:rFonts w:eastAsia="Times New Roman" w:cstheme="minorHAnsi"/>
          <w:color w:val="000000" w:themeColor="text1"/>
          <w:sz w:val="24"/>
          <w:szCs w:val="24"/>
          <w:lang w:eastAsia="en-GB"/>
        </w:rPr>
        <w:t>Vinci Construction UK Ltd v Beumer Group UK Ltd</w:t>
      </w:r>
      <w:r>
        <w:rPr>
          <w:rFonts w:eastAsia="Times New Roman" w:cstheme="minorHAnsi"/>
          <w:color w:val="000000" w:themeColor="text1"/>
          <w:sz w:val="24"/>
          <w:szCs w:val="24"/>
          <w:lang w:eastAsia="en-GB"/>
        </w:rPr>
        <w:t xml:space="preserve">). An adjudicator’s decision is likely to be challenged due to what’s at stake, in this </w:t>
      </w:r>
      <w:r w:rsidR="008721E4">
        <w:rPr>
          <w:rFonts w:eastAsia="Times New Roman" w:cstheme="minorHAnsi"/>
          <w:color w:val="000000" w:themeColor="text1"/>
          <w:sz w:val="24"/>
          <w:szCs w:val="24"/>
          <w:lang w:eastAsia="en-GB"/>
        </w:rPr>
        <w:t xml:space="preserve">case </w:t>
      </w:r>
      <w:r>
        <w:rPr>
          <w:rFonts w:eastAsia="Times New Roman" w:cstheme="minorHAnsi"/>
          <w:color w:val="000000" w:themeColor="text1"/>
          <w:sz w:val="24"/>
          <w:szCs w:val="24"/>
          <w:lang w:eastAsia="en-GB"/>
        </w:rPr>
        <w:t xml:space="preserve">£9.7 million. It can cause great amounts of frustration to the losing party leading them to </w:t>
      </w:r>
      <w:r>
        <w:rPr>
          <w:rFonts w:eastAsia="Times New Roman" w:cstheme="minorHAnsi"/>
          <w:color w:val="000000" w:themeColor="text1"/>
          <w:sz w:val="24"/>
          <w:szCs w:val="24"/>
          <w:lang w:eastAsia="en-GB"/>
        </w:rPr>
        <w:lastRenderedPageBreak/>
        <w:t xml:space="preserve">challenge the adjudicator’s decision in court. Although the adjudicator’s decision may be correct it can be overruled by the courts. If the </w:t>
      </w:r>
      <w:r w:rsidR="00525F36">
        <w:rPr>
          <w:rFonts w:eastAsia="Times New Roman" w:cstheme="minorHAnsi"/>
          <w:color w:val="000000" w:themeColor="text1"/>
          <w:sz w:val="24"/>
          <w:szCs w:val="24"/>
          <w:lang w:eastAsia="en-GB"/>
        </w:rPr>
        <w:t>adjudicator’s</w:t>
      </w:r>
      <w:r>
        <w:rPr>
          <w:rFonts w:eastAsia="Times New Roman" w:cstheme="minorHAnsi"/>
          <w:color w:val="000000" w:themeColor="text1"/>
          <w:sz w:val="24"/>
          <w:szCs w:val="24"/>
          <w:lang w:eastAsia="en-GB"/>
        </w:rPr>
        <w:t xml:space="preserve"> decision is to be found correct then his decision stands and the losing party have to pay the fees that are ordered to be paid. </w:t>
      </w:r>
    </w:p>
    <w:p w:rsidR="00525F36" w:rsidRDefault="00525F36" w:rsidP="00F152B0">
      <w:p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r>
        <w:rPr>
          <w:rFonts w:eastAsia="Times New Roman" w:cstheme="minorHAnsi"/>
          <w:color w:val="000000" w:themeColor="text1"/>
          <w:sz w:val="24"/>
          <w:szCs w:val="24"/>
          <w:lang w:eastAsia="en-GB"/>
        </w:rPr>
        <w:t>An Adjudicator’s decision are very rarely incorrect and for that reason they are rarely successfully challenged by the losing party within court.</w:t>
      </w:r>
    </w:p>
    <w:p w:rsidR="008B621D" w:rsidRDefault="008B621D" w:rsidP="00F152B0">
      <w:p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p>
    <w:sdt>
      <w:sdtPr>
        <w:rPr>
          <w:rFonts w:asciiTheme="minorHAnsi" w:eastAsiaTheme="minorHAnsi" w:hAnsiTheme="minorHAnsi" w:cstheme="minorBidi"/>
          <w:color w:val="auto"/>
          <w:sz w:val="22"/>
          <w:szCs w:val="22"/>
          <w:lang w:val="en-GB"/>
        </w:rPr>
        <w:id w:val="-1417010517"/>
        <w:docPartObj>
          <w:docPartGallery w:val="Bibliographies"/>
          <w:docPartUnique/>
        </w:docPartObj>
      </w:sdtPr>
      <w:sdtEndPr/>
      <w:sdtContent>
        <w:p w:rsidR="008B621D" w:rsidRDefault="00E453ED" w:rsidP="00E453ED">
          <w:pPr>
            <w:pStyle w:val="Heading1"/>
            <w:numPr>
              <w:ilvl w:val="0"/>
              <w:numId w:val="2"/>
            </w:numPr>
          </w:pPr>
          <w:r>
            <w:t xml:space="preserve">references </w:t>
          </w:r>
        </w:p>
        <w:bookmarkStart w:id="0" w:name="_GoBack" w:displacedByCustomXml="next"/>
        <w:sdt>
          <w:sdtPr>
            <w:id w:val="-12207268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E453ED" w:rsidRDefault="00E453ED">
              <w:pPr>
                <w:pStyle w:val="Heading1"/>
              </w:pPr>
            </w:p>
            <w:bookmarkEnd w:id="0" w:displacedByCustomXml="next"/>
            <w:sdt>
              <w:sdtPr>
                <w:id w:val="-573587230"/>
                <w:bibliography/>
              </w:sdtPr>
              <w:sdtContent>
                <w:p w:rsidR="00E453ED" w:rsidRPr="00E453ED" w:rsidRDefault="00E453ED" w:rsidP="00E453ED">
                  <w:pPr>
                    <w:pStyle w:val="Bibliography"/>
                    <w:rPr>
                      <w:noProof/>
                      <w:sz w:val="24"/>
                      <w:szCs w:val="24"/>
                      <w:lang w:val="en-US"/>
                    </w:rPr>
                  </w:pPr>
                  <w:r>
                    <w:fldChar w:fldCharType="begin"/>
                  </w:r>
                  <w:r>
                    <w:instrText xml:space="preserve"> BIBLIOGRAPHY </w:instrText>
                  </w:r>
                  <w:r>
                    <w:fldChar w:fldCharType="separate"/>
                  </w:r>
                </w:p>
                <w:sdt>
                  <w:sdtPr>
                    <w:id w:val="489380173"/>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E453ED" w:rsidRDefault="00E453ED">
                      <w:pPr>
                        <w:pStyle w:val="Heading1"/>
                      </w:pPr>
                      <w:r>
                        <w:t>References</w:t>
                      </w:r>
                    </w:p>
                    <w:sdt>
                      <w:sdtPr>
                        <w:id w:val="1703050615"/>
                        <w:bibliography/>
                      </w:sdtPr>
                      <w:sdtContent>
                        <w:p w:rsidR="00E453ED" w:rsidRDefault="00E453ED" w:rsidP="00E453ED">
                          <w:pPr>
                            <w:pStyle w:val="Bibliography"/>
                            <w:rPr>
                              <w:noProof/>
                              <w:sz w:val="24"/>
                              <w:szCs w:val="24"/>
                              <w:lang w:val="en-US"/>
                            </w:rPr>
                          </w:pPr>
                          <w:r>
                            <w:fldChar w:fldCharType="begin"/>
                          </w:r>
                          <w:r>
                            <w:instrText xml:space="preserve"> BIBLIOGRAPHY </w:instrText>
                          </w:r>
                          <w:r>
                            <w:fldChar w:fldCharType="separate"/>
                          </w:r>
                          <w:r>
                            <w:rPr>
                              <w:noProof/>
                              <w:lang w:val="en-US"/>
                            </w:rPr>
                            <w:t xml:space="preserve">cope, j., 2018. </w:t>
                          </w:r>
                          <w:r>
                            <w:rPr>
                              <w:i/>
                              <w:iCs/>
                              <w:noProof/>
                              <w:lang w:val="en-US"/>
                            </w:rPr>
                            <w:t xml:space="preserve">vinci vs beumer, </w:t>
                          </w:r>
                          <w:r>
                            <w:rPr>
                              <w:noProof/>
                              <w:lang w:val="en-US"/>
                            </w:rPr>
                            <w:t>s.l.: thompson reuters.</w:t>
                          </w:r>
                        </w:p>
                        <w:p w:rsidR="00E453ED" w:rsidRDefault="00E453ED" w:rsidP="00E453ED">
                          <w:pPr>
                            <w:pStyle w:val="Bibliography"/>
                            <w:rPr>
                              <w:noProof/>
                              <w:lang w:val="en-US"/>
                            </w:rPr>
                          </w:pPr>
                          <w:r>
                            <w:rPr>
                              <w:noProof/>
                              <w:lang w:val="en-US"/>
                            </w:rPr>
                            <w:t xml:space="preserve">lawteacher, 2021. </w:t>
                          </w:r>
                          <w:r>
                            <w:rPr>
                              <w:i/>
                              <w:iCs/>
                              <w:noProof/>
                              <w:lang w:val="en-US"/>
                            </w:rPr>
                            <w:t xml:space="preserve">paris vs stepney borough council, </w:t>
                          </w:r>
                          <w:r>
                            <w:rPr>
                              <w:noProof/>
                              <w:lang w:val="en-US"/>
                            </w:rPr>
                            <w:t>s.l.: lawteacher.</w:t>
                          </w:r>
                        </w:p>
                        <w:p w:rsidR="00E453ED" w:rsidRDefault="00E453ED" w:rsidP="00E453ED">
                          <w:pPr>
                            <w:pStyle w:val="Bibliography"/>
                            <w:rPr>
                              <w:noProof/>
                              <w:lang w:val="en-US"/>
                            </w:rPr>
                          </w:pPr>
                          <w:r>
                            <w:rPr>
                              <w:noProof/>
                              <w:lang w:val="en-US"/>
                            </w:rPr>
                            <w:t xml:space="preserve">LECTURES, C. E., 2021. </w:t>
                          </w:r>
                          <w:r>
                            <w:rPr>
                              <w:i/>
                              <w:iCs/>
                              <w:noProof/>
                              <w:lang w:val="en-US"/>
                            </w:rPr>
                            <w:t xml:space="preserve">Case law, </w:t>
                          </w:r>
                          <w:r>
                            <w:rPr>
                              <w:noProof/>
                              <w:lang w:val="en-US"/>
                            </w:rPr>
                            <w:t>s.l.: civil enginerring lectures.</w:t>
                          </w:r>
                        </w:p>
                        <w:p w:rsidR="00E453ED" w:rsidRDefault="00E453ED" w:rsidP="00E453ED">
                          <w:r>
                            <w:rPr>
                              <w:b/>
                              <w:bCs/>
                              <w:noProof/>
                            </w:rPr>
                            <w:fldChar w:fldCharType="end"/>
                          </w:r>
                        </w:p>
                      </w:sdtContent>
                    </w:sdt>
                  </w:sdtContent>
                </w:sdt>
                <w:p w:rsidR="00E453ED" w:rsidRPr="00E453ED" w:rsidRDefault="00E453ED" w:rsidP="00E453ED">
                  <w:pPr>
                    <w:pStyle w:val="Bibliography"/>
                    <w:rPr>
                      <w:noProof/>
                      <w:sz w:val="24"/>
                      <w:szCs w:val="24"/>
                      <w:lang w:val="en-US"/>
                    </w:rPr>
                  </w:pPr>
                </w:p>
                <w:p w:rsidR="00E453ED" w:rsidRDefault="00E453ED" w:rsidP="00E453ED">
                  <w:r>
                    <w:rPr>
                      <w:b/>
                      <w:bCs/>
                      <w:noProof/>
                    </w:rPr>
                    <w:fldChar w:fldCharType="end"/>
                  </w:r>
                </w:p>
              </w:sdtContent>
            </w:sdt>
          </w:sdtContent>
        </w:sdt>
        <w:p w:rsidR="00E453ED" w:rsidRPr="00E453ED" w:rsidRDefault="00E453ED" w:rsidP="00E453ED">
          <w:pPr>
            <w:pStyle w:val="ListParagraph"/>
            <w:ind w:left="435"/>
            <w:rPr>
              <w:lang w:val="en-US"/>
            </w:rPr>
          </w:pPr>
        </w:p>
        <w:sdt>
          <w:sdtPr>
            <w:id w:val="111145805"/>
            <w:bibliography/>
          </w:sdtPr>
          <w:sdtEndPr/>
          <w:sdtContent>
            <w:p w:rsidR="00E453ED" w:rsidRDefault="00E453ED" w:rsidP="00E453ED">
              <w:pPr>
                <w:pStyle w:val="Bibliography"/>
              </w:pPr>
            </w:p>
            <w:p w:rsidR="008B621D" w:rsidRPr="00E453ED" w:rsidRDefault="00E453ED" w:rsidP="00E453ED">
              <w:pPr>
                <w:pStyle w:val="Bibliography"/>
                <w:ind w:left="720" w:hanging="720"/>
                <w:rPr>
                  <w:noProof/>
                  <w:sz w:val="24"/>
                  <w:szCs w:val="24"/>
                  <w:lang w:val="en-US"/>
                </w:rPr>
              </w:pPr>
            </w:p>
          </w:sdtContent>
        </w:sdt>
      </w:sdtContent>
    </w:sdt>
    <w:p w:rsidR="008B621D" w:rsidRPr="00F152B0" w:rsidRDefault="008B621D" w:rsidP="00F152B0">
      <w:pPr>
        <w:shd w:val="clear" w:color="auto" w:fill="FFFFFF"/>
        <w:spacing w:before="100" w:beforeAutospacing="1" w:after="100" w:afterAutospacing="1" w:line="240" w:lineRule="auto"/>
        <w:rPr>
          <w:rFonts w:eastAsia="Times New Roman" w:cstheme="minorHAnsi"/>
          <w:color w:val="000000" w:themeColor="text1"/>
          <w:sz w:val="24"/>
          <w:szCs w:val="24"/>
          <w:lang w:eastAsia="en-GB"/>
        </w:rPr>
      </w:pPr>
    </w:p>
    <w:p w:rsidR="008A7BE8" w:rsidRPr="008A7BE8" w:rsidRDefault="008A7BE8" w:rsidP="008A7BE8">
      <w:pPr>
        <w:shd w:val="clear" w:color="auto" w:fill="FFFFFF"/>
        <w:spacing w:before="100" w:beforeAutospacing="1" w:after="100" w:afterAutospacing="1" w:line="240" w:lineRule="auto"/>
        <w:rPr>
          <w:rFonts w:eastAsia="Times New Roman" w:cstheme="minorHAnsi"/>
          <w:color w:val="1F4E79" w:themeColor="accent1" w:themeShade="80"/>
          <w:sz w:val="24"/>
          <w:szCs w:val="24"/>
          <w:lang w:eastAsia="en-GB"/>
        </w:rPr>
      </w:pPr>
    </w:p>
    <w:p w:rsidR="00F669C3" w:rsidRPr="00F669C3" w:rsidRDefault="00F669C3" w:rsidP="00F669C3">
      <w:pPr>
        <w:shd w:val="clear" w:color="auto" w:fill="FFFFFF"/>
        <w:spacing w:before="100" w:beforeAutospacing="1" w:after="100" w:afterAutospacing="1" w:line="240" w:lineRule="auto"/>
        <w:rPr>
          <w:rFonts w:eastAsia="Times New Roman" w:cstheme="minorHAnsi"/>
          <w:color w:val="1F4E79" w:themeColor="accent1" w:themeShade="80"/>
          <w:sz w:val="24"/>
          <w:szCs w:val="24"/>
          <w:lang w:eastAsia="en-GB"/>
        </w:rPr>
      </w:pPr>
    </w:p>
    <w:p w:rsidR="00F669C3" w:rsidRDefault="00F669C3" w:rsidP="00C223F1">
      <w:pPr>
        <w:pStyle w:val="NormalWeb"/>
        <w:shd w:val="clear" w:color="auto" w:fill="FFFFFF"/>
        <w:spacing w:before="0" w:beforeAutospacing="0" w:after="360" w:afterAutospacing="0"/>
        <w:rPr>
          <w:rFonts w:asciiTheme="minorHAnsi" w:hAnsiTheme="minorHAnsi" w:cstheme="minorHAnsi"/>
          <w:color w:val="000000" w:themeColor="text1"/>
        </w:rPr>
      </w:pPr>
    </w:p>
    <w:p w:rsidR="00494BD5" w:rsidRPr="006B34AF" w:rsidRDefault="00494BD5" w:rsidP="00C223F1">
      <w:pPr>
        <w:pStyle w:val="NormalWeb"/>
        <w:shd w:val="clear" w:color="auto" w:fill="FFFFFF"/>
        <w:spacing w:before="0" w:beforeAutospacing="0" w:after="360" w:afterAutospacing="0"/>
        <w:rPr>
          <w:rFonts w:asciiTheme="minorHAnsi" w:hAnsiTheme="minorHAnsi" w:cstheme="minorHAnsi"/>
          <w:color w:val="000000" w:themeColor="text1"/>
          <w:shd w:val="clear" w:color="auto" w:fill="F9F9F9"/>
        </w:rPr>
      </w:pPr>
    </w:p>
    <w:p w:rsidR="00161B9B" w:rsidRDefault="00161B9B" w:rsidP="00C223F1">
      <w:pPr>
        <w:pStyle w:val="NormalWeb"/>
        <w:shd w:val="clear" w:color="auto" w:fill="FFFFFF"/>
        <w:spacing w:before="0" w:beforeAutospacing="0" w:after="360" w:afterAutospacing="0"/>
        <w:rPr>
          <w:rFonts w:asciiTheme="minorHAnsi" w:hAnsiTheme="minorHAnsi" w:cstheme="minorHAnsi"/>
          <w:color w:val="000000" w:themeColor="text1"/>
        </w:rPr>
      </w:pPr>
    </w:p>
    <w:p w:rsidR="00161B9B" w:rsidRDefault="00161B9B"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p>
    <w:p w:rsidR="00161B9B" w:rsidRPr="0026746C" w:rsidRDefault="00161B9B"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p>
    <w:p w:rsidR="0026746C" w:rsidRPr="001231EA" w:rsidRDefault="0026746C" w:rsidP="00C223F1">
      <w:pPr>
        <w:pStyle w:val="NormalWeb"/>
        <w:shd w:val="clear" w:color="auto" w:fill="FFFFFF"/>
        <w:spacing w:before="0" w:beforeAutospacing="0" w:after="360" w:afterAutospacing="0"/>
        <w:rPr>
          <w:rFonts w:asciiTheme="minorHAnsi" w:hAnsiTheme="minorHAnsi" w:cstheme="minorHAnsi"/>
          <w:b/>
          <w:color w:val="000000" w:themeColor="text1"/>
          <w:szCs w:val="21"/>
          <w:u w:val="single"/>
        </w:rPr>
      </w:pPr>
    </w:p>
    <w:p w:rsidR="001231EA" w:rsidRDefault="001231EA"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p>
    <w:p w:rsidR="001231EA" w:rsidRPr="00C223F1" w:rsidRDefault="001231EA" w:rsidP="00C223F1">
      <w:pPr>
        <w:pStyle w:val="NormalWeb"/>
        <w:shd w:val="clear" w:color="auto" w:fill="FFFFFF"/>
        <w:spacing w:before="0" w:beforeAutospacing="0" w:after="360" w:afterAutospacing="0"/>
        <w:rPr>
          <w:rFonts w:asciiTheme="minorHAnsi" w:hAnsiTheme="minorHAnsi" w:cstheme="minorHAnsi"/>
          <w:color w:val="000000" w:themeColor="text1"/>
          <w:szCs w:val="21"/>
        </w:rPr>
      </w:pPr>
    </w:p>
    <w:p w:rsidR="00C223F1" w:rsidRPr="00C223F1" w:rsidRDefault="00C223F1" w:rsidP="00C223F1">
      <w:pPr>
        <w:pStyle w:val="NormalWeb"/>
        <w:shd w:val="clear" w:color="auto" w:fill="FFFFFF"/>
        <w:spacing w:before="0" w:beforeAutospacing="0" w:after="360" w:afterAutospacing="0"/>
        <w:rPr>
          <w:rFonts w:asciiTheme="minorHAnsi" w:hAnsiTheme="minorHAnsi" w:cstheme="minorHAnsi"/>
          <w:szCs w:val="21"/>
        </w:rPr>
      </w:pPr>
    </w:p>
    <w:p w:rsidR="001E3DB9" w:rsidRDefault="001E3DB9" w:rsidP="00113762">
      <w:pPr>
        <w:pStyle w:val="NormalWeb"/>
        <w:shd w:val="clear" w:color="auto" w:fill="FFFFFF"/>
        <w:spacing w:before="0" w:beforeAutospacing="0" w:after="360" w:afterAutospacing="0"/>
        <w:jc w:val="both"/>
        <w:rPr>
          <w:rFonts w:asciiTheme="minorHAnsi" w:hAnsiTheme="minorHAnsi" w:cstheme="minorHAnsi"/>
          <w:szCs w:val="21"/>
        </w:rPr>
      </w:pPr>
    </w:p>
    <w:p w:rsidR="001E3DB9" w:rsidRDefault="001E3DB9" w:rsidP="00113762">
      <w:pPr>
        <w:pStyle w:val="NormalWeb"/>
        <w:shd w:val="clear" w:color="auto" w:fill="FFFFFF"/>
        <w:spacing w:before="0" w:beforeAutospacing="0" w:after="360" w:afterAutospacing="0"/>
        <w:jc w:val="both"/>
        <w:rPr>
          <w:rFonts w:asciiTheme="minorHAnsi" w:hAnsiTheme="minorHAnsi" w:cstheme="minorHAnsi"/>
          <w:szCs w:val="21"/>
        </w:rPr>
      </w:pPr>
    </w:p>
    <w:p w:rsidR="001E3DB9" w:rsidRPr="001E3DB9" w:rsidRDefault="001E3DB9" w:rsidP="00113762">
      <w:pPr>
        <w:pStyle w:val="NormalWeb"/>
        <w:shd w:val="clear" w:color="auto" w:fill="FFFFFF"/>
        <w:spacing w:before="0" w:beforeAutospacing="0" w:after="360" w:afterAutospacing="0"/>
        <w:jc w:val="both"/>
        <w:rPr>
          <w:rFonts w:asciiTheme="minorHAnsi" w:hAnsiTheme="minorHAnsi" w:cstheme="minorHAnsi"/>
          <w:szCs w:val="21"/>
        </w:rPr>
      </w:pPr>
    </w:p>
    <w:p w:rsidR="00113762" w:rsidRDefault="00113762" w:rsidP="00580397">
      <w:pPr>
        <w:rPr>
          <w:b/>
          <w:sz w:val="24"/>
          <w:u w:val="single"/>
        </w:rPr>
      </w:pPr>
    </w:p>
    <w:p w:rsidR="00580397" w:rsidRPr="00580397" w:rsidRDefault="00580397" w:rsidP="00580397">
      <w:pPr>
        <w:rPr>
          <w:sz w:val="24"/>
        </w:rPr>
      </w:pPr>
    </w:p>
    <w:p w:rsidR="00580397" w:rsidRPr="00580397" w:rsidRDefault="00580397" w:rsidP="00580397">
      <w:pPr>
        <w:rPr>
          <w:sz w:val="24"/>
        </w:rPr>
      </w:pPr>
    </w:p>
    <w:p w:rsidR="00580397" w:rsidRPr="00580397" w:rsidRDefault="00580397" w:rsidP="00580397">
      <w:pPr>
        <w:rPr>
          <w:b/>
          <w:sz w:val="24"/>
          <w:u w:val="single"/>
        </w:rPr>
      </w:pPr>
    </w:p>
    <w:p w:rsidR="001C542D" w:rsidRDefault="001C542D" w:rsidP="00B5394C">
      <w:pPr>
        <w:jc w:val="center"/>
        <w:rPr>
          <w:sz w:val="24"/>
        </w:rPr>
      </w:pPr>
    </w:p>
    <w:p w:rsidR="000F0A75" w:rsidRDefault="000F0A75" w:rsidP="00B5394C">
      <w:pPr>
        <w:jc w:val="center"/>
        <w:rPr>
          <w:sz w:val="24"/>
        </w:rPr>
      </w:pPr>
    </w:p>
    <w:p w:rsidR="000F0A75" w:rsidRPr="00B5394C" w:rsidRDefault="000F0A75" w:rsidP="00B5394C">
      <w:pPr>
        <w:jc w:val="center"/>
        <w:rPr>
          <w:sz w:val="24"/>
        </w:rPr>
      </w:pPr>
    </w:p>
    <w:sectPr w:rsidR="000F0A75" w:rsidRPr="00B539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14009"/>
    <w:multiLevelType w:val="multilevel"/>
    <w:tmpl w:val="AC0857FC"/>
    <w:lvl w:ilvl="0">
      <w:start w:val="1"/>
      <w:numFmt w:val="decimal"/>
      <w:lvlText w:val="%1.0"/>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4BDB671B"/>
    <w:multiLevelType w:val="multilevel"/>
    <w:tmpl w:val="A9C69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D2971A0"/>
    <w:multiLevelType w:val="multilevel"/>
    <w:tmpl w:val="BBC88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CC1"/>
    <w:rsid w:val="000B4168"/>
    <w:rsid w:val="000F0A75"/>
    <w:rsid w:val="00113762"/>
    <w:rsid w:val="00116EAE"/>
    <w:rsid w:val="001231EA"/>
    <w:rsid w:val="00161B9B"/>
    <w:rsid w:val="001C542D"/>
    <w:rsid w:val="001C75C7"/>
    <w:rsid w:val="001E3DB9"/>
    <w:rsid w:val="00260583"/>
    <w:rsid w:val="0026746C"/>
    <w:rsid w:val="00352F69"/>
    <w:rsid w:val="00356485"/>
    <w:rsid w:val="003C6DCA"/>
    <w:rsid w:val="003E1CD7"/>
    <w:rsid w:val="00432668"/>
    <w:rsid w:val="00445CC1"/>
    <w:rsid w:val="00450756"/>
    <w:rsid w:val="004646F2"/>
    <w:rsid w:val="00494BD5"/>
    <w:rsid w:val="004C028B"/>
    <w:rsid w:val="004C11D2"/>
    <w:rsid w:val="00525F36"/>
    <w:rsid w:val="00533057"/>
    <w:rsid w:val="00580397"/>
    <w:rsid w:val="005842BB"/>
    <w:rsid w:val="00651701"/>
    <w:rsid w:val="006A35D6"/>
    <w:rsid w:val="006A640B"/>
    <w:rsid w:val="006B34AF"/>
    <w:rsid w:val="006D17EC"/>
    <w:rsid w:val="006D6427"/>
    <w:rsid w:val="007549E5"/>
    <w:rsid w:val="00802551"/>
    <w:rsid w:val="008721E4"/>
    <w:rsid w:val="008A7BE8"/>
    <w:rsid w:val="008B621D"/>
    <w:rsid w:val="009A0B11"/>
    <w:rsid w:val="009C5B72"/>
    <w:rsid w:val="00A02C29"/>
    <w:rsid w:val="00A804A2"/>
    <w:rsid w:val="00AA3479"/>
    <w:rsid w:val="00B06116"/>
    <w:rsid w:val="00B5394C"/>
    <w:rsid w:val="00C13927"/>
    <w:rsid w:val="00C223F1"/>
    <w:rsid w:val="00C407F4"/>
    <w:rsid w:val="00C64FAF"/>
    <w:rsid w:val="00C83CF3"/>
    <w:rsid w:val="00CD42CC"/>
    <w:rsid w:val="00CD5304"/>
    <w:rsid w:val="00DB545D"/>
    <w:rsid w:val="00DE4BE1"/>
    <w:rsid w:val="00DF4F2D"/>
    <w:rsid w:val="00E15803"/>
    <w:rsid w:val="00E453ED"/>
    <w:rsid w:val="00F152B0"/>
    <w:rsid w:val="00F669C3"/>
    <w:rsid w:val="00FC2ACC"/>
    <w:rsid w:val="00FD6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EDC46"/>
  <w15:chartTrackingRefBased/>
  <w15:docId w15:val="{0D0A3F61-1A6C-47B9-99FF-AA516F498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21D"/>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37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223F1"/>
    <w:rPr>
      <w:i/>
      <w:iCs/>
    </w:rPr>
  </w:style>
  <w:style w:type="character" w:customStyle="1" w:styleId="Heading1Char">
    <w:name w:val="Heading 1 Char"/>
    <w:basedOn w:val="DefaultParagraphFont"/>
    <w:link w:val="Heading1"/>
    <w:uiPriority w:val="9"/>
    <w:rsid w:val="008B621D"/>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8B621D"/>
  </w:style>
  <w:style w:type="paragraph" w:styleId="ListParagraph">
    <w:name w:val="List Paragraph"/>
    <w:basedOn w:val="Normal"/>
    <w:uiPriority w:val="34"/>
    <w:qFormat/>
    <w:rsid w:val="008B621D"/>
    <w:pPr>
      <w:ind w:left="720"/>
      <w:contextualSpacing/>
    </w:pPr>
  </w:style>
  <w:style w:type="paragraph" w:customStyle="1" w:styleId="paragraph">
    <w:name w:val="paragraph"/>
    <w:basedOn w:val="Normal"/>
    <w:rsid w:val="002605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0583"/>
  </w:style>
  <w:style w:type="character" w:customStyle="1" w:styleId="eop">
    <w:name w:val="eop"/>
    <w:basedOn w:val="DefaultParagraphFont"/>
    <w:rsid w:val="00260583"/>
  </w:style>
  <w:style w:type="character" w:styleId="CommentReference">
    <w:name w:val="annotation reference"/>
    <w:basedOn w:val="DefaultParagraphFont"/>
    <w:uiPriority w:val="99"/>
    <w:semiHidden/>
    <w:unhideWhenUsed/>
    <w:rsid w:val="00E453ED"/>
    <w:rPr>
      <w:sz w:val="16"/>
      <w:szCs w:val="16"/>
    </w:rPr>
  </w:style>
  <w:style w:type="paragraph" w:styleId="CommentText">
    <w:name w:val="annotation text"/>
    <w:basedOn w:val="Normal"/>
    <w:link w:val="CommentTextChar"/>
    <w:uiPriority w:val="99"/>
    <w:semiHidden/>
    <w:unhideWhenUsed/>
    <w:rsid w:val="00E453ED"/>
    <w:pPr>
      <w:spacing w:line="240" w:lineRule="auto"/>
    </w:pPr>
    <w:rPr>
      <w:sz w:val="20"/>
      <w:szCs w:val="20"/>
    </w:rPr>
  </w:style>
  <w:style w:type="character" w:customStyle="1" w:styleId="CommentTextChar">
    <w:name w:val="Comment Text Char"/>
    <w:basedOn w:val="DefaultParagraphFont"/>
    <w:link w:val="CommentText"/>
    <w:uiPriority w:val="99"/>
    <w:semiHidden/>
    <w:rsid w:val="00E453ED"/>
    <w:rPr>
      <w:sz w:val="20"/>
      <w:szCs w:val="20"/>
    </w:rPr>
  </w:style>
  <w:style w:type="paragraph" w:styleId="CommentSubject">
    <w:name w:val="annotation subject"/>
    <w:basedOn w:val="CommentText"/>
    <w:next w:val="CommentText"/>
    <w:link w:val="CommentSubjectChar"/>
    <w:uiPriority w:val="99"/>
    <w:semiHidden/>
    <w:unhideWhenUsed/>
    <w:rsid w:val="00E453ED"/>
    <w:rPr>
      <w:b/>
      <w:bCs/>
    </w:rPr>
  </w:style>
  <w:style w:type="character" w:customStyle="1" w:styleId="CommentSubjectChar">
    <w:name w:val="Comment Subject Char"/>
    <w:basedOn w:val="CommentTextChar"/>
    <w:link w:val="CommentSubject"/>
    <w:uiPriority w:val="99"/>
    <w:semiHidden/>
    <w:rsid w:val="00E453ED"/>
    <w:rPr>
      <w:b/>
      <w:bCs/>
      <w:sz w:val="20"/>
      <w:szCs w:val="20"/>
    </w:rPr>
  </w:style>
  <w:style w:type="paragraph" w:styleId="BalloonText">
    <w:name w:val="Balloon Text"/>
    <w:basedOn w:val="Normal"/>
    <w:link w:val="BalloonTextChar"/>
    <w:uiPriority w:val="99"/>
    <w:semiHidden/>
    <w:unhideWhenUsed/>
    <w:rsid w:val="00E453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53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1167">
      <w:bodyDiv w:val="1"/>
      <w:marLeft w:val="0"/>
      <w:marRight w:val="0"/>
      <w:marTop w:val="0"/>
      <w:marBottom w:val="0"/>
      <w:divBdr>
        <w:top w:val="none" w:sz="0" w:space="0" w:color="auto"/>
        <w:left w:val="none" w:sz="0" w:space="0" w:color="auto"/>
        <w:bottom w:val="none" w:sz="0" w:space="0" w:color="auto"/>
        <w:right w:val="none" w:sz="0" w:space="0" w:color="auto"/>
      </w:divBdr>
    </w:div>
    <w:div w:id="62799351">
      <w:bodyDiv w:val="1"/>
      <w:marLeft w:val="0"/>
      <w:marRight w:val="0"/>
      <w:marTop w:val="0"/>
      <w:marBottom w:val="0"/>
      <w:divBdr>
        <w:top w:val="none" w:sz="0" w:space="0" w:color="auto"/>
        <w:left w:val="none" w:sz="0" w:space="0" w:color="auto"/>
        <w:bottom w:val="none" w:sz="0" w:space="0" w:color="auto"/>
        <w:right w:val="none" w:sz="0" w:space="0" w:color="auto"/>
      </w:divBdr>
    </w:div>
    <w:div w:id="117267236">
      <w:bodyDiv w:val="1"/>
      <w:marLeft w:val="0"/>
      <w:marRight w:val="0"/>
      <w:marTop w:val="0"/>
      <w:marBottom w:val="0"/>
      <w:divBdr>
        <w:top w:val="none" w:sz="0" w:space="0" w:color="auto"/>
        <w:left w:val="none" w:sz="0" w:space="0" w:color="auto"/>
        <w:bottom w:val="none" w:sz="0" w:space="0" w:color="auto"/>
        <w:right w:val="none" w:sz="0" w:space="0" w:color="auto"/>
      </w:divBdr>
    </w:div>
    <w:div w:id="147209349">
      <w:bodyDiv w:val="1"/>
      <w:marLeft w:val="0"/>
      <w:marRight w:val="0"/>
      <w:marTop w:val="0"/>
      <w:marBottom w:val="0"/>
      <w:divBdr>
        <w:top w:val="none" w:sz="0" w:space="0" w:color="auto"/>
        <w:left w:val="none" w:sz="0" w:space="0" w:color="auto"/>
        <w:bottom w:val="none" w:sz="0" w:space="0" w:color="auto"/>
        <w:right w:val="none" w:sz="0" w:space="0" w:color="auto"/>
      </w:divBdr>
    </w:div>
    <w:div w:id="322776924">
      <w:bodyDiv w:val="1"/>
      <w:marLeft w:val="0"/>
      <w:marRight w:val="0"/>
      <w:marTop w:val="0"/>
      <w:marBottom w:val="0"/>
      <w:divBdr>
        <w:top w:val="none" w:sz="0" w:space="0" w:color="auto"/>
        <w:left w:val="none" w:sz="0" w:space="0" w:color="auto"/>
        <w:bottom w:val="none" w:sz="0" w:space="0" w:color="auto"/>
        <w:right w:val="none" w:sz="0" w:space="0" w:color="auto"/>
      </w:divBdr>
    </w:div>
    <w:div w:id="376702796">
      <w:bodyDiv w:val="1"/>
      <w:marLeft w:val="0"/>
      <w:marRight w:val="0"/>
      <w:marTop w:val="0"/>
      <w:marBottom w:val="0"/>
      <w:divBdr>
        <w:top w:val="none" w:sz="0" w:space="0" w:color="auto"/>
        <w:left w:val="none" w:sz="0" w:space="0" w:color="auto"/>
        <w:bottom w:val="none" w:sz="0" w:space="0" w:color="auto"/>
        <w:right w:val="none" w:sz="0" w:space="0" w:color="auto"/>
      </w:divBdr>
    </w:div>
    <w:div w:id="496774350">
      <w:bodyDiv w:val="1"/>
      <w:marLeft w:val="0"/>
      <w:marRight w:val="0"/>
      <w:marTop w:val="0"/>
      <w:marBottom w:val="0"/>
      <w:divBdr>
        <w:top w:val="none" w:sz="0" w:space="0" w:color="auto"/>
        <w:left w:val="none" w:sz="0" w:space="0" w:color="auto"/>
        <w:bottom w:val="none" w:sz="0" w:space="0" w:color="auto"/>
        <w:right w:val="none" w:sz="0" w:space="0" w:color="auto"/>
      </w:divBdr>
    </w:div>
    <w:div w:id="523640060">
      <w:bodyDiv w:val="1"/>
      <w:marLeft w:val="0"/>
      <w:marRight w:val="0"/>
      <w:marTop w:val="0"/>
      <w:marBottom w:val="0"/>
      <w:divBdr>
        <w:top w:val="none" w:sz="0" w:space="0" w:color="auto"/>
        <w:left w:val="none" w:sz="0" w:space="0" w:color="auto"/>
        <w:bottom w:val="none" w:sz="0" w:space="0" w:color="auto"/>
        <w:right w:val="none" w:sz="0" w:space="0" w:color="auto"/>
      </w:divBdr>
    </w:div>
    <w:div w:id="790711053">
      <w:bodyDiv w:val="1"/>
      <w:marLeft w:val="0"/>
      <w:marRight w:val="0"/>
      <w:marTop w:val="0"/>
      <w:marBottom w:val="0"/>
      <w:divBdr>
        <w:top w:val="none" w:sz="0" w:space="0" w:color="auto"/>
        <w:left w:val="none" w:sz="0" w:space="0" w:color="auto"/>
        <w:bottom w:val="none" w:sz="0" w:space="0" w:color="auto"/>
        <w:right w:val="none" w:sz="0" w:space="0" w:color="auto"/>
      </w:divBdr>
    </w:div>
    <w:div w:id="815800077">
      <w:bodyDiv w:val="1"/>
      <w:marLeft w:val="0"/>
      <w:marRight w:val="0"/>
      <w:marTop w:val="0"/>
      <w:marBottom w:val="0"/>
      <w:divBdr>
        <w:top w:val="none" w:sz="0" w:space="0" w:color="auto"/>
        <w:left w:val="none" w:sz="0" w:space="0" w:color="auto"/>
        <w:bottom w:val="none" w:sz="0" w:space="0" w:color="auto"/>
        <w:right w:val="none" w:sz="0" w:space="0" w:color="auto"/>
      </w:divBdr>
    </w:div>
    <w:div w:id="910847757">
      <w:bodyDiv w:val="1"/>
      <w:marLeft w:val="0"/>
      <w:marRight w:val="0"/>
      <w:marTop w:val="0"/>
      <w:marBottom w:val="0"/>
      <w:divBdr>
        <w:top w:val="none" w:sz="0" w:space="0" w:color="auto"/>
        <w:left w:val="none" w:sz="0" w:space="0" w:color="auto"/>
        <w:bottom w:val="none" w:sz="0" w:space="0" w:color="auto"/>
        <w:right w:val="none" w:sz="0" w:space="0" w:color="auto"/>
      </w:divBdr>
    </w:div>
    <w:div w:id="1242565769">
      <w:bodyDiv w:val="1"/>
      <w:marLeft w:val="0"/>
      <w:marRight w:val="0"/>
      <w:marTop w:val="0"/>
      <w:marBottom w:val="0"/>
      <w:divBdr>
        <w:top w:val="none" w:sz="0" w:space="0" w:color="auto"/>
        <w:left w:val="none" w:sz="0" w:space="0" w:color="auto"/>
        <w:bottom w:val="none" w:sz="0" w:space="0" w:color="auto"/>
        <w:right w:val="none" w:sz="0" w:space="0" w:color="auto"/>
      </w:divBdr>
    </w:div>
    <w:div w:id="1381249408">
      <w:bodyDiv w:val="1"/>
      <w:marLeft w:val="0"/>
      <w:marRight w:val="0"/>
      <w:marTop w:val="0"/>
      <w:marBottom w:val="0"/>
      <w:divBdr>
        <w:top w:val="none" w:sz="0" w:space="0" w:color="auto"/>
        <w:left w:val="none" w:sz="0" w:space="0" w:color="auto"/>
        <w:bottom w:val="none" w:sz="0" w:space="0" w:color="auto"/>
        <w:right w:val="none" w:sz="0" w:space="0" w:color="auto"/>
      </w:divBdr>
    </w:div>
    <w:div w:id="1401055785">
      <w:bodyDiv w:val="1"/>
      <w:marLeft w:val="0"/>
      <w:marRight w:val="0"/>
      <w:marTop w:val="0"/>
      <w:marBottom w:val="0"/>
      <w:divBdr>
        <w:top w:val="none" w:sz="0" w:space="0" w:color="auto"/>
        <w:left w:val="none" w:sz="0" w:space="0" w:color="auto"/>
        <w:bottom w:val="none" w:sz="0" w:space="0" w:color="auto"/>
        <w:right w:val="none" w:sz="0" w:space="0" w:color="auto"/>
      </w:divBdr>
    </w:div>
    <w:div w:id="1493788171">
      <w:bodyDiv w:val="1"/>
      <w:marLeft w:val="0"/>
      <w:marRight w:val="0"/>
      <w:marTop w:val="0"/>
      <w:marBottom w:val="0"/>
      <w:divBdr>
        <w:top w:val="none" w:sz="0" w:space="0" w:color="auto"/>
        <w:left w:val="none" w:sz="0" w:space="0" w:color="auto"/>
        <w:bottom w:val="none" w:sz="0" w:space="0" w:color="auto"/>
        <w:right w:val="none" w:sz="0" w:space="0" w:color="auto"/>
      </w:divBdr>
    </w:div>
    <w:div w:id="1968194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k.practicallaw.thomsonreuters.com/w-015-95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CIV21</b:Tag>
    <b:SourceType>Report</b:SourceType>
    <b:Guid>{EF714BA0-54B0-4B6A-85A0-667A38062A20}</b:Guid>
    <b:Title>Case law</b:Title>
    <b:Year>2021</b:Year>
    <b:Publisher>civil enginerring lectures</b:Publisher>
    <b:Author>
      <b:Author>
        <b:NameList>
          <b:Person>
            <b:Last>LECTURES</b:Last>
            <b:First>CIVIL</b:First>
            <b:Middle>ENGINEERING</b:Middle>
          </b:Person>
        </b:NameList>
      </b:Author>
    </b:Author>
    <b:RefOrder>3</b:RefOrder>
  </b:Source>
  <b:Source>
    <b:Tag>jon18</b:Tag>
    <b:SourceType>Report</b:SourceType>
    <b:Guid>{5B5E7C17-80F0-4980-98B2-9122587BAC3F}</b:Guid>
    <b:Author>
      <b:Author>
        <b:NameList>
          <b:Person>
            <b:Last>cope</b:Last>
            <b:First>jonathan</b:First>
          </b:Person>
        </b:NameList>
      </b:Author>
    </b:Author>
    <b:Title>vinci vs beumer</b:Title>
    <b:Year>2018</b:Year>
    <b:Publisher>thompson reuters</b:Publisher>
    <b:RefOrder>2</b:RefOrder>
  </b:Source>
  <b:Source>
    <b:Tag>law21</b:Tag>
    <b:SourceType>Report</b:SourceType>
    <b:Guid>{B230C02E-A306-43B5-8814-7EDC23A20CB9}</b:Guid>
    <b:Author>
      <b:Author>
        <b:NameList>
          <b:Person>
            <b:Last>lawteacher</b:Last>
          </b:Person>
        </b:NameList>
      </b:Author>
    </b:Author>
    <b:Title>paris vs stepney borough council</b:Title>
    <b:Year>2021</b:Year>
    <b:Publisher>lawteacher</b:Publisher>
    <b:RefOrder>1</b:RefOrder>
  </b:Source>
</b:Sources>
</file>

<file path=customXml/itemProps1.xml><?xml version="1.0" encoding="utf-8"?>
<ds:datastoreItem xmlns:ds="http://schemas.openxmlformats.org/officeDocument/2006/customXml" ds:itemID="{31EA0679-798F-4272-AFAA-FBB869F78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3245</TotalTime>
  <Pages>8</Pages>
  <Words>1806</Words>
  <Characters>10296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Samuel</dc:creator>
  <cp:keywords/>
  <dc:description/>
  <cp:lastModifiedBy>Dylan.Samuel</cp:lastModifiedBy>
  <cp:revision>8</cp:revision>
  <dcterms:created xsi:type="dcterms:W3CDTF">2022-11-30T11:14:00Z</dcterms:created>
  <dcterms:modified xsi:type="dcterms:W3CDTF">2023-05-18T11:27:00Z</dcterms:modified>
</cp:coreProperties>
</file>