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23599B" w:rsidRDefault="0023599B" w14:paraId="672A6659" w14:textId="77777777">
      <w:pPr>
        <w:pStyle w:val="Titlu1"/>
        <w:spacing w:line="360" w:lineRule="auto"/>
        <w:jc w:val="both"/>
        <w:rPr>
          <w:rFonts w:ascii="Arial" w:hAnsi="Arial" w:eastAsia="Arial" w:cs="Arial"/>
          <w:sz w:val="24"/>
          <w:szCs w:val="24"/>
        </w:rPr>
      </w:pPr>
    </w:p>
    <w:p w:rsidR="0023599B" w:rsidRDefault="0023599B" w14:paraId="0A37501D" w14:textId="77777777">
      <w:pPr>
        <w:pStyle w:val="Titlu1"/>
        <w:spacing w:line="360" w:lineRule="auto"/>
        <w:jc w:val="both"/>
        <w:rPr>
          <w:rFonts w:ascii="Arial" w:hAnsi="Arial" w:eastAsia="Arial" w:cs="Arial"/>
          <w:sz w:val="24"/>
          <w:szCs w:val="24"/>
        </w:rPr>
      </w:pPr>
    </w:p>
    <w:p w:rsidR="0023599B" w:rsidRDefault="0023599B" w14:paraId="5DAB6C7B" w14:textId="77777777">
      <w:pPr>
        <w:spacing w:line="360" w:lineRule="auto"/>
        <w:jc w:val="center"/>
        <w:rPr>
          <w:rFonts w:ascii="Arial" w:hAnsi="Arial" w:eastAsia="Arial" w:cs="Arial"/>
          <w:i/>
          <w:sz w:val="40"/>
          <w:szCs w:val="40"/>
        </w:rPr>
      </w:pPr>
    </w:p>
    <w:p w:rsidR="0023599B" w:rsidRDefault="00F13535" w14:paraId="6C2D4EBC" w14:textId="77777777">
      <w:pPr>
        <w:pStyle w:val="Titlu"/>
        <w:spacing w:line="360" w:lineRule="auto"/>
        <w:jc w:val="center"/>
      </w:pPr>
      <w:bookmarkStart w:name="_gqphg0mx5du6" w:colFirst="0" w:colLast="0" w:id="0"/>
      <w:bookmarkEnd w:id="0"/>
      <w:r>
        <w:t>Report Case Study: The Seaview Resort</w:t>
      </w:r>
    </w:p>
    <w:p w:rsidR="0023599B" w:rsidRDefault="0023599B" w14:paraId="02EB378F" w14:textId="77777777">
      <w:pPr>
        <w:spacing w:line="360" w:lineRule="auto"/>
        <w:rPr>
          <w:b/>
          <w:color w:val="000000"/>
          <w:sz w:val="28"/>
          <w:szCs w:val="28"/>
        </w:rPr>
      </w:pPr>
    </w:p>
    <w:p w:rsidR="0023599B" w:rsidRDefault="0023599B" w14:paraId="6A05A809" w14:textId="77777777">
      <w:pPr>
        <w:spacing w:line="360" w:lineRule="auto"/>
        <w:rPr>
          <w:b/>
          <w:color w:val="000000"/>
          <w:sz w:val="28"/>
          <w:szCs w:val="28"/>
        </w:rPr>
      </w:pPr>
    </w:p>
    <w:p w:rsidR="0023599B" w:rsidRDefault="0023599B" w14:paraId="5A39BBE3" w14:textId="77777777">
      <w:pPr>
        <w:spacing w:line="360" w:lineRule="auto"/>
        <w:rPr>
          <w:b/>
          <w:color w:val="000000"/>
          <w:sz w:val="28"/>
          <w:szCs w:val="28"/>
        </w:rPr>
      </w:pPr>
    </w:p>
    <w:p w:rsidR="0023599B" w:rsidRDefault="0023599B" w14:paraId="41C8F396" w14:textId="77777777">
      <w:pPr>
        <w:spacing w:line="360" w:lineRule="auto"/>
        <w:rPr>
          <w:b/>
          <w:color w:val="000000"/>
          <w:sz w:val="28"/>
          <w:szCs w:val="28"/>
        </w:rPr>
      </w:pPr>
    </w:p>
    <w:p w:rsidR="0023599B" w:rsidRDefault="0023599B" w14:paraId="72A3D3EC" w14:textId="77777777">
      <w:pPr>
        <w:spacing w:line="360" w:lineRule="auto"/>
        <w:rPr>
          <w:b/>
          <w:color w:val="000000"/>
          <w:sz w:val="28"/>
          <w:szCs w:val="28"/>
        </w:rPr>
      </w:pPr>
    </w:p>
    <w:p w:rsidR="0023599B" w:rsidRDefault="0023599B" w14:paraId="0D0B940D" w14:textId="77777777">
      <w:pPr>
        <w:spacing w:line="360" w:lineRule="auto"/>
        <w:rPr>
          <w:b/>
          <w:color w:val="000000"/>
          <w:sz w:val="28"/>
          <w:szCs w:val="28"/>
        </w:rPr>
      </w:pPr>
    </w:p>
    <w:p w:rsidR="0023599B" w:rsidRDefault="0023599B" w14:paraId="0E27B00A" w14:textId="77777777">
      <w:pPr>
        <w:spacing w:line="360" w:lineRule="auto"/>
        <w:rPr>
          <w:b/>
          <w:color w:val="000000"/>
          <w:sz w:val="28"/>
          <w:szCs w:val="28"/>
        </w:rPr>
      </w:pPr>
    </w:p>
    <w:p w:rsidR="0023599B" w:rsidRDefault="0023599B" w14:paraId="60061E4C" w14:textId="77777777">
      <w:pPr>
        <w:spacing w:line="360" w:lineRule="auto"/>
        <w:rPr>
          <w:b/>
          <w:color w:val="000000"/>
          <w:sz w:val="28"/>
          <w:szCs w:val="28"/>
        </w:rPr>
      </w:pPr>
    </w:p>
    <w:p w:rsidR="0023599B" w:rsidRDefault="0023599B" w14:paraId="44EAFD9C" w14:textId="77777777">
      <w:pPr>
        <w:spacing w:line="360" w:lineRule="auto"/>
        <w:rPr>
          <w:b/>
          <w:color w:val="000000"/>
          <w:sz w:val="28"/>
          <w:szCs w:val="28"/>
        </w:rPr>
      </w:pPr>
    </w:p>
    <w:p w:rsidR="0023599B" w:rsidRDefault="0023599B" w14:paraId="4B94D5A5" w14:textId="77777777">
      <w:pPr>
        <w:spacing w:line="360" w:lineRule="auto"/>
        <w:rPr>
          <w:b/>
          <w:color w:val="000000"/>
          <w:sz w:val="28"/>
          <w:szCs w:val="28"/>
        </w:rPr>
      </w:pPr>
    </w:p>
    <w:p w:rsidR="0023599B" w:rsidRDefault="0023599B" w14:paraId="3DEEC669" w14:textId="77777777">
      <w:pPr>
        <w:spacing w:line="360" w:lineRule="auto"/>
        <w:rPr>
          <w:b/>
          <w:color w:val="000000"/>
          <w:sz w:val="28"/>
          <w:szCs w:val="28"/>
        </w:rPr>
      </w:pPr>
    </w:p>
    <w:p w:rsidR="0023599B" w:rsidRDefault="0023599B" w14:paraId="3656B9AB" w14:textId="77777777">
      <w:pPr>
        <w:spacing w:line="360" w:lineRule="auto"/>
        <w:rPr>
          <w:b/>
          <w:color w:val="000000"/>
          <w:sz w:val="28"/>
          <w:szCs w:val="28"/>
        </w:rPr>
      </w:pPr>
    </w:p>
    <w:p w:rsidR="0023599B" w:rsidRDefault="0023599B" w14:paraId="45FB0818" w14:textId="77777777">
      <w:pPr>
        <w:spacing w:line="360" w:lineRule="auto"/>
        <w:rPr>
          <w:b/>
          <w:color w:val="000000"/>
          <w:sz w:val="28"/>
          <w:szCs w:val="28"/>
        </w:rPr>
      </w:pPr>
    </w:p>
    <w:p w:rsidR="0023599B" w:rsidRDefault="0023599B" w14:paraId="049F31CB" w14:textId="77777777">
      <w:pPr>
        <w:spacing w:line="360" w:lineRule="auto"/>
        <w:rPr>
          <w:b/>
          <w:color w:val="000000"/>
          <w:sz w:val="28"/>
          <w:szCs w:val="28"/>
        </w:rPr>
      </w:pPr>
    </w:p>
    <w:p w:rsidR="0023599B" w:rsidRDefault="0023599B" w14:paraId="53128261" w14:textId="77777777">
      <w:pPr>
        <w:spacing w:line="360" w:lineRule="auto"/>
        <w:rPr>
          <w:b/>
          <w:color w:val="000000"/>
          <w:sz w:val="28"/>
          <w:szCs w:val="28"/>
        </w:rPr>
      </w:pPr>
    </w:p>
    <w:p w:rsidR="0023599B" w:rsidRDefault="0023599B" w14:paraId="62486C05" w14:textId="77777777">
      <w:pPr>
        <w:spacing w:line="360" w:lineRule="auto"/>
        <w:rPr>
          <w:b/>
          <w:color w:val="000000"/>
          <w:sz w:val="28"/>
          <w:szCs w:val="28"/>
        </w:rPr>
      </w:pPr>
    </w:p>
    <w:p w:rsidR="0023599B" w:rsidRDefault="0023599B" w14:paraId="4101652C" w14:textId="77777777">
      <w:pPr>
        <w:spacing w:line="360" w:lineRule="auto"/>
        <w:rPr>
          <w:b/>
          <w:color w:val="000000"/>
          <w:sz w:val="28"/>
          <w:szCs w:val="28"/>
        </w:rPr>
      </w:pPr>
    </w:p>
    <w:p w:rsidR="0023599B" w:rsidRDefault="0023599B" w14:paraId="4B99056E" w14:textId="77777777">
      <w:pPr>
        <w:spacing w:line="360" w:lineRule="auto"/>
        <w:rPr>
          <w:b/>
          <w:color w:val="000000"/>
          <w:sz w:val="28"/>
          <w:szCs w:val="28"/>
        </w:rPr>
      </w:pPr>
    </w:p>
    <w:p w:rsidR="0023599B" w:rsidRDefault="0023599B" w14:paraId="1299C43A" w14:textId="77777777">
      <w:pPr>
        <w:spacing w:line="360" w:lineRule="auto"/>
        <w:rPr>
          <w:b/>
          <w:color w:val="000000"/>
          <w:sz w:val="28"/>
          <w:szCs w:val="28"/>
        </w:rPr>
      </w:pPr>
    </w:p>
    <w:p w:rsidR="0023599B" w:rsidRDefault="0023599B" w14:paraId="4DDBEF00" w14:textId="77777777">
      <w:pPr>
        <w:spacing w:line="360" w:lineRule="auto"/>
        <w:rPr>
          <w:b/>
          <w:color w:val="000000"/>
          <w:sz w:val="28"/>
          <w:szCs w:val="28"/>
        </w:rPr>
      </w:pPr>
    </w:p>
    <w:p w:rsidR="0023599B" w:rsidRDefault="0023599B" w14:paraId="3461D779" w14:textId="77777777">
      <w:pPr>
        <w:spacing w:line="360" w:lineRule="auto"/>
        <w:rPr>
          <w:b/>
          <w:color w:val="000000"/>
          <w:sz w:val="28"/>
          <w:szCs w:val="28"/>
        </w:rPr>
      </w:pPr>
    </w:p>
    <w:p w:rsidR="0023599B" w:rsidRDefault="0023599B" w14:paraId="3CF2D8B6" w14:textId="77777777">
      <w:pPr>
        <w:spacing w:line="360" w:lineRule="auto"/>
        <w:rPr>
          <w:b/>
          <w:color w:val="000000"/>
          <w:sz w:val="28"/>
          <w:szCs w:val="28"/>
        </w:rPr>
      </w:pPr>
    </w:p>
    <w:p w:rsidR="0023599B" w:rsidRDefault="00F13535" w14:paraId="1B60A092" w14:textId="77777777">
      <w:pPr>
        <w:spacing w:line="360" w:lineRule="auto"/>
      </w:pPr>
      <w:r>
        <w:rPr>
          <w:b/>
          <w:color w:val="000000"/>
          <w:sz w:val="28"/>
          <w:szCs w:val="28"/>
        </w:rPr>
        <w:t>Student Name</w:t>
      </w:r>
      <w:r>
        <w:rPr>
          <w:color w:val="000000"/>
          <w:sz w:val="28"/>
          <w:szCs w:val="28"/>
        </w:rPr>
        <w:t>: Marina Georgiana Hogea</w:t>
      </w:r>
      <w:r>
        <w:t xml:space="preserve"> </w:t>
      </w:r>
    </w:p>
    <w:p w:rsidR="0023599B" w:rsidRDefault="00F13535" w14:paraId="679072E1" w14:textId="77777777">
      <w:pPr>
        <w:spacing w:line="360" w:lineRule="auto"/>
      </w:pPr>
      <w:r>
        <w:rPr>
          <w:b/>
          <w:color w:val="000000"/>
          <w:sz w:val="28"/>
          <w:szCs w:val="28"/>
        </w:rPr>
        <w:t>Student ID</w:t>
      </w:r>
      <w:r>
        <w:rPr>
          <w:color w:val="000000"/>
          <w:sz w:val="28"/>
          <w:szCs w:val="28"/>
        </w:rPr>
        <w:t>: 2131351</w:t>
      </w:r>
      <w:r>
        <w:t xml:space="preserve"> </w:t>
      </w:r>
    </w:p>
    <w:p w:rsidR="0023599B" w:rsidRDefault="00F13535" w14:paraId="0D9CA79A" w14:textId="77777777">
      <w:pPr>
        <w:spacing w:line="360" w:lineRule="auto"/>
        <w:rPr>
          <w:color w:val="000000"/>
          <w:sz w:val="28"/>
          <w:szCs w:val="28"/>
        </w:rPr>
      </w:pPr>
      <w:r>
        <w:rPr>
          <w:b/>
          <w:color w:val="000000"/>
          <w:sz w:val="28"/>
          <w:szCs w:val="28"/>
        </w:rPr>
        <w:t>Module</w:t>
      </w:r>
      <w:r>
        <w:rPr>
          <w:color w:val="000000"/>
          <w:sz w:val="32"/>
          <w:szCs w:val="32"/>
        </w:rPr>
        <w:t>:</w:t>
      </w:r>
      <w:r>
        <w:rPr>
          <w:sz w:val="28"/>
          <w:szCs w:val="28"/>
        </w:rPr>
        <w:t xml:space="preserve"> Financial Management for the Hotel Industry</w:t>
      </w:r>
    </w:p>
    <w:p w:rsidR="0023599B" w:rsidRDefault="00F13535" w14:paraId="1D679509" w14:textId="77777777">
      <w:pPr>
        <w:spacing w:line="360" w:lineRule="auto"/>
      </w:pPr>
      <w:r>
        <w:rPr>
          <w:b/>
          <w:sz w:val="28"/>
          <w:szCs w:val="28"/>
        </w:rPr>
        <w:t>Module code</w:t>
      </w:r>
      <w:r>
        <w:t>:</w:t>
      </w:r>
      <w:r>
        <w:rPr>
          <w:color w:val="000000"/>
          <w:sz w:val="32"/>
          <w:szCs w:val="32"/>
        </w:rPr>
        <w:t xml:space="preserve"> </w:t>
      </w:r>
      <w:r>
        <w:rPr>
          <w:color w:val="000000"/>
          <w:sz w:val="28"/>
          <w:szCs w:val="28"/>
        </w:rPr>
        <w:t>BMIH5007</w:t>
      </w:r>
    </w:p>
    <w:p w:rsidR="0023599B" w:rsidRDefault="00F13535" w14:paraId="4F4D2EE7" w14:textId="77777777">
      <w:pPr>
        <w:spacing w:line="360" w:lineRule="auto"/>
        <w:rPr>
          <w:sz w:val="28"/>
          <w:szCs w:val="28"/>
        </w:rPr>
      </w:pPr>
      <w:r>
        <w:rPr>
          <w:b/>
          <w:sz w:val="28"/>
          <w:szCs w:val="28"/>
        </w:rPr>
        <w:t>Lecturer</w:t>
      </w:r>
      <w:r>
        <w:t>:</w:t>
      </w:r>
      <w:r>
        <w:rPr>
          <w:sz w:val="24"/>
          <w:szCs w:val="24"/>
        </w:rPr>
        <w:t xml:space="preserve"> T</w:t>
      </w:r>
      <w:r>
        <w:rPr>
          <w:sz w:val="28"/>
          <w:szCs w:val="28"/>
        </w:rPr>
        <w:t>ristan Hawkins</w:t>
      </w:r>
    </w:p>
    <w:p w:rsidR="0023599B" w:rsidRDefault="0023599B" w14:paraId="0FB78278" w14:textId="77777777"/>
    <w:p w:rsidR="0023599B" w:rsidRDefault="0023599B" w14:paraId="1FC39945" w14:textId="77777777">
      <w:pPr>
        <w:pStyle w:val="Titlu1"/>
        <w:spacing w:line="360" w:lineRule="auto"/>
        <w:jc w:val="both"/>
        <w:rPr>
          <w:rFonts w:ascii="Arial" w:hAnsi="Arial" w:eastAsia="Arial" w:cs="Arial"/>
          <w:sz w:val="24"/>
          <w:szCs w:val="24"/>
        </w:rPr>
      </w:pPr>
    </w:p>
    <w:p w:rsidR="0023599B" w:rsidRDefault="0023599B" w14:paraId="0562CB0E" w14:textId="77777777">
      <w:pPr>
        <w:pStyle w:val="Titlu1"/>
        <w:spacing w:line="360" w:lineRule="auto"/>
        <w:jc w:val="both"/>
        <w:rPr>
          <w:rFonts w:ascii="Arial" w:hAnsi="Arial" w:eastAsia="Arial" w:cs="Arial"/>
          <w:sz w:val="24"/>
          <w:szCs w:val="24"/>
        </w:rPr>
      </w:pPr>
    </w:p>
    <w:p w:rsidR="0023599B" w:rsidRDefault="0023599B" w14:paraId="34CE0A41" w14:textId="77777777"/>
    <w:p w:rsidR="0023599B" w:rsidRDefault="0023599B" w14:paraId="62EBF3C5" w14:textId="77777777"/>
    <w:p w:rsidR="0023599B" w:rsidRDefault="0023599B" w14:paraId="6D98A12B" w14:textId="77777777"/>
    <w:p w:rsidR="0023599B" w:rsidRDefault="0023599B" w14:paraId="2946DB82" w14:textId="77777777"/>
    <w:p w:rsidR="0023599B" w:rsidRDefault="0023599B" w14:paraId="5997CC1D" w14:textId="77777777"/>
    <w:p w:rsidR="0023599B" w:rsidRDefault="0023599B" w14:paraId="110FFD37" w14:textId="77777777"/>
    <w:p w:rsidR="0023599B" w:rsidRDefault="0023599B" w14:paraId="6B699379" w14:textId="77777777"/>
    <w:p w:rsidR="0023599B" w:rsidRDefault="0023599B" w14:paraId="3FE9F23F" w14:textId="77777777"/>
    <w:p w:rsidR="0023599B" w:rsidRDefault="0023599B" w14:paraId="1F72F646" w14:textId="77777777">
      <w:pPr>
        <w:pStyle w:val="Titlu1"/>
        <w:spacing w:line="360" w:lineRule="auto"/>
        <w:jc w:val="both"/>
        <w:rPr>
          <w:rFonts w:ascii="Arial" w:hAnsi="Arial" w:eastAsia="Arial" w:cs="Arial"/>
          <w:sz w:val="24"/>
          <w:szCs w:val="24"/>
        </w:rPr>
      </w:pPr>
    </w:p>
    <w:p w:rsidR="0023599B" w:rsidRDefault="0023599B" w14:paraId="08CE6F91" w14:textId="77777777"/>
    <w:p w:rsidR="0023599B" w:rsidP="22F0776A" w:rsidRDefault="0023599B" w14:paraId="35B0C30F" w14:textId="02E6CA7D">
      <w:pPr>
        <w:rPr>
          <w:rFonts w:ascii="Arial" w:hAnsi="Arial" w:eastAsia="Arial" w:cs="Arial"/>
          <w:noProof w:val="0"/>
          <w:sz w:val="24"/>
          <w:szCs w:val="24"/>
          <w:lang w:val="en"/>
        </w:rPr>
      </w:pPr>
      <w:hyperlink w:anchor="" r:id="R68bfedebc32b4ba8">
        <w:r w:rsidRPr="22F0776A" w:rsidR="12346848">
          <w:rPr>
            <w:rStyle w:val="Hyperlink"/>
            <w:rFonts w:ascii="Arial" w:hAnsi="Arial" w:eastAsia="Arial" w:cs="Arial"/>
            <w:b w:val="1"/>
            <w:bCs w:val="1"/>
            <w:noProof w:val="0"/>
            <w:sz w:val="24"/>
            <w:szCs w:val="24"/>
            <w:lang w:val="en"/>
          </w:rPr>
          <w:t>Purpose of study</w:t>
        </w:r>
        <w:r>
          <w:tab/>
        </w:r>
      </w:hyperlink>
      <w:r>
        <w:tab/>
      </w:r>
      <w:r>
        <w:tab/>
      </w:r>
      <w:r>
        <w:tab/>
      </w:r>
      <w:r>
        <w:tab/>
      </w:r>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4</w:t>
      </w:r>
      <w:r w:rsidRPr="22F0776A" w:rsidR="12346848">
        <w:rPr>
          <w:rFonts w:ascii="Arial" w:hAnsi="Arial" w:eastAsia="Arial" w:cs="Arial"/>
          <w:noProof w:val="0"/>
          <w:sz w:val="24"/>
          <w:szCs w:val="24"/>
          <w:lang w:val="en"/>
        </w:rPr>
        <w:t xml:space="preserve"> </w:t>
      </w:r>
    </w:p>
    <w:p w:rsidR="0023599B" w:rsidP="22F0776A" w:rsidRDefault="0023599B" w14:paraId="4A8BCD78" w14:textId="5F4A861F">
      <w:pPr>
        <w:rPr>
          <w:rFonts w:ascii="Arial" w:hAnsi="Arial" w:eastAsia="Arial" w:cs="Arial"/>
          <w:noProof w:val="0"/>
          <w:sz w:val="24"/>
          <w:szCs w:val="24"/>
          <w:lang w:val="en"/>
        </w:rPr>
      </w:pPr>
      <w:hyperlink w:anchor="" r:id="R42128e24d89b4ae7">
        <w:r w:rsidRPr="22F0776A" w:rsidR="12346848">
          <w:rPr>
            <w:rStyle w:val="Hyperlink"/>
            <w:rFonts w:ascii="Arial" w:hAnsi="Arial" w:eastAsia="Arial" w:cs="Arial"/>
            <w:b w:val="1"/>
            <w:bCs w:val="1"/>
            <w:noProof w:val="0"/>
            <w:sz w:val="24"/>
            <w:szCs w:val="24"/>
            <w:lang w:val="en"/>
          </w:rPr>
          <w:t>Introduction</w:t>
        </w:r>
        <w:r>
          <w:tab/>
        </w:r>
      </w:hyperlink>
      <w:r>
        <w:tab/>
      </w:r>
      <w:r>
        <w:tab/>
      </w:r>
      <w:r>
        <w:tab/>
      </w:r>
      <w:r>
        <w:tab/>
      </w:r>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5</w:t>
      </w:r>
      <w:r w:rsidRPr="22F0776A" w:rsidR="12346848">
        <w:rPr>
          <w:rFonts w:ascii="Arial" w:hAnsi="Arial" w:eastAsia="Arial" w:cs="Arial"/>
          <w:noProof w:val="0"/>
          <w:sz w:val="24"/>
          <w:szCs w:val="24"/>
          <w:lang w:val="en"/>
        </w:rPr>
        <w:t xml:space="preserve"> </w:t>
      </w:r>
    </w:p>
    <w:p w:rsidR="0023599B" w:rsidP="22F0776A" w:rsidRDefault="0023599B" w14:paraId="03764F57" w14:textId="100BC222">
      <w:pPr>
        <w:rPr>
          <w:rFonts w:ascii="Arial" w:hAnsi="Arial" w:eastAsia="Arial" w:cs="Arial"/>
          <w:noProof w:val="0"/>
          <w:sz w:val="24"/>
          <w:szCs w:val="24"/>
          <w:lang w:val="en"/>
        </w:rPr>
      </w:pPr>
      <w:hyperlink w:anchor="" r:id="Rfac5178798f54967">
        <w:r w:rsidRPr="22F0776A" w:rsidR="12346848">
          <w:rPr>
            <w:rStyle w:val="Hyperlink"/>
            <w:rFonts w:ascii="Arial" w:hAnsi="Arial" w:eastAsia="Arial" w:cs="Arial"/>
            <w:b w:val="1"/>
            <w:bCs w:val="1"/>
            <w:noProof w:val="0"/>
            <w:sz w:val="24"/>
            <w:szCs w:val="24"/>
            <w:lang w:val="en"/>
          </w:rPr>
          <w:t>Scope and Objective</w:t>
        </w:r>
      </w:hyperlink>
      <w:r>
        <w:tab/>
      </w:r>
      <w:r>
        <w:tab/>
      </w:r>
      <w:r>
        <w:tab/>
      </w:r>
      <w:r>
        <w:tab/>
      </w:r>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5</w:t>
      </w:r>
      <w:r w:rsidRPr="22F0776A" w:rsidR="12346848">
        <w:rPr>
          <w:rFonts w:ascii="Arial" w:hAnsi="Arial" w:eastAsia="Arial" w:cs="Arial"/>
          <w:noProof w:val="0"/>
          <w:sz w:val="24"/>
          <w:szCs w:val="24"/>
          <w:lang w:val="en"/>
        </w:rPr>
        <w:t xml:space="preserve"> </w:t>
      </w:r>
    </w:p>
    <w:p w:rsidR="0023599B" w:rsidP="22F0776A" w:rsidRDefault="0023599B" w14:paraId="455297BA" w14:textId="5828A265">
      <w:pPr>
        <w:rPr>
          <w:rFonts w:ascii="Arial" w:hAnsi="Arial" w:eastAsia="Arial" w:cs="Arial"/>
          <w:noProof w:val="0"/>
          <w:sz w:val="24"/>
          <w:szCs w:val="24"/>
          <w:lang w:val="en"/>
        </w:rPr>
      </w:pPr>
      <w:hyperlink w:anchor="" r:id="Rfef3c66d5b3d42c0">
        <w:r w:rsidRPr="22F0776A" w:rsidR="12346848">
          <w:rPr>
            <w:rStyle w:val="Hyperlink"/>
            <w:rFonts w:ascii="Arial" w:hAnsi="Arial" w:eastAsia="Arial" w:cs="Arial"/>
            <w:b w:val="1"/>
            <w:bCs w:val="1"/>
            <w:noProof w:val="0"/>
            <w:sz w:val="24"/>
            <w:szCs w:val="24"/>
            <w:lang w:val="en"/>
          </w:rPr>
          <w:t>Financial analysis</w:t>
        </w:r>
        <w:r>
          <w:tab/>
        </w:r>
      </w:hyperlink>
      <w:r>
        <w:tab/>
      </w:r>
      <w:r>
        <w:tab/>
      </w:r>
      <w:r>
        <w:tab/>
      </w:r>
      <w:r>
        <w:tab/>
      </w:r>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6</w:t>
      </w:r>
      <w:r w:rsidRPr="22F0776A" w:rsidR="12346848">
        <w:rPr>
          <w:rFonts w:ascii="Arial" w:hAnsi="Arial" w:eastAsia="Arial" w:cs="Arial"/>
          <w:noProof w:val="0"/>
          <w:sz w:val="24"/>
          <w:szCs w:val="24"/>
          <w:lang w:val="en"/>
        </w:rPr>
        <w:t xml:space="preserve"> </w:t>
      </w:r>
    </w:p>
    <w:p w:rsidR="0023599B" w:rsidP="22F0776A" w:rsidRDefault="0023599B" w14:paraId="7DAFFBA2" w14:textId="35873395">
      <w:pPr>
        <w:rPr>
          <w:rFonts w:ascii="Arial" w:hAnsi="Arial" w:eastAsia="Arial" w:cs="Arial"/>
          <w:noProof w:val="0"/>
          <w:sz w:val="24"/>
          <w:szCs w:val="24"/>
          <w:lang w:val="en"/>
        </w:rPr>
      </w:pPr>
      <w:hyperlink w:anchor="" r:id="R27b6a10cbc294dae">
        <w:r w:rsidRPr="22F0776A" w:rsidR="12346848">
          <w:rPr>
            <w:rStyle w:val="Hyperlink"/>
            <w:rFonts w:ascii="Arial" w:hAnsi="Arial" w:eastAsia="Arial" w:cs="Arial"/>
            <w:b w:val="1"/>
            <w:bCs w:val="1"/>
            <w:noProof w:val="0"/>
            <w:sz w:val="24"/>
            <w:szCs w:val="24"/>
            <w:lang w:val="en"/>
          </w:rPr>
          <w:t>Statement of financial position analysis</w:t>
        </w:r>
        <w:r>
          <w:tab/>
        </w:r>
      </w:hyperlink>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7</w:t>
      </w:r>
      <w:r>
        <w:tab/>
      </w:r>
      <w:r w:rsidRPr="22F0776A" w:rsidR="12346848">
        <w:rPr>
          <w:rFonts w:ascii="Arial" w:hAnsi="Arial" w:eastAsia="Arial" w:cs="Arial"/>
          <w:noProof w:val="0"/>
          <w:sz w:val="24"/>
          <w:szCs w:val="24"/>
          <w:lang w:val="en"/>
        </w:rPr>
        <w:t xml:space="preserve"> </w:t>
      </w:r>
    </w:p>
    <w:p w:rsidR="0023599B" w:rsidP="22F0776A" w:rsidRDefault="0023599B" w14:paraId="2DAFA144" w14:textId="6858DC9D">
      <w:pPr>
        <w:rPr>
          <w:rFonts w:ascii="Arial" w:hAnsi="Arial" w:eastAsia="Arial" w:cs="Arial"/>
          <w:noProof w:val="0"/>
          <w:sz w:val="24"/>
          <w:szCs w:val="24"/>
          <w:lang w:val="en"/>
        </w:rPr>
      </w:pPr>
      <w:hyperlink w:anchor="" r:id="R1b6461035adc49f0">
        <w:r w:rsidRPr="22F0776A" w:rsidR="12346848">
          <w:rPr>
            <w:rStyle w:val="Hyperlink"/>
            <w:rFonts w:ascii="Arial" w:hAnsi="Arial" w:eastAsia="Arial" w:cs="Arial"/>
            <w:b w:val="1"/>
            <w:bCs w:val="1"/>
            <w:noProof w:val="0"/>
            <w:sz w:val="24"/>
            <w:szCs w:val="24"/>
            <w:lang w:val="en"/>
          </w:rPr>
          <w:t>Key Reasons for Decline</w:t>
        </w:r>
        <w:r>
          <w:tab/>
        </w:r>
      </w:hyperlink>
      <w:r>
        <w:tab/>
      </w:r>
      <w:r>
        <w:tab/>
      </w:r>
      <w:r>
        <w:tab/>
      </w:r>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9</w:t>
      </w:r>
      <w:r w:rsidRPr="22F0776A" w:rsidR="12346848">
        <w:rPr>
          <w:rFonts w:ascii="Arial" w:hAnsi="Arial" w:eastAsia="Arial" w:cs="Arial"/>
          <w:noProof w:val="0"/>
          <w:sz w:val="24"/>
          <w:szCs w:val="24"/>
          <w:lang w:val="en"/>
        </w:rPr>
        <w:t xml:space="preserve"> </w:t>
      </w:r>
    </w:p>
    <w:p w:rsidR="0023599B" w:rsidP="22F0776A" w:rsidRDefault="0023599B" w14:paraId="68DB431F" w14:textId="7BBD288E">
      <w:pPr>
        <w:rPr>
          <w:rFonts w:ascii="Arial" w:hAnsi="Arial" w:eastAsia="Arial" w:cs="Arial"/>
          <w:noProof w:val="0"/>
          <w:sz w:val="24"/>
          <w:szCs w:val="24"/>
          <w:lang w:val="en"/>
        </w:rPr>
      </w:pPr>
      <w:hyperlink w:anchor="" r:id="R752b085c8d834b5c">
        <w:r w:rsidRPr="22F0776A" w:rsidR="12346848">
          <w:rPr>
            <w:rStyle w:val="Hyperlink"/>
            <w:rFonts w:ascii="Arial" w:hAnsi="Arial" w:eastAsia="Arial" w:cs="Arial"/>
            <w:b w:val="1"/>
            <w:bCs w:val="1"/>
            <w:noProof w:val="0"/>
            <w:sz w:val="24"/>
            <w:szCs w:val="24"/>
            <w:lang w:val="en"/>
          </w:rPr>
          <w:t>SWOT Analysis for The Seaview Resort</w:t>
        </w:r>
        <w:r>
          <w:tab/>
        </w:r>
      </w:hyperlink>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10</w:t>
      </w:r>
      <w:r w:rsidRPr="22F0776A" w:rsidR="12346848">
        <w:rPr>
          <w:rFonts w:ascii="Arial" w:hAnsi="Arial" w:eastAsia="Arial" w:cs="Arial"/>
          <w:noProof w:val="0"/>
          <w:sz w:val="24"/>
          <w:szCs w:val="24"/>
          <w:lang w:val="en"/>
        </w:rPr>
        <w:t xml:space="preserve"> </w:t>
      </w:r>
    </w:p>
    <w:p w:rsidR="0023599B" w:rsidP="22F0776A" w:rsidRDefault="0023599B" w14:paraId="523DEFFA" w14:textId="4D7480DE">
      <w:pPr>
        <w:rPr>
          <w:rFonts w:ascii="Arial" w:hAnsi="Arial" w:eastAsia="Arial" w:cs="Arial"/>
          <w:noProof w:val="0"/>
          <w:sz w:val="24"/>
          <w:szCs w:val="24"/>
          <w:lang w:val="en"/>
        </w:rPr>
      </w:pPr>
      <w:hyperlink w:anchor="" r:id="Rac59511e800d4e1a">
        <w:r w:rsidRPr="22F0776A" w:rsidR="12346848">
          <w:rPr>
            <w:rStyle w:val="Hyperlink"/>
            <w:rFonts w:ascii="Arial" w:hAnsi="Arial" w:eastAsia="Arial" w:cs="Arial"/>
            <w:noProof w:val="0"/>
            <w:sz w:val="24"/>
            <w:szCs w:val="24"/>
            <w:lang w:val="en"/>
          </w:rPr>
          <w:t>Market Analysis</w:t>
        </w:r>
        <w:r>
          <w:tab/>
        </w:r>
      </w:hyperlink>
      <w:r>
        <w:tab/>
      </w:r>
      <w:r>
        <w:tab/>
      </w:r>
      <w:r>
        <w:tab/>
      </w:r>
      <w:r>
        <w:tab/>
      </w:r>
      <w:r>
        <w:tab/>
      </w:r>
      <w:r>
        <w:tab/>
      </w:r>
      <w:r>
        <w:tab/>
      </w:r>
      <w:r w:rsidRPr="22F0776A" w:rsidR="12346848">
        <w:rPr>
          <w:rStyle w:val="Hyperlink"/>
          <w:rFonts w:ascii="Arial" w:hAnsi="Arial" w:eastAsia="Arial" w:cs="Arial"/>
          <w:noProof w:val="0"/>
          <w:color w:val="000000" w:themeColor="text1" w:themeTint="FF" w:themeShade="FF"/>
          <w:sz w:val="24"/>
          <w:szCs w:val="24"/>
          <w:lang w:val="en"/>
        </w:rPr>
        <w:t>12</w:t>
      </w:r>
      <w:r w:rsidRPr="22F0776A" w:rsidR="12346848">
        <w:rPr>
          <w:rFonts w:ascii="Arial" w:hAnsi="Arial" w:eastAsia="Arial" w:cs="Arial"/>
          <w:noProof w:val="0"/>
          <w:sz w:val="24"/>
          <w:szCs w:val="24"/>
          <w:lang w:val="en"/>
        </w:rPr>
        <w:t xml:space="preserve"> </w:t>
      </w:r>
    </w:p>
    <w:p w:rsidR="0023599B" w:rsidP="22F0776A" w:rsidRDefault="0023599B" w14:paraId="046079DF" w14:textId="7CD9C8C9">
      <w:pPr>
        <w:rPr>
          <w:rFonts w:ascii="Arial" w:hAnsi="Arial" w:eastAsia="Arial" w:cs="Arial"/>
          <w:noProof w:val="0"/>
          <w:sz w:val="24"/>
          <w:szCs w:val="24"/>
          <w:lang w:val="en"/>
        </w:rPr>
      </w:pPr>
      <w:hyperlink w:anchor="" r:id="Rcdb057e7a79a4679">
        <w:r w:rsidRPr="22F0776A" w:rsidR="12346848">
          <w:rPr>
            <w:rStyle w:val="Hyperlink"/>
            <w:rFonts w:ascii="Arial" w:hAnsi="Arial" w:eastAsia="Arial" w:cs="Arial"/>
            <w:noProof w:val="0"/>
            <w:sz w:val="24"/>
            <w:szCs w:val="24"/>
            <w:lang w:val="en"/>
          </w:rPr>
          <w:t>Turnaround strategy</w:t>
        </w:r>
        <w:r>
          <w:tab/>
        </w:r>
      </w:hyperlink>
      <w:r>
        <w:tab/>
      </w:r>
      <w:r>
        <w:tab/>
      </w:r>
      <w:r>
        <w:tab/>
      </w:r>
      <w:r>
        <w:tab/>
      </w:r>
      <w:r>
        <w:tab/>
      </w:r>
      <w:r>
        <w:tab/>
      </w:r>
      <w:r w:rsidRPr="22F0776A" w:rsidR="12346848">
        <w:rPr>
          <w:rStyle w:val="Hyperlink"/>
          <w:rFonts w:ascii="Arial" w:hAnsi="Arial" w:eastAsia="Arial" w:cs="Arial"/>
          <w:noProof w:val="0"/>
          <w:color w:val="000000" w:themeColor="text1" w:themeTint="FF" w:themeShade="FF"/>
          <w:sz w:val="24"/>
          <w:szCs w:val="24"/>
          <w:lang w:val="en"/>
        </w:rPr>
        <w:t>13</w:t>
      </w:r>
      <w:r w:rsidRPr="22F0776A" w:rsidR="12346848">
        <w:rPr>
          <w:rFonts w:ascii="Arial" w:hAnsi="Arial" w:eastAsia="Arial" w:cs="Arial"/>
          <w:noProof w:val="0"/>
          <w:sz w:val="24"/>
          <w:szCs w:val="24"/>
          <w:lang w:val="en"/>
        </w:rPr>
        <w:t xml:space="preserve"> </w:t>
      </w:r>
    </w:p>
    <w:p w:rsidR="0023599B" w:rsidP="22F0776A" w:rsidRDefault="0023599B" w14:paraId="73AD2FBB" w14:textId="7EA6C4CF">
      <w:pPr>
        <w:rPr>
          <w:rFonts w:ascii="Arial" w:hAnsi="Arial" w:eastAsia="Arial" w:cs="Arial"/>
          <w:noProof w:val="0"/>
          <w:sz w:val="24"/>
          <w:szCs w:val="24"/>
          <w:lang w:val="en"/>
        </w:rPr>
      </w:pPr>
      <w:hyperlink w:anchor="" r:id="Rf8b85ddd4fc3455b">
        <w:r w:rsidRPr="22F0776A" w:rsidR="12346848">
          <w:rPr>
            <w:rStyle w:val="Hyperlink"/>
            <w:rFonts w:ascii="Arial" w:hAnsi="Arial" w:eastAsia="Arial" w:cs="Arial"/>
            <w:b w:val="1"/>
            <w:bCs w:val="1"/>
            <w:noProof w:val="0"/>
            <w:sz w:val="24"/>
            <w:szCs w:val="24"/>
            <w:lang w:val="en"/>
          </w:rPr>
          <w:t>Financial Projections</w:t>
        </w:r>
        <w:r>
          <w:tab/>
        </w:r>
      </w:hyperlink>
      <w:r>
        <w:tab/>
      </w:r>
      <w:r>
        <w:tab/>
      </w:r>
      <w:r>
        <w:tab/>
      </w:r>
      <w:r>
        <w:tab/>
      </w:r>
      <w:r>
        <w:tab/>
      </w:r>
      <w:r>
        <w:tab/>
      </w:r>
      <w:r w:rsidRPr="22F0776A" w:rsidR="12346848">
        <w:rPr>
          <w:rStyle w:val="Hyperlink"/>
          <w:rFonts w:ascii="Arial" w:hAnsi="Arial" w:eastAsia="Arial" w:cs="Arial"/>
          <w:b w:val="1"/>
          <w:bCs w:val="1"/>
          <w:noProof w:val="0"/>
          <w:color w:val="000000" w:themeColor="text1" w:themeTint="FF" w:themeShade="FF"/>
          <w:sz w:val="24"/>
          <w:szCs w:val="24"/>
          <w:lang w:val="en"/>
        </w:rPr>
        <w:t>13</w:t>
      </w:r>
      <w:r w:rsidRPr="22F0776A" w:rsidR="12346848">
        <w:rPr>
          <w:rFonts w:ascii="Arial" w:hAnsi="Arial" w:eastAsia="Arial" w:cs="Arial"/>
          <w:noProof w:val="0"/>
          <w:sz w:val="24"/>
          <w:szCs w:val="24"/>
          <w:lang w:val="en"/>
        </w:rPr>
        <w:t xml:space="preserve"> </w:t>
      </w:r>
    </w:p>
    <w:p w:rsidR="0023599B" w:rsidP="22F0776A" w:rsidRDefault="0023599B" w14:paraId="1EF7F680" w14:textId="2E5344EC">
      <w:pPr>
        <w:rPr>
          <w:rFonts w:ascii="Arial" w:hAnsi="Arial" w:eastAsia="Arial" w:cs="Arial"/>
          <w:noProof w:val="0"/>
          <w:sz w:val="24"/>
          <w:szCs w:val="24"/>
          <w:lang w:val="en"/>
        </w:rPr>
      </w:pPr>
      <w:hyperlink w:anchor="" r:id="R32ea312ae8aa4c4b">
        <w:r w:rsidRPr="22F0776A" w:rsidR="12346848">
          <w:rPr>
            <w:rStyle w:val="Hyperlink"/>
            <w:rFonts w:ascii="Arial" w:hAnsi="Arial" w:eastAsia="Arial" w:cs="Arial"/>
            <w:noProof w:val="0"/>
            <w:sz w:val="24"/>
            <w:szCs w:val="24"/>
            <w:lang w:val="en"/>
          </w:rPr>
          <w:t>Risk assessment</w:t>
        </w:r>
        <w:r>
          <w:tab/>
        </w:r>
      </w:hyperlink>
      <w:r>
        <w:tab/>
      </w:r>
      <w:r>
        <w:tab/>
      </w:r>
      <w:r>
        <w:tab/>
      </w:r>
      <w:r>
        <w:tab/>
      </w:r>
      <w:r>
        <w:tab/>
      </w:r>
      <w:r>
        <w:tab/>
      </w:r>
      <w:r>
        <w:tab/>
      </w:r>
      <w:r w:rsidRPr="22F0776A" w:rsidR="12346848">
        <w:rPr>
          <w:rStyle w:val="Hyperlink"/>
          <w:rFonts w:ascii="Arial" w:hAnsi="Arial" w:eastAsia="Arial" w:cs="Arial"/>
          <w:noProof w:val="0"/>
          <w:color w:val="000000" w:themeColor="text1" w:themeTint="FF" w:themeShade="FF"/>
          <w:sz w:val="24"/>
          <w:szCs w:val="24"/>
          <w:lang w:val="en"/>
        </w:rPr>
        <w:t>14</w:t>
      </w:r>
      <w:r w:rsidRPr="22F0776A" w:rsidR="12346848">
        <w:rPr>
          <w:rFonts w:ascii="Arial" w:hAnsi="Arial" w:eastAsia="Arial" w:cs="Arial"/>
          <w:noProof w:val="0"/>
          <w:sz w:val="24"/>
          <w:szCs w:val="24"/>
          <w:lang w:val="en"/>
        </w:rPr>
        <w:t xml:space="preserve"> </w:t>
      </w:r>
    </w:p>
    <w:p w:rsidR="0023599B" w:rsidP="22F0776A" w:rsidRDefault="0023599B" w14:paraId="765ED670" w14:textId="1C36600A">
      <w:pPr>
        <w:rPr>
          <w:rFonts w:ascii="Arial" w:hAnsi="Arial" w:eastAsia="Arial" w:cs="Arial"/>
          <w:noProof w:val="0"/>
          <w:sz w:val="24"/>
          <w:szCs w:val="24"/>
          <w:lang w:val="en"/>
        </w:rPr>
      </w:pPr>
      <w:hyperlink w:anchor="" r:id="Rfee1398303974260">
        <w:r w:rsidRPr="22F0776A" w:rsidR="12346848">
          <w:rPr>
            <w:rStyle w:val="Hyperlink"/>
            <w:rFonts w:ascii="Arial" w:hAnsi="Arial" w:eastAsia="Arial" w:cs="Arial"/>
            <w:noProof w:val="0"/>
            <w:sz w:val="24"/>
            <w:szCs w:val="24"/>
            <w:lang w:val="en"/>
          </w:rPr>
          <w:t>Conclusion</w:t>
        </w:r>
        <w:r>
          <w:tab/>
        </w:r>
      </w:hyperlink>
      <w:r>
        <w:tab/>
      </w:r>
      <w:r>
        <w:tab/>
      </w:r>
      <w:r>
        <w:tab/>
      </w:r>
      <w:r>
        <w:tab/>
      </w:r>
      <w:r>
        <w:tab/>
      </w:r>
      <w:r>
        <w:tab/>
      </w:r>
      <w:r>
        <w:tab/>
      </w:r>
      <w:r>
        <w:tab/>
      </w:r>
      <w:r w:rsidRPr="22F0776A" w:rsidR="12346848">
        <w:rPr>
          <w:rStyle w:val="Hyperlink"/>
          <w:rFonts w:ascii="Arial" w:hAnsi="Arial" w:eastAsia="Arial" w:cs="Arial"/>
          <w:noProof w:val="0"/>
          <w:color w:val="000000" w:themeColor="text1" w:themeTint="FF" w:themeShade="FF"/>
          <w:sz w:val="24"/>
          <w:szCs w:val="24"/>
          <w:lang w:val="en"/>
        </w:rPr>
        <w:t>15</w:t>
      </w:r>
      <w:r w:rsidRPr="22F0776A" w:rsidR="12346848">
        <w:rPr>
          <w:rFonts w:ascii="Arial" w:hAnsi="Arial" w:eastAsia="Arial" w:cs="Arial"/>
          <w:noProof w:val="0"/>
          <w:sz w:val="24"/>
          <w:szCs w:val="24"/>
          <w:lang w:val="en"/>
        </w:rPr>
        <w:t xml:space="preserve"> </w:t>
      </w:r>
    </w:p>
    <w:p w:rsidR="0023599B" w:rsidP="22F0776A" w:rsidRDefault="0023599B" w14:paraId="27746863" w14:textId="00E0EC1A">
      <w:pPr>
        <w:rPr>
          <w:rFonts w:ascii="Arial" w:hAnsi="Arial" w:eastAsia="Arial" w:cs="Arial"/>
          <w:sz w:val="24"/>
          <w:szCs w:val="24"/>
        </w:rPr>
      </w:pPr>
      <w:hyperlink w:anchor="" r:id="Rab5a17d362194570">
        <w:r w:rsidRPr="22F0776A" w:rsidR="12346848">
          <w:rPr>
            <w:rStyle w:val="Hyperlink"/>
            <w:rFonts w:ascii="Arial" w:hAnsi="Arial" w:eastAsia="Arial" w:cs="Arial"/>
            <w:noProof w:val="0"/>
            <w:sz w:val="24"/>
            <w:szCs w:val="24"/>
            <w:lang w:val="en"/>
          </w:rPr>
          <w:t>References</w:t>
        </w:r>
        <w:r>
          <w:tab/>
        </w:r>
      </w:hyperlink>
      <w:r>
        <w:tab/>
      </w:r>
      <w:r>
        <w:tab/>
      </w:r>
      <w:r>
        <w:tab/>
      </w:r>
      <w:r>
        <w:tab/>
      </w:r>
      <w:r>
        <w:tab/>
      </w:r>
      <w:r>
        <w:tab/>
      </w:r>
      <w:r>
        <w:tab/>
      </w:r>
      <w:r>
        <w:tab/>
      </w:r>
      <w:r w:rsidRPr="22F0776A" w:rsidR="12346848">
        <w:rPr>
          <w:rStyle w:val="Hyperlink"/>
          <w:rFonts w:ascii="Arial" w:hAnsi="Arial" w:eastAsia="Arial" w:cs="Arial"/>
          <w:noProof w:val="0"/>
          <w:color w:val="000000" w:themeColor="text1" w:themeTint="FF" w:themeShade="FF"/>
          <w:sz w:val="24"/>
          <w:szCs w:val="24"/>
          <w:lang w:val="en"/>
        </w:rPr>
        <w:t>15</w:t>
      </w:r>
    </w:p>
    <w:p w:rsidR="0023599B" w:rsidP="22F0776A" w:rsidRDefault="0023599B" w14:paraId="61CDCEAD" w14:textId="40D4F1F3">
      <w:pPr>
        <w:pStyle w:val="Normal"/>
        <w:ind w:left="0"/>
        <w:rPr>
          <w:rFonts w:ascii="Arial" w:hAnsi="Arial" w:eastAsia="Arial" w:cs="Arial"/>
          <w:sz w:val="24"/>
          <w:szCs w:val="24"/>
        </w:rPr>
      </w:pPr>
    </w:p>
    <w:p w:rsidR="0023599B" w:rsidRDefault="0023599B" w14:paraId="6BB9E253" w14:textId="77777777">
      <w:pPr>
        <w:pStyle w:val="Titlu1"/>
        <w:spacing w:line="360" w:lineRule="auto"/>
        <w:jc w:val="both"/>
        <w:rPr>
          <w:rFonts w:ascii="Arial" w:hAnsi="Arial" w:eastAsia="Arial" w:cs="Arial"/>
          <w:sz w:val="24"/>
          <w:szCs w:val="24"/>
        </w:rPr>
      </w:pPr>
    </w:p>
    <w:p w:rsidR="0023599B" w:rsidRDefault="0023599B" w14:paraId="23DE523C" w14:textId="77777777">
      <w:pPr>
        <w:pStyle w:val="Titlu1"/>
        <w:spacing w:line="360" w:lineRule="auto"/>
        <w:jc w:val="both"/>
        <w:rPr>
          <w:rFonts w:ascii="Arial" w:hAnsi="Arial" w:eastAsia="Arial" w:cs="Arial"/>
          <w:sz w:val="24"/>
          <w:szCs w:val="24"/>
        </w:rPr>
      </w:pPr>
    </w:p>
    <w:p w:rsidR="0023599B" w:rsidRDefault="0023599B" w14:paraId="52E56223" w14:textId="77777777">
      <w:pPr>
        <w:pStyle w:val="Titlu1"/>
        <w:spacing w:line="360" w:lineRule="auto"/>
        <w:jc w:val="both"/>
        <w:rPr>
          <w:rFonts w:ascii="Arial" w:hAnsi="Arial" w:eastAsia="Arial" w:cs="Arial"/>
          <w:sz w:val="24"/>
          <w:szCs w:val="24"/>
        </w:rPr>
      </w:pPr>
    </w:p>
    <w:p w:rsidR="0023599B" w:rsidRDefault="0023599B" w14:paraId="07547A01" w14:textId="77777777">
      <w:pPr>
        <w:pStyle w:val="Titlu1"/>
        <w:spacing w:line="360" w:lineRule="auto"/>
        <w:jc w:val="both"/>
        <w:rPr>
          <w:rFonts w:ascii="Arial" w:hAnsi="Arial" w:eastAsia="Arial" w:cs="Arial"/>
          <w:sz w:val="24"/>
          <w:szCs w:val="24"/>
        </w:rPr>
      </w:pPr>
    </w:p>
    <w:p w:rsidR="0023599B" w:rsidRDefault="0023599B" w14:paraId="5043CB0F" w14:textId="77777777">
      <w:pPr>
        <w:pStyle w:val="Titlu1"/>
        <w:spacing w:line="360" w:lineRule="auto"/>
        <w:jc w:val="both"/>
        <w:rPr>
          <w:rFonts w:ascii="Arial" w:hAnsi="Arial" w:eastAsia="Arial" w:cs="Arial"/>
          <w:sz w:val="24"/>
          <w:szCs w:val="24"/>
        </w:rPr>
      </w:pPr>
    </w:p>
    <w:p w:rsidR="0023599B" w:rsidRDefault="0023599B" w14:paraId="07459315" w14:textId="77777777">
      <w:pPr>
        <w:pStyle w:val="Titlu1"/>
        <w:spacing w:line="360" w:lineRule="auto"/>
        <w:jc w:val="both"/>
        <w:rPr>
          <w:rFonts w:ascii="Arial" w:hAnsi="Arial" w:eastAsia="Arial" w:cs="Arial"/>
          <w:sz w:val="24"/>
          <w:szCs w:val="24"/>
        </w:rPr>
      </w:pPr>
    </w:p>
    <w:p w:rsidR="0023599B" w:rsidRDefault="0023599B" w14:paraId="6537F28F" w14:textId="77777777">
      <w:pPr>
        <w:pStyle w:val="Titlu1"/>
        <w:spacing w:line="360" w:lineRule="auto"/>
        <w:jc w:val="both"/>
        <w:rPr>
          <w:rFonts w:ascii="Arial" w:hAnsi="Arial" w:eastAsia="Arial" w:cs="Arial"/>
          <w:sz w:val="24"/>
          <w:szCs w:val="24"/>
        </w:rPr>
      </w:pPr>
    </w:p>
    <w:p w:rsidR="0023599B" w:rsidRDefault="0023599B" w14:paraId="6DFB9E20" w14:textId="77777777">
      <w:pPr>
        <w:pStyle w:val="Titlu1"/>
        <w:spacing w:line="360" w:lineRule="auto"/>
        <w:jc w:val="both"/>
        <w:rPr>
          <w:rFonts w:ascii="Arial" w:hAnsi="Arial" w:eastAsia="Arial" w:cs="Arial"/>
          <w:sz w:val="24"/>
          <w:szCs w:val="24"/>
        </w:rPr>
      </w:pPr>
    </w:p>
    <w:p w:rsidR="0023599B" w:rsidRDefault="0023599B" w14:paraId="70DF9E56" w14:textId="77777777">
      <w:pPr>
        <w:pStyle w:val="Titlu1"/>
        <w:spacing w:line="360" w:lineRule="auto"/>
        <w:jc w:val="both"/>
        <w:rPr>
          <w:rFonts w:ascii="Arial" w:hAnsi="Arial" w:eastAsia="Arial" w:cs="Arial"/>
          <w:sz w:val="24"/>
          <w:szCs w:val="24"/>
        </w:rPr>
      </w:pPr>
    </w:p>
    <w:p w:rsidR="0023599B" w:rsidRDefault="0023599B" w14:paraId="44E871BC" w14:textId="77777777">
      <w:pPr>
        <w:pStyle w:val="Titlu1"/>
        <w:spacing w:line="360" w:lineRule="auto"/>
        <w:jc w:val="both"/>
        <w:rPr>
          <w:rFonts w:ascii="Arial" w:hAnsi="Arial" w:eastAsia="Arial" w:cs="Arial"/>
          <w:sz w:val="24"/>
          <w:szCs w:val="24"/>
        </w:rPr>
      </w:pPr>
    </w:p>
    <w:p w:rsidR="0023599B" w:rsidRDefault="0023599B" w14:paraId="144A5D23" w14:textId="77777777">
      <w:pPr>
        <w:pStyle w:val="Titlu1"/>
        <w:spacing w:line="360" w:lineRule="auto"/>
        <w:jc w:val="both"/>
        <w:rPr>
          <w:rFonts w:ascii="Arial" w:hAnsi="Arial" w:eastAsia="Arial" w:cs="Arial"/>
          <w:sz w:val="24"/>
          <w:szCs w:val="24"/>
        </w:rPr>
      </w:pPr>
    </w:p>
    <w:p w:rsidR="0023599B" w:rsidRDefault="0023599B" w14:paraId="738610EB" w14:textId="77777777">
      <w:pPr>
        <w:pStyle w:val="Titlu1"/>
        <w:spacing w:line="360" w:lineRule="auto"/>
        <w:jc w:val="both"/>
        <w:rPr>
          <w:rFonts w:ascii="Arial" w:hAnsi="Arial" w:eastAsia="Arial" w:cs="Arial"/>
          <w:sz w:val="24"/>
          <w:szCs w:val="24"/>
        </w:rPr>
      </w:pPr>
    </w:p>
    <w:p w:rsidR="0023599B" w:rsidRDefault="0023599B" w14:paraId="637805D2" w14:textId="77777777">
      <w:pPr>
        <w:pStyle w:val="Titlu1"/>
        <w:spacing w:line="360" w:lineRule="auto"/>
        <w:jc w:val="both"/>
        <w:rPr>
          <w:rFonts w:ascii="Arial" w:hAnsi="Arial" w:eastAsia="Arial" w:cs="Arial"/>
          <w:sz w:val="24"/>
          <w:szCs w:val="24"/>
        </w:rPr>
      </w:pPr>
    </w:p>
    <w:p w:rsidR="0023599B" w:rsidRDefault="0023599B" w14:paraId="463F29E8" w14:textId="77777777">
      <w:pPr>
        <w:pStyle w:val="Titlu1"/>
        <w:spacing w:line="360" w:lineRule="auto"/>
        <w:jc w:val="both"/>
        <w:rPr>
          <w:rFonts w:ascii="Arial" w:hAnsi="Arial" w:eastAsia="Arial" w:cs="Arial"/>
          <w:sz w:val="24"/>
          <w:szCs w:val="24"/>
        </w:rPr>
      </w:pPr>
    </w:p>
    <w:p w:rsidR="0023599B" w:rsidRDefault="0023599B" w14:paraId="3B7B4B86" w14:textId="77777777">
      <w:pPr>
        <w:pStyle w:val="Titlu1"/>
        <w:spacing w:line="360" w:lineRule="auto"/>
        <w:jc w:val="both"/>
        <w:rPr>
          <w:rFonts w:ascii="Arial" w:hAnsi="Arial" w:eastAsia="Arial" w:cs="Arial"/>
          <w:sz w:val="24"/>
          <w:szCs w:val="24"/>
        </w:rPr>
      </w:pPr>
    </w:p>
    <w:p w:rsidR="0023599B" w:rsidRDefault="0023599B" w14:paraId="3A0FF5F2" w14:textId="77777777"/>
    <w:p w:rsidR="0023599B" w:rsidRDefault="0023599B" w14:paraId="5630AD66" w14:textId="77777777"/>
    <w:p w:rsidR="0023599B" w:rsidRDefault="0023599B" w14:paraId="61829076" w14:textId="77777777"/>
    <w:p w:rsidR="0023599B" w:rsidRDefault="0023599B" w14:paraId="2BA226A1" w14:textId="77777777"/>
    <w:p w:rsidR="0023599B" w:rsidRDefault="0023599B" w14:paraId="17AD93B2" w14:textId="77777777"/>
    <w:p w:rsidR="0023599B" w:rsidRDefault="0023599B" w14:paraId="0DE4B5B7" w14:textId="77777777">
      <w:pPr>
        <w:pStyle w:val="Titlu1"/>
        <w:spacing w:line="360" w:lineRule="auto"/>
        <w:jc w:val="both"/>
        <w:rPr>
          <w:rFonts w:ascii="Arial" w:hAnsi="Arial" w:eastAsia="Arial" w:cs="Arial"/>
          <w:sz w:val="24"/>
          <w:szCs w:val="24"/>
        </w:rPr>
      </w:pPr>
    </w:p>
    <w:p w:rsidR="0023599B" w:rsidRDefault="00F13535" w14:paraId="338434EE" w14:textId="77777777">
      <w:pPr>
        <w:pStyle w:val="Titlu1"/>
      </w:pPr>
      <w:r>
        <w:t xml:space="preserve">Purpose of study </w:t>
      </w:r>
    </w:p>
    <w:p w:rsidR="0023599B" w:rsidRDefault="0023599B" w14:paraId="66204FF1" w14:textId="77777777">
      <w:pPr>
        <w:spacing w:line="360" w:lineRule="auto"/>
        <w:jc w:val="both"/>
        <w:rPr>
          <w:rFonts w:ascii="Arial" w:hAnsi="Arial" w:eastAsia="Arial" w:cs="Arial"/>
          <w:sz w:val="24"/>
          <w:szCs w:val="24"/>
        </w:rPr>
      </w:pPr>
    </w:p>
    <w:p w:rsidR="0023599B" w:rsidRDefault="00F13535" w14:paraId="6D5646E1" w14:textId="77777777">
      <w:pPr>
        <w:spacing w:line="360" w:lineRule="auto"/>
        <w:jc w:val="both"/>
        <w:rPr>
          <w:rFonts w:ascii="Arial" w:hAnsi="Arial" w:eastAsia="Arial" w:cs="Arial"/>
          <w:color w:val="202124"/>
          <w:sz w:val="24"/>
          <w:szCs w:val="24"/>
        </w:rPr>
      </w:pPr>
      <w:r>
        <w:rPr>
          <w:rFonts w:ascii="Arial" w:hAnsi="Arial" w:eastAsia="Arial" w:cs="Arial"/>
          <w:color w:val="202124"/>
          <w:sz w:val="24"/>
          <w:szCs w:val="24"/>
        </w:rPr>
        <w:t>The main objective of this study is to find a solution to get out of the economic impact, occurred in the last three years, due to the pandemic and the competition. The study will track the way out of the impasse regarding the fundamental factors that led The Seaview Resort to the decrease in the occupancy rate, profit and guest satisfaction.  The secondary goal will look at the plan to find a strategy for financial recovery and to return to the identity it had before the impasse analysing the market study, SWOT analysis and turnaround strategy. This study, therefore, will pursue effective ways of developing practices to overcome these obstacles in the future.</w:t>
      </w:r>
    </w:p>
    <w:p w:rsidR="0023599B" w:rsidRDefault="0023599B" w14:paraId="2DBF0D7D" w14:textId="77777777">
      <w:pPr>
        <w:spacing w:line="360" w:lineRule="auto"/>
        <w:jc w:val="both"/>
        <w:rPr>
          <w:rFonts w:ascii="Arial" w:hAnsi="Arial" w:eastAsia="Arial" w:cs="Arial"/>
          <w:color w:val="202124"/>
          <w:sz w:val="24"/>
          <w:szCs w:val="24"/>
        </w:rPr>
      </w:pPr>
    </w:p>
    <w:p w:rsidR="0023599B" w:rsidRDefault="00F13535" w14:paraId="2635E364" w14:textId="77777777">
      <w:pPr>
        <w:pStyle w:val="Titlu1"/>
        <w:spacing w:line="360" w:lineRule="auto"/>
        <w:jc w:val="both"/>
      </w:pPr>
      <w:r>
        <w:t xml:space="preserve">Introduction </w:t>
      </w:r>
    </w:p>
    <w:p w:rsidR="0023599B" w:rsidRDefault="0023599B" w14:paraId="6B62F1B3" w14:textId="77777777">
      <w:pPr>
        <w:spacing w:line="360" w:lineRule="auto"/>
        <w:jc w:val="both"/>
        <w:rPr>
          <w:rFonts w:ascii="Arial" w:hAnsi="Arial" w:eastAsia="Arial" w:cs="Arial"/>
          <w:sz w:val="24"/>
          <w:szCs w:val="24"/>
        </w:rPr>
      </w:pPr>
    </w:p>
    <w:p w:rsidR="0023599B" w:rsidRDefault="00F13535" w14:paraId="1CD0421E" w14:textId="77777777">
      <w:pPr>
        <w:spacing w:line="360" w:lineRule="auto"/>
        <w:jc w:val="both"/>
        <w:rPr>
          <w:rFonts w:ascii="Arial" w:hAnsi="Arial" w:eastAsia="Arial" w:cs="Arial"/>
          <w:color w:val="202124"/>
          <w:sz w:val="24"/>
          <w:szCs w:val="24"/>
        </w:rPr>
      </w:pPr>
      <w:r>
        <w:rPr>
          <w:rFonts w:ascii="Arial" w:hAnsi="Arial" w:eastAsia="Arial" w:cs="Arial"/>
          <w:color w:val="202124"/>
          <w:sz w:val="24"/>
          <w:szCs w:val="24"/>
        </w:rPr>
        <w:t>The Seaview Resort was a place of attraction for many rich people who wanted relaxation and luxury at the same time. This resort is located in a picturesque environment, on the coast and is owned by Mr. James Henderson. The resort has suffered financial losses in last three years and Mr. James Henderson is worried and looking for a way of financial recovery. In the hospitality industry there are high chances of failure (</w:t>
      </w:r>
      <w:r>
        <w:rPr>
          <w:rFonts w:ascii="Arial" w:hAnsi="Arial" w:eastAsia="Arial" w:cs="Arial"/>
          <w:color w:val="1F1F1F"/>
          <w:sz w:val="24"/>
          <w:szCs w:val="24"/>
        </w:rPr>
        <w:t>Chathoth, Ching-Yick Tse, Olsen, 2006)</w:t>
      </w:r>
      <w:r>
        <w:rPr>
          <w:rFonts w:ascii="Arial" w:hAnsi="Arial" w:eastAsia="Arial" w:cs="Arial"/>
          <w:color w:val="202124"/>
          <w:sz w:val="24"/>
          <w:szCs w:val="24"/>
        </w:rPr>
        <w:t>. Mr. James wants the resort to become one of the most popular luxury resorts and needs a new financial recovery strategy brought by an expert to bring the business back to life.</w:t>
      </w:r>
    </w:p>
    <w:p w:rsidR="0023599B" w:rsidRDefault="0023599B" w14:paraId="02F2C34E" w14:textId="77777777">
      <w:pPr>
        <w:pStyle w:val="Titlu3"/>
        <w:spacing w:line="360" w:lineRule="auto"/>
        <w:jc w:val="both"/>
        <w:rPr>
          <w:rFonts w:ascii="Arial" w:hAnsi="Arial" w:eastAsia="Arial" w:cs="Arial"/>
        </w:rPr>
      </w:pPr>
    </w:p>
    <w:p w:rsidR="0023599B" w:rsidRDefault="00F13535" w14:paraId="009761C7" w14:textId="77777777">
      <w:pPr>
        <w:pStyle w:val="Titlu1"/>
        <w:spacing w:line="360" w:lineRule="auto"/>
        <w:jc w:val="both"/>
      </w:pPr>
      <w:r>
        <w:t>Scope and Objective</w:t>
      </w:r>
    </w:p>
    <w:p w:rsidR="0023599B" w:rsidRDefault="00F13535" w14:paraId="1B859F92" w14:textId="77777777">
      <w:pPr>
        <w:spacing w:line="360" w:lineRule="auto"/>
        <w:jc w:val="both"/>
        <w:rPr>
          <w:rFonts w:ascii="Arial" w:hAnsi="Arial" w:eastAsia="Arial" w:cs="Arial"/>
          <w:sz w:val="24"/>
          <w:szCs w:val="24"/>
        </w:rPr>
      </w:pPr>
      <w:r>
        <w:br/>
      </w:r>
      <w:r>
        <w:rPr>
          <w:rFonts w:ascii="Arial" w:hAnsi="Arial" w:eastAsia="Arial" w:cs="Arial"/>
          <w:color w:val="202124"/>
          <w:sz w:val="24"/>
          <w:szCs w:val="24"/>
        </w:rPr>
        <w:t>1. The first goal is to determine the financial plan for the last three years of The Seaview Resort. This will be done by analysing factors such as costs, revenues and profit.</w:t>
      </w:r>
    </w:p>
    <w:p w:rsidR="0023599B" w:rsidRDefault="00F13535" w14:paraId="587825E0" w14:textId="77777777">
      <w:pPr>
        <w:spacing w:line="360" w:lineRule="auto"/>
        <w:jc w:val="both"/>
        <w:rPr>
          <w:rFonts w:ascii="Arial" w:hAnsi="Arial" w:eastAsia="Arial" w:cs="Arial"/>
          <w:color w:val="202124"/>
          <w:sz w:val="24"/>
          <w:szCs w:val="24"/>
        </w:rPr>
      </w:pPr>
      <w:r>
        <w:rPr>
          <w:rFonts w:ascii="Arial" w:hAnsi="Arial" w:eastAsia="Arial" w:cs="Arial"/>
          <w:color w:val="202124"/>
          <w:sz w:val="24"/>
          <w:szCs w:val="24"/>
        </w:rPr>
        <w:t>2. Determining the reason that led to the failure and the challenges that The Seaview Resort suffered when the failure occurred.</w:t>
      </w:r>
    </w:p>
    <w:p w:rsidR="0023599B" w:rsidRDefault="00F13535" w14:paraId="5C4901EE" w14:textId="77777777">
      <w:pPr>
        <w:spacing w:line="360" w:lineRule="auto"/>
        <w:jc w:val="both"/>
        <w:rPr>
          <w:rFonts w:ascii="Arial" w:hAnsi="Arial" w:eastAsia="Arial" w:cs="Arial"/>
          <w:color w:val="202124"/>
          <w:sz w:val="24"/>
          <w:szCs w:val="24"/>
        </w:rPr>
      </w:pPr>
      <w:r>
        <w:rPr>
          <w:rFonts w:ascii="Arial" w:hAnsi="Arial" w:eastAsia="Arial" w:cs="Arial"/>
          <w:color w:val="202124"/>
          <w:sz w:val="24"/>
          <w:szCs w:val="24"/>
        </w:rPr>
        <w:t>3. Bringing a turnaround strategy and preparing it to recover the financial part of the resort.</w:t>
      </w:r>
    </w:p>
    <w:p w:rsidR="0023599B" w:rsidRDefault="0023599B" w14:paraId="680A4E5D" w14:textId="77777777">
      <w:pPr>
        <w:spacing w:line="360" w:lineRule="auto"/>
        <w:jc w:val="both"/>
        <w:rPr>
          <w:rFonts w:ascii="Arial" w:hAnsi="Arial" w:eastAsia="Arial" w:cs="Arial"/>
          <w:color w:val="202124"/>
          <w:sz w:val="24"/>
          <w:szCs w:val="24"/>
        </w:rPr>
      </w:pPr>
    </w:p>
    <w:p w:rsidR="0023599B" w:rsidRDefault="00F13535" w14:paraId="0D4C011D" w14:textId="77777777">
      <w:pPr>
        <w:pStyle w:val="Titlu1"/>
        <w:spacing w:line="360" w:lineRule="auto"/>
        <w:jc w:val="both"/>
      </w:pPr>
      <w:r>
        <w:t>Financial analysis</w:t>
      </w:r>
    </w:p>
    <w:p w:rsidR="0023599B" w:rsidRDefault="0023599B" w14:paraId="19219836" w14:textId="77777777">
      <w:pPr>
        <w:spacing w:line="360" w:lineRule="auto"/>
        <w:jc w:val="both"/>
        <w:rPr>
          <w:rFonts w:ascii="Arial" w:hAnsi="Arial" w:eastAsia="Arial" w:cs="Arial"/>
          <w:sz w:val="24"/>
          <w:szCs w:val="24"/>
        </w:rPr>
      </w:pPr>
    </w:p>
    <w:p w:rsidR="0023599B" w:rsidRDefault="00F13535" w14:paraId="7E51DB0D" w14:textId="77777777">
      <w:pPr>
        <w:spacing w:line="360" w:lineRule="auto"/>
        <w:jc w:val="both"/>
        <w:rPr>
          <w:rFonts w:ascii="Arial" w:hAnsi="Arial" w:eastAsia="Arial" w:cs="Arial"/>
          <w:color w:val="202124"/>
          <w:sz w:val="24"/>
          <w:szCs w:val="24"/>
        </w:rPr>
      </w:pPr>
      <w:r>
        <w:rPr>
          <w:rFonts w:ascii="Arial" w:hAnsi="Arial" w:eastAsia="Arial" w:cs="Arial"/>
          <w:b/>
          <w:i/>
          <w:color w:val="202124"/>
          <w:sz w:val="24"/>
          <w:szCs w:val="24"/>
          <w:u w:val="single"/>
        </w:rPr>
        <w:t>Total revenue</w:t>
      </w:r>
      <w:r>
        <w:rPr>
          <w:rFonts w:ascii="Arial" w:hAnsi="Arial" w:eastAsia="Arial" w:cs="Arial"/>
          <w:color w:val="202124"/>
          <w:sz w:val="24"/>
          <w:szCs w:val="24"/>
        </w:rPr>
        <w:t xml:space="preserve"> of the Seaview resort suffered a continuous decrease. in 2020 they were worth £520,000 and they decreased in 2021 to £480,000. these decreases did not stop there and continued and in the year 2022 these revenues decreased to only £430,000. A period of low income brings a strong need for financing resources to be able to survive and pay taxes, which are very relevant (Cladera, Oliver, Fuster, 2021).</w:t>
      </w:r>
    </w:p>
    <w:p w:rsidR="0023599B" w:rsidRDefault="00F13535" w14:paraId="7F8129A8" w14:textId="77777777">
      <w:pPr>
        <w:spacing w:line="360" w:lineRule="auto"/>
        <w:jc w:val="both"/>
        <w:rPr>
          <w:rFonts w:ascii="Arial" w:hAnsi="Arial" w:eastAsia="Arial" w:cs="Arial"/>
          <w:color w:val="202124"/>
          <w:sz w:val="24"/>
          <w:szCs w:val="24"/>
        </w:rPr>
      </w:pPr>
      <w:r>
        <w:rPr>
          <w:rFonts w:ascii="Arial" w:hAnsi="Arial" w:eastAsia="Arial" w:cs="Arial"/>
          <w:b/>
          <w:i/>
          <w:color w:val="202124"/>
          <w:sz w:val="24"/>
          <w:szCs w:val="24"/>
          <w:u w:val="single"/>
        </w:rPr>
        <w:t>Operating Expenses</w:t>
      </w:r>
      <w:r>
        <w:rPr>
          <w:rFonts w:ascii="Arial" w:hAnsi="Arial" w:eastAsia="Arial" w:cs="Arial"/>
          <w:i/>
          <w:color w:val="202124"/>
          <w:sz w:val="24"/>
          <w:szCs w:val="24"/>
        </w:rPr>
        <w:t xml:space="preserve"> </w:t>
      </w:r>
      <w:r>
        <w:rPr>
          <w:rFonts w:ascii="Arial" w:hAnsi="Arial" w:eastAsia="Arial" w:cs="Arial"/>
          <w:color w:val="202124"/>
          <w:sz w:val="24"/>
          <w:szCs w:val="24"/>
        </w:rPr>
        <w:t>have increased considerably in the last three years. From £390,000 in 2020 to £400,000 in 2021 and in 2022 it reached £450,000. We can, otherwise, see that the decrease in profitability would have arisen from the fact that these costs were limited.</w:t>
      </w:r>
    </w:p>
    <w:p w:rsidR="0023599B" w:rsidRDefault="00F13535" w14:paraId="50E26403" w14:textId="77777777">
      <w:pPr>
        <w:spacing w:line="360" w:lineRule="auto"/>
        <w:jc w:val="both"/>
        <w:rPr>
          <w:rFonts w:ascii="Arial" w:hAnsi="Arial" w:eastAsia="Arial" w:cs="Arial"/>
          <w:color w:val="202124"/>
          <w:sz w:val="24"/>
          <w:szCs w:val="24"/>
        </w:rPr>
      </w:pPr>
      <w:r>
        <w:rPr>
          <w:rFonts w:ascii="Arial" w:hAnsi="Arial" w:eastAsia="Arial" w:cs="Arial"/>
          <w:b/>
          <w:i/>
          <w:color w:val="202124"/>
          <w:sz w:val="24"/>
          <w:szCs w:val="24"/>
          <w:u w:val="single"/>
        </w:rPr>
        <w:t>Gross Profit</w:t>
      </w:r>
      <w:r>
        <w:rPr>
          <w:rFonts w:ascii="Arial" w:hAnsi="Arial" w:eastAsia="Arial" w:cs="Arial"/>
          <w:i/>
          <w:color w:val="202124"/>
          <w:sz w:val="24"/>
          <w:szCs w:val="24"/>
          <w:u w:val="single"/>
        </w:rPr>
        <w:t xml:space="preserve"> </w:t>
      </w:r>
      <w:r>
        <w:rPr>
          <w:rFonts w:ascii="Arial" w:hAnsi="Arial" w:eastAsia="Arial" w:cs="Arial"/>
          <w:color w:val="202124"/>
          <w:sz w:val="24"/>
          <w:szCs w:val="24"/>
        </w:rPr>
        <w:t>it remains stable in 2020 but dropped significantly in 2021. We can see this as from £130,000 to £20,000. A dramatic decrease occurs in 2022 with -£20,000 . The Seaview Resort it is a traded firm having a declining gross profit margin which can idicate that the resort have a great difficulty in controlling the cost of goods sold The biggest impact brought by the pandemic, in the hotel industry, is the negative change in customer demand but will increase in the next years (Jiang, 2023).</w:t>
      </w:r>
    </w:p>
    <w:p w:rsidR="0023599B" w:rsidRDefault="00F13535" w14:paraId="65177D6E" w14:textId="77777777">
      <w:pPr>
        <w:spacing w:line="360" w:lineRule="auto"/>
        <w:jc w:val="both"/>
        <w:rPr>
          <w:rFonts w:ascii="Arial" w:hAnsi="Arial" w:eastAsia="Arial" w:cs="Arial"/>
          <w:sz w:val="24"/>
          <w:szCs w:val="24"/>
        </w:rPr>
      </w:pPr>
      <w:r>
        <w:rPr>
          <w:rFonts w:ascii="Arial" w:hAnsi="Arial" w:eastAsia="Arial" w:cs="Arial"/>
          <w:b/>
          <w:i/>
          <w:color w:val="202124"/>
          <w:sz w:val="24"/>
          <w:szCs w:val="24"/>
          <w:u w:val="single"/>
        </w:rPr>
        <w:t>Net Profit (Loss)</w:t>
      </w:r>
      <w:r>
        <w:rPr>
          <w:rFonts w:ascii="Arial" w:hAnsi="Arial" w:eastAsia="Arial" w:cs="Arial"/>
          <w:i/>
          <w:color w:val="202124"/>
          <w:sz w:val="24"/>
          <w:szCs w:val="24"/>
          <w:u w:val="single"/>
        </w:rPr>
        <w:t xml:space="preserve"> </w:t>
      </w:r>
      <w:r>
        <w:rPr>
          <w:rFonts w:ascii="Arial" w:hAnsi="Arial" w:eastAsia="Arial" w:cs="Arial"/>
          <w:color w:val="202124"/>
          <w:sz w:val="24"/>
          <w:szCs w:val="24"/>
        </w:rPr>
        <w:t xml:space="preserve"> can be identifyed with a drastic decrease in income, going from £78,000 in 2020 to £40,000 in 2021 and finally to -£47,500 in 2022. Furthermore, the net profit margin declined, falling from 15% in 2020 to 8% in 2021 and –11% in 2022. </w:t>
      </w:r>
      <w:r>
        <w:rPr>
          <w:rFonts w:ascii="Arial" w:hAnsi="Arial" w:eastAsia="Arial" w:cs="Arial"/>
          <w:color w:val="000000"/>
          <w:sz w:val="24"/>
          <w:szCs w:val="24"/>
        </w:rPr>
        <w:t>Total net loss is below the survival limit and this may be due to the incorrect price or non-optional expenses total net loss is below the survival limit and this may be due to the incorrect price or non-optional expenses. If the outcome is negative, the business has recorded a loss rather than a net profit. These dropping profit margins imply that the Seaview Resort's profitability has been significantly impacted</w:t>
      </w:r>
      <w:r>
        <w:rPr>
          <w:rFonts w:ascii="Arial" w:hAnsi="Arial" w:eastAsia="Arial" w:cs="Arial"/>
          <w:sz w:val="24"/>
          <w:szCs w:val="24"/>
        </w:rPr>
        <w:t xml:space="preserve"> (accountingtools, 2023).</w:t>
      </w:r>
    </w:p>
    <w:p w:rsidR="0023599B" w:rsidRDefault="00F13535" w14:paraId="1A9D3FCD" w14:textId="77777777">
      <w:pPr>
        <w:pStyle w:val="Titlu1"/>
        <w:spacing w:line="360" w:lineRule="auto"/>
        <w:jc w:val="both"/>
      </w:pPr>
      <w:r>
        <w:t>Statement of financial position analysis</w:t>
      </w:r>
    </w:p>
    <w:p w:rsidR="0023599B" w:rsidRDefault="0023599B" w14:paraId="296FEF7D" w14:textId="77777777">
      <w:pPr>
        <w:spacing w:line="360" w:lineRule="auto"/>
        <w:jc w:val="both"/>
        <w:rPr>
          <w:rFonts w:ascii="Arial" w:hAnsi="Arial" w:eastAsia="Arial" w:cs="Arial"/>
          <w:sz w:val="24"/>
          <w:szCs w:val="24"/>
        </w:rPr>
      </w:pPr>
    </w:p>
    <w:p w:rsidR="0023599B" w:rsidRDefault="0023599B" w14:paraId="7194DBDC" w14:textId="77777777">
      <w:pPr>
        <w:spacing w:line="360" w:lineRule="auto"/>
        <w:jc w:val="both"/>
        <w:rPr>
          <w:rFonts w:ascii="Arial" w:hAnsi="Arial" w:eastAsia="Arial" w:cs="Arial"/>
          <w:sz w:val="24"/>
          <w:szCs w:val="24"/>
        </w:rPr>
      </w:pPr>
    </w:p>
    <w:p w:rsidR="0023599B" w:rsidRDefault="00F13535" w14:paraId="6A42DDA9" w14:textId="77777777">
      <w:pPr>
        <w:spacing w:line="360" w:lineRule="auto"/>
        <w:jc w:val="both"/>
        <w:rPr>
          <w:rFonts w:ascii="Arial" w:hAnsi="Arial" w:eastAsia="Arial" w:cs="Arial"/>
          <w:sz w:val="24"/>
          <w:szCs w:val="24"/>
        </w:rPr>
      </w:pPr>
      <w:r>
        <w:rPr>
          <w:rFonts w:ascii="Arial" w:hAnsi="Arial" w:eastAsia="Arial" w:cs="Arial"/>
          <w:sz w:val="24"/>
          <w:szCs w:val="24"/>
        </w:rPr>
        <w:t>The financial performance of the Seaview Resort can be assessed by looking at its income statement and balance sheet during the previous three years.</w:t>
      </w:r>
    </w:p>
    <w:tbl>
      <w:tblPr>
        <w:tblStyle w:val="a"/>
        <w:tblW w:w="9016" w:type="dxa"/>
        <w:tblInd w:w="0" w:type="dxa"/>
        <w:tblBorders>
          <w:top w:val="single" w:color="000000" w:sz="6" w:space="0"/>
          <w:left w:val="single" w:color="000000" w:sz="6" w:space="0"/>
          <w:bottom w:val="single" w:color="000000" w:sz="6" w:space="0"/>
          <w:right w:val="single" w:color="000000" w:sz="6" w:space="0"/>
          <w:insideH w:val="single" w:color="000000" w:sz="4" w:space="0"/>
          <w:insideV w:val="single" w:color="000000" w:sz="4" w:space="0"/>
        </w:tblBorders>
        <w:tblLayout w:type="fixed"/>
        <w:tblLook w:val="0400" w:firstRow="0" w:lastRow="0" w:firstColumn="0" w:lastColumn="0" w:noHBand="0" w:noVBand="1"/>
      </w:tblPr>
      <w:tblGrid>
        <w:gridCol w:w="3670"/>
        <w:gridCol w:w="1773"/>
        <w:gridCol w:w="1773"/>
        <w:gridCol w:w="1800"/>
      </w:tblGrid>
      <w:tr w:rsidR="0023599B" w14:paraId="305987BD" w14:textId="77777777">
        <w:trPr>
          <w:trHeight w:val="300"/>
        </w:trPr>
        <w:tc>
          <w:tcPr>
            <w:tcW w:w="367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769726BA"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Item</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42B71CCD"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2020</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65B281B9"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2021</w:t>
            </w:r>
          </w:p>
        </w:tc>
        <w:tc>
          <w:tcPr>
            <w:tcW w:w="180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1FBE425F"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2022</w:t>
            </w:r>
          </w:p>
        </w:tc>
      </w:tr>
      <w:tr w:rsidR="0023599B" w14:paraId="3E3A66E3" w14:textId="77777777">
        <w:trPr>
          <w:trHeight w:val="300"/>
        </w:trPr>
        <w:tc>
          <w:tcPr>
            <w:tcW w:w="367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E00F079"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Total Revenue</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D1801ED"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520,000</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770E8B63"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480,000</w:t>
            </w:r>
          </w:p>
        </w:tc>
        <w:tc>
          <w:tcPr>
            <w:tcW w:w="180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7A6A3DF3"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430,000</w:t>
            </w:r>
          </w:p>
        </w:tc>
      </w:tr>
      <w:tr w:rsidR="0023599B" w14:paraId="5DA6B2D0" w14:textId="77777777">
        <w:trPr>
          <w:trHeight w:val="300"/>
        </w:trPr>
        <w:tc>
          <w:tcPr>
            <w:tcW w:w="367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91B090E"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Operating Expenses</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6E75FBF0"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390,000</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7E1C18B"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400,000</w:t>
            </w:r>
          </w:p>
        </w:tc>
        <w:tc>
          <w:tcPr>
            <w:tcW w:w="180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8DD0306"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450,000</w:t>
            </w:r>
          </w:p>
        </w:tc>
      </w:tr>
      <w:tr w:rsidR="0023599B" w14:paraId="21F5BEFC" w14:textId="77777777">
        <w:trPr>
          <w:trHeight w:val="300"/>
        </w:trPr>
        <w:tc>
          <w:tcPr>
            <w:tcW w:w="367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5653854F"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Gross Profit</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53A643D"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130,000</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337A9999"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80,000</w:t>
            </w:r>
          </w:p>
        </w:tc>
        <w:tc>
          <w:tcPr>
            <w:tcW w:w="180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377426B9"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(20,000)</w:t>
            </w:r>
          </w:p>
        </w:tc>
      </w:tr>
      <w:tr w:rsidR="0023599B" w14:paraId="320415E3" w14:textId="77777777">
        <w:trPr>
          <w:trHeight w:val="300"/>
        </w:trPr>
        <w:tc>
          <w:tcPr>
            <w:tcW w:w="367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44125E45"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Net Profit (Loss)</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77F05A5C"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78,000</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8BC399D"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40,000</w:t>
            </w:r>
          </w:p>
        </w:tc>
        <w:tc>
          <w:tcPr>
            <w:tcW w:w="180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26981DD"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(47,500)</w:t>
            </w:r>
          </w:p>
        </w:tc>
      </w:tr>
      <w:tr w:rsidR="0023599B" w14:paraId="76A44B21" w14:textId="77777777">
        <w:trPr>
          <w:trHeight w:val="300"/>
        </w:trPr>
        <w:tc>
          <w:tcPr>
            <w:tcW w:w="367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07D9AA6"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Net Profit Margin</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33E27760"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15%</w:t>
            </w:r>
          </w:p>
        </w:tc>
        <w:tc>
          <w:tcPr>
            <w:tcW w:w="177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5579621B"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w:t>
            </w:r>
          </w:p>
        </w:tc>
        <w:tc>
          <w:tcPr>
            <w:tcW w:w="1800"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696E2ED3"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-11%</w:t>
            </w:r>
          </w:p>
        </w:tc>
      </w:tr>
    </w:tbl>
    <w:p w:rsidR="0023599B" w:rsidRDefault="0023599B" w14:paraId="769D0D3C" w14:textId="77777777">
      <w:pPr>
        <w:spacing w:line="360" w:lineRule="auto"/>
        <w:jc w:val="both"/>
        <w:rPr>
          <w:rFonts w:ascii="Arial" w:hAnsi="Arial" w:eastAsia="Arial" w:cs="Arial"/>
          <w:sz w:val="24"/>
          <w:szCs w:val="24"/>
        </w:rPr>
      </w:pPr>
    </w:p>
    <w:p w:rsidR="0023599B" w:rsidRDefault="00F13535" w14:paraId="0B6D0836" w14:textId="77777777">
      <w:pPr>
        <w:spacing w:line="360" w:lineRule="auto"/>
        <w:jc w:val="both"/>
        <w:rPr>
          <w:rFonts w:ascii="Arial" w:hAnsi="Arial" w:eastAsia="Arial" w:cs="Arial"/>
          <w:color w:val="000000"/>
          <w:sz w:val="24"/>
          <w:szCs w:val="24"/>
        </w:rPr>
      </w:pPr>
      <w:r>
        <w:rPr>
          <w:rFonts w:ascii="Arial" w:hAnsi="Arial" w:eastAsia="Arial" w:cs="Arial"/>
          <w:b/>
          <w:i/>
          <w:sz w:val="24"/>
          <w:szCs w:val="24"/>
          <w:u w:val="single"/>
        </w:rPr>
        <w:t>Total Assets</w:t>
      </w:r>
      <w:r>
        <w:rPr>
          <w:rFonts w:ascii="Arial" w:hAnsi="Arial" w:eastAsia="Arial" w:cs="Arial"/>
          <w:i/>
          <w:sz w:val="24"/>
          <w:szCs w:val="24"/>
          <w:u w:val="single"/>
        </w:rPr>
        <w:t xml:space="preserve"> - </w:t>
      </w:r>
      <w:r>
        <w:rPr>
          <w:rFonts w:ascii="Arial" w:hAnsi="Arial" w:eastAsia="Arial" w:cs="Arial"/>
          <w:color w:val="000000"/>
          <w:sz w:val="24"/>
          <w:szCs w:val="24"/>
        </w:rPr>
        <w:t>Seaview Resort had assets worth £1,030,000 at the end of 2022. Part of them (£630,000) have been reinvested in real estate and machinery. the resort had an amount of £250,000 that could be used to pay off debts covering a reasonable amount. The increased manufacturing capacity, an untrained management in keeping financial records and an adequate tax collection technique attract a low level of goods and a low asset turnover rate. The total turnover is the tool by which the efficiency of the total assets of a company can be quantified in determining the sales activities or it can also be found as a ratio measuring the sales from the total assets to be generated (Karim and Santoso, 2023).</w:t>
      </w:r>
    </w:p>
    <w:p w:rsidR="0023599B" w:rsidRDefault="00F13535" w14:paraId="0BF0E00D" w14:textId="77777777">
      <w:pPr>
        <w:spacing w:line="360" w:lineRule="auto"/>
        <w:jc w:val="both"/>
        <w:rPr>
          <w:rFonts w:ascii="Arial" w:hAnsi="Arial" w:eastAsia="Arial" w:cs="Arial"/>
          <w:color w:val="000000"/>
          <w:sz w:val="24"/>
          <w:szCs w:val="24"/>
        </w:rPr>
      </w:pPr>
      <w:r>
        <w:rPr>
          <w:rFonts w:ascii="Arial" w:hAnsi="Arial" w:eastAsia="Arial" w:cs="Arial"/>
          <w:b/>
          <w:i/>
          <w:color w:val="000000"/>
          <w:sz w:val="24"/>
          <w:szCs w:val="24"/>
          <w:u w:val="single"/>
        </w:rPr>
        <w:t xml:space="preserve">Total Liabilities </w:t>
      </w:r>
      <w:r>
        <w:rPr>
          <w:rFonts w:ascii="Arial" w:hAnsi="Arial" w:eastAsia="Arial" w:cs="Arial"/>
          <w:i/>
          <w:color w:val="000000"/>
          <w:sz w:val="24"/>
          <w:szCs w:val="24"/>
        </w:rPr>
        <w:t>-</w:t>
      </w:r>
      <w:r>
        <w:rPr>
          <w:rFonts w:ascii="Arial" w:hAnsi="Arial" w:eastAsia="Arial" w:cs="Arial"/>
          <w:color w:val="000000"/>
          <w:sz w:val="24"/>
          <w:szCs w:val="24"/>
        </w:rPr>
        <w:t xml:space="preserve"> The resort owes a total of £750,000 of which £500,000 is long-term debt and £180,000 is current debt. It can be seen that the long-term commitments are greater than the current liabilities, they represent the greater part of the total liabilities and this indicates that the resort has a budget deficit, this information being included in the annual balance sheet. (Naomi, 2023).</w:t>
      </w:r>
    </w:p>
    <w:p w:rsidR="0023599B" w:rsidRDefault="0023599B" w14:paraId="54CD245A" w14:textId="77777777">
      <w:pPr>
        <w:spacing w:line="360" w:lineRule="auto"/>
        <w:jc w:val="both"/>
        <w:rPr>
          <w:rFonts w:ascii="Arial" w:hAnsi="Arial" w:eastAsia="Arial" w:cs="Arial"/>
          <w:color w:val="000000"/>
          <w:sz w:val="24"/>
          <w:szCs w:val="24"/>
        </w:rPr>
      </w:pPr>
    </w:p>
    <w:p w:rsidR="0023599B" w:rsidRDefault="00F13535" w14:paraId="52F7F556" w14:textId="77777777">
      <w:pPr>
        <w:spacing w:line="360" w:lineRule="auto"/>
        <w:jc w:val="both"/>
        <w:rPr>
          <w:rFonts w:ascii="Arial" w:hAnsi="Arial" w:eastAsia="Arial" w:cs="Arial"/>
          <w:color w:val="000000"/>
          <w:sz w:val="24"/>
          <w:szCs w:val="24"/>
        </w:rPr>
      </w:pPr>
      <w:r>
        <w:rPr>
          <w:rFonts w:ascii="Arial" w:hAnsi="Arial" w:eastAsia="Arial" w:cs="Arial"/>
          <w:color w:val="000000"/>
          <w:sz w:val="24"/>
          <w:szCs w:val="24"/>
        </w:rPr>
        <w:t>Balance Sheet (end of 2022)</w:t>
      </w:r>
    </w:p>
    <w:tbl>
      <w:tblPr>
        <w:tblStyle w:val="a0"/>
        <w:tblW w:w="9015" w:type="dxa"/>
        <w:tblInd w:w="0" w:type="dxa"/>
        <w:tblBorders>
          <w:top w:val="single" w:color="000000" w:sz="6" w:space="0"/>
          <w:left w:val="single" w:color="000000" w:sz="6" w:space="0"/>
          <w:bottom w:val="single" w:color="000000" w:sz="6" w:space="0"/>
          <w:right w:val="single" w:color="000000" w:sz="6" w:space="0"/>
          <w:insideH w:val="single" w:color="000000" w:sz="4" w:space="0"/>
          <w:insideV w:val="single" w:color="000000" w:sz="4" w:space="0"/>
        </w:tblBorders>
        <w:tblLayout w:type="fixed"/>
        <w:tblLook w:val="0400" w:firstRow="0" w:lastRow="0" w:firstColumn="0" w:lastColumn="0" w:noHBand="0" w:noVBand="1"/>
      </w:tblPr>
      <w:tblGrid>
        <w:gridCol w:w="3346"/>
        <w:gridCol w:w="5669"/>
      </w:tblGrid>
      <w:tr w:rsidR="0023599B" w14:paraId="3501DC92"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193CB87"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Item</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6C24BAA"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Amount</w:t>
            </w:r>
          </w:p>
        </w:tc>
      </w:tr>
      <w:tr w:rsidR="0023599B" w14:paraId="04017C71"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5BD60C18"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Total Assets</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C205A51"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1,030,000</w:t>
            </w:r>
          </w:p>
        </w:tc>
      </w:tr>
      <w:tr w:rsidR="0023599B" w14:paraId="4402D0B4"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6557D1C"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Current Assets</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372F3B94"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250,000</w:t>
            </w:r>
          </w:p>
        </w:tc>
      </w:tr>
      <w:tr w:rsidR="0023599B" w14:paraId="58AF2E9E"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65401C0E"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Property &amp; Equip.</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5A9A6DA8"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630,000 (£100,000 as inventory)</w:t>
            </w:r>
          </w:p>
        </w:tc>
      </w:tr>
      <w:tr w:rsidR="0023599B" w14:paraId="22B3339D"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7C486E00"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Other Assets</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1ED9213D"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£150,000</w:t>
            </w:r>
          </w:p>
        </w:tc>
      </w:tr>
      <w:tr w:rsidR="0023599B" w14:paraId="418EB786"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67638AA5"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Total Liabilities</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326BF0D"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580,000</w:t>
            </w:r>
          </w:p>
        </w:tc>
      </w:tr>
      <w:tr w:rsidR="0023599B" w14:paraId="02574E59"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640F5DD1"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Current Liabilities</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43BBD22"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180,000</w:t>
            </w:r>
          </w:p>
        </w:tc>
      </w:tr>
      <w:tr w:rsidR="0023599B" w14:paraId="318A888D"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E4F2307"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Long-term Debt</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155C9EB4"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400,000</w:t>
            </w:r>
          </w:p>
        </w:tc>
      </w:tr>
      <w:tr w:rsidR="0023599B" w14:paraId="17DC729A" w14:textId="77777777">
        <w:trPr>
          <w:trHeight w:val="300"/>
        </w:trPr>
        <w:tc>
          <w:tcPr>
            <w:tcW w:w="3346"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75860C22"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Equity</w:t>
            </w:r>
          </w:p>
        </w:tc>
        <w:tc>
          <w:tcPr>
            <w:tcW w:w="5669"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198EC847"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450,000</w:t>
            </w:r>
          </w:p>
        </w:tc>
      </w:tr>
    </w:tbl>
    <w:p w:rsidR="0023599B" w:rsidRDefault="0023599B" w14:paraId="1231BE67" w14:textId="77777777">
      <w:pPr>
        <w:spacing w:line="360" w:lineRule="auto"/>
        <w:jc w:val="both"/>
        <w:rPr>
          <w:rFonts w:ascii="Arial" w:hAnsi="Arial" w:eastAsia="Arial" w:cs="Arial"/>
          <w:color w:val="000000"/>
          <w:sz w:val="24"/>
          <w:szCs w:val="24"/>
        </w:rPr>
      </w:pPr>
    </w:p>
    <w:p w:rsidR="0023599B" w:rsidRDefault="00F13535" w14:paraId="717C765C" w14:textId="77777777">
      <w:pPr>
        <w:spacing w:line="360" w:lineRule="auto"/>
        <w:jc w:val="both"/>
        <w:rPr>
          <w:rFonts w:ascii="Arial" w:hAnsi="Arial" w:eastAsia="Arial" w:cs="Arial"/>
          <w:sz w:val="24"/>
          <w:szCs w:val="24"/>
        </w:rPr>
      </w:pPr>
      <w:r>
        <w:rPr>
          <w:rFonts w:ascii="Arial" w:hAnsi="Arial" w:eastAsia="Arial" w:cs="Arial"/>
          <w:b/>
          <w:i/>
          <w:color w:val="000000"/>
          <w:sz w:val="24"/>
          <w:szCs w:val="24"/>
          <w:u w:val="single"/>
        </w:rPr>
        <w:t>Equity</w:t>
      </w:r>
      <w:r>
        <w:rPr>
          <w:rFonts w:ascii="Arial" w:hAnsi="Arial" w:eastAsia="Arial" w:cs="Arial"/>
          <w:i/>
          <w:color w:val="000000"/>
          <w:sz w:val="24"/>
          <w:szCs w:val="24"/>
          <w:u w:val="single"/>
        </w:rPr>
        <w:t xml:space="preserve"> - </w:t>
      </w:r>
      <w:r>
        <w:rPr>
          <w:rFonts w:ascii="Arial" w:hAnsi="Arial" w:eastAsia="Arial" w:cs="Arial"/>
          <w:color w:val="000000"/>
          <w:sz w:val="24"/>
          <w:szCs w:val="24"/>
        </w:rPr>
        <w:t>The Seaview Resort has a capital of £450,000 and this is its value at the end of 2022. The company is obliged to monitor the level of equity. If the equity is decreasing, it indicates that the company has financial problems (</w:t>
      </w:r>
      <w:r>
        <w:rPr>
          <w:rFonts w:ascii="Arial" w:hAnsi="Arial" w:eastAsia="Arial" w:cs="Arial"/>
          <w:sz w:val="24"/>
          <w:szCs w:val="24"/>
        </w:rPr>
        <w:t>zoho, 2023).</w:t>
      </w:r>
    </w:p>
    <w:p w:rsidR="0023599B" w:rsidRDefault="00F13535" w14:paraId="1AEEAE70" w14:textId="77777777">
      <w:pPr>
        <w:spacing w:line="360" w:lineRule="auto"/>
        <w:jc w:val="both"/>
        <w:rPr>
          <w:rFonts w:ascii="Arial" w:hAnsi="Arial" w:eastAsia="Arial" w:cs="Arial"/>
          <w:b/>
          <w:i/>
          <w:sz w:val="24"/>
          <w:szCs w:val="24"/>
          <w:u w:val="single"/>
        </w:rPr>
      </w:pPr>
      <w:r>
        <w:rPr>
          <w:rFonts w:ascii="Arial" w:hAnsi="Arial" w:eastAsia="Arial" w:cs="Arial"/>
          <w:b/>
          <w:i/>
          <w:sz w:val="24"/>
          <w:szCs w:val="24"/>
          <w:u w:val="single"/>
        </w:rPr>
        <w:t>The cash flow analysis</w:t>
      </w:r>
    </w:p>
    <w:p w:rsidR="0023599B" w:rsidRDefault="00F13535" w14:paraId="7B1F7C27" w14:textId="77777777">
      <w:pPr>
        <w:spacing w:line="360" w:lineRule="auto"/>
        <w:jc w:val="both"/>
      </w:pPr>
      <w:r>
        <w:rPr>
          <w:rFonts w:ascii="Arial" w:hAnsi="Arial" w:eastAsia="Arial" w:cs="Arial"/>
          <w:color w:val="000000"/>
          <w:sz w:val="24"/>
          <w:szCs w:val="24"/>
        </w:rPr>
        <w:t xml:space="preserve">In 2021 The Seaview Resort spent more than it earned and this can be seen in the net flow which is negative by -£80000. Having a relatively low flow in 2022, the resort has the risk of encountering cash flow problems. Cash flow has been further reduced due to capital expenditure of £30,000 so The Seaview Resort is cash negative by -£110,000 </w:t>
      </w:r>
      <w:r>
        <w:rPr>
          <w:rFonts w:ascii="Arial" w:hAnsi="Arial" w:eastAsia="Arial" w:cs="Arial"/>
          <w:sz w:val="24"/>
          <w:szCs w:val="24"/>
        </w:rPr>
        <w:t>(Girardin, 2023).</w:t>
      </w:r>
    </w:p>
    <w:tbl>
      <w:tblPr>
        <w:tblStyle w:val="a1"/>
        <w:tblW w:w="9015" w:type="dxa"/>
        <w:tblInd w:w="0" w:type="dxa"/>
        <w:tblBorders>
          <w:top w:val="single" w:color="000000" w:sz="6" w:space="0"/>
          <w:left w:val="single" w:color="000000" w:sz="6" w:space="0"/>
          <w:bottom w:val="single" w:color="000000" w:sz="6" w:space="0"/>
          <w:right w:val="single" w:color="000000" w:sz="6" w:space="0"/>
          <w:insideH w:val="single" w:color="000000" w:sz="4" w:space="0"/>
          <w:insideV w:val="single" w:color="000000" w:sz="4" w:space="0"/>
        </w:tblBorders>
        <w:tblLayout w:type="fixed"/>
        <w:tblLook w:val="0400" w:firstRow="0" w:lastRow="0" w:firstColumn="0" w:lastColumn="0" w:noHBand="0" w:noVBand="1"/>
      </w:tblPr>
      <w:tblGrid>
        <w:gridCol w:w="7162"/>
        <w:gridCol w:w="1853"/>
      </w:tblGrid>
      <w:tr w:rsidR="0023599B" w14:paraId="181BD66B" w14:textId="77777777">
        <w:trPr>
          <w:trHeight w:val="300"/>
        </w:trPr>
        <w:tc>
          <w:tcPr>
            <w:tcW w:w="7162"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E789079"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Item</w:t>
            </w:r>
          </w:p>
        </w:tc>
        <w:tc>
          <w:tcPr>
            <w:tcW w:w="185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337CAE68"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Amount</w:t>
            </w:r>
          </w:p>
        </w:tc>
      </w:tr>
      <w:tr w:rsidR="0023599B" w14:paraId="5CA0A56B" w14:textId="77777777">
        <w:trPr>
          <w:trHeight w:val="300"/>
        </w:trPr>
        <w:tc>
          <w:tcPr>
            <w:tcW w:w="7162"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0DE27373"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Net Cash Flow from Ops</w:t>
            </w:r>
          </w:p>
        </w:tc>
        <w:tc>
          <w:tcPr>
            <w:tcW w:w="185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428E11A5"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-£80,000</w:t>
            </w:r>
          </w:p>
        </w:tc>
      </w:tr>
      <w:tr w:rsidR="0023599B" w14:paraId="086A3530" w14:textId="77777777">
        <w:trPr>
          <w:trHeight w:val="300"/>
        </w:trPr>
        <w:tc>
          <w:tcPr>
            <w:tcW w:w="7162"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473E35EE"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Capital Expenditures</w:t>
            </w:r>
          </w:p>
        </w:tc>
        <w:tc>
          <w:tcPr>
            <w:tcW w:w="185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27633084"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£30,000</w:t>
            </w:r>
          </w:p>
        </w:tc>
      </w:tr>
      <w:tr w:rsidR="0023599B" w14:paraId="7F27A250" w14:textId="77777777">
        <w:trPr>
          <w:trHeight w:val="300"/>
        </w:trPr>
        <w:tc>
          <w:tcPr>
            <w:tcW w:w="7162"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4AFD32CF"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Net Cash Flow (Change in Cash Balance)</w:t>
            </w:r>
          </w:p>
        </w:tc>
        <w:tc>
          <w:tcPr>
            <w:tcW w:w="1853" w:type="dxa"/>
            <w:tcBorders>
              <w:top w:val="single" w:color="D9D9E3" w:sz="6" w:space="0"/>
              <w:left w:val="single" w:color="D9D9E3" w:sz="6" w:space="0"/>
              <w:bottom w:val="single" w:color="D9D9E3" w:sz="6" w:space="0"/>
              <w:right w:val="single" w:color="D9D9E3" w:sz="6" w:space="0"/>
            </w:tcBorders>
            <w:shd w:val="clear" w:color="auto" w:fill="F7F7F8"/>
            <w:vAlign w:val="bottom"/>
          </w:tcPr>
          <w:p w:rsidR="0023599B" w:rsidRDefault="00F13535" w14:paraId="17CEF0E6" w14:textId="77777777">
            <w:pPr>
              <w:spacing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-£110,000</w:t>
            </w:r>
          </w:p>
        </w:tc>
      </w:tr>
    </w:tbl>
    <w:p w:rsidR="0023599B" w:rsidRDefault="0023599B" w14:paraId="36FEB5B0" w14:textId="77777777">
      <w:pPr>
        <w:spacing w:line="360" w:lineRule="auto"/>
        <w:jc w:val="both"/>
        <w:rPr>
          <w:rFonts w:ascii="Arial" w:hAnsi="Arial" w:eastAsia="Arial" w:cs="Arial"/>
          <w:sz w:val="24"/>
          <w:szCs w:val="24"/>
        </w:rPr>
      </w:pPr>
    </w:p>
    <w:p w:rsidR="0023599B" w:rsidRDefault="00F13535" w14:paraId="22AAF44C" w14:textId="77777777">
      <w:pPr>
        <w:pStyle w:val="Titlu1"/>
        <w:spacing w:line="360" w:lineRule="auto"/>
        <w:jc w:val="both"/>
      </w:pPr>
      <w:r>
        <w:t>Key Reasons for Decline</w:t>
      </w:r>
    </w:p>
    <w:p w:rsidR="0023599B" w:rsidRDefault="0023599B" w14:paraId="30D7AA69" w14:textId="77777777">
      <w:pPr>
        <w:spacing w:line="360" w:lineRule="auto"/>
        <w:jc w:val="both"/>
        <w:rPr>
          <w:rFonts w:ascii="Arial" w:hAnsi="Arial" w:eastAsia="Arial" w:cs="Arial"/>
          <w:sz w:val="24"/>
          <w:szCs w:val="24"/>
        </w:rPr>
      </w:pPr>
    </w:p>
    <w:p w:rsidR="0023599B" w:rsidRDefault="00F13535" w14:paraId="29BE0232" w14:textId="77777777">
      <w:pPr>
        <w:spacing w:line="360" w:lineRule="auto"/>
        <w:jc w:val="both"/>
      </w:pPr>
      <w:r>
        <w:rPr>
          <w:rFonts w:ascii="Arial" w:hAnsi="Arial" w:eastAsia="Arial" w:cs="Arial"/>
          <w:color w:val="000000"/>
          <w:sz w:val="24"/>
          <w:szCs w:val="24"/>
        </w:rPr>
        <w:t>Viewing the below table,  can be notice a decrease in average rates per room as well as a decrease in occupancy rates. These decreases can be due to the considerable decrease in revenues and profitability, so that the net profit margin is also affected. The low quality of services and other factors such as outdated facilities contribute to the loss of profitability (Peng, and Zhu,2023). Inefficacy to adapt to changing customer preferences for environmentally sensitive and experiential types of tourism. The existence of modern resorts in close vicinity has resulted in increased rivalry</w:t>
      </w:r>
      <w:r>
        <w:rPr>
          <w:rFonts w:ascii="Arial" w:hAnsi="Arial" w:eastAsia="Arial" w:cs="Arial"/>
          <w:color w:val="222222"/>
          <w:sz w:val="24"/>
          <w:szCs w:val="24"/>
        </w:rPr>
        <w:t xml:space="preserve"> </w:t>
      </w:r>
      <w:r>
        <w:rPr>
          <w:rFonts w:ascii="Arial" w:hAnsi="Arial" w:eastAsia="Arial" w:cs="Arial"/>
          <w:color w:val="000000"/>
          <w:sz w:val="24"/>
          <w:szCs w:val="24"/>
        </w:rPr>
        <w:t xml:space="preserve">(Jegan Joseph Jerome, et al., 2023). The performance of the Seaview Resort has been dropping, and understanding why and the implications is critical to devising an effective recovery plan. </w:t>
      </w:r>
    </w:p>
    <w:tbl>
      <w:tblPr>
        <w:tblStyle w:val="a2"/>
        <w:tblW w:w="624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firstRow="0" w:lastRow="0" w:firstColumn="0" w:lastColumn="0" w:noHBand="1" w:noVBand="1"/>
      </w:tblPr>
      <w:tblGrid>
        <w:gridCol w:w="3300"/>
        <w:gridCol w:w="2940"/>
      </w:tblGrid>
      <w:tr w:rsidR="0023599B" w14:paraId="027CE29D" w14:textId="77777777">
        <w:trPr>
          <w:trHeight w:val="300"/>
        </w:trPr>
        <w:tc>
          <w:tcPr>
            <w:tcW w:w="3300" w:type="dxa"/>
          </w:tcPr>
          <w:p w:rsidR="0023599B" w:rsidRDefault="00F13535" w14:paraId="77CB19E7" w14:textId="77777777">
            <w:pPr>
              <w:rPr>
                <w:rFonts w:ascii="Arial" w:hAnsi="Arial" w:eastAsia="Arial" w:cs="Arial"/>
                <w:color w:val="000000"/>
                <w:sz w:val="24"/>
                <w:szCs w:val="24"/>
              </w:rPr>
            </w:pPr>
            <w:r>
              <w:rPr>
                <w:rFonts w:ascii="Arial" w:hAnsi="Arial" w:eastAsia="Arial" w:cs="Arial"/>
                <w:color w:val="000000"/>
                <w:sz w:val="24"/>
                <w:szCs w:val="24"/>
              </w:rPr>
              <w:t>Average Room Rate (ARR)</w:t>
            </w:r>
          </w:p>
        </w:tc>
        <w:tc>
          <w:tcPr>
            <w:tcW w:w="2940" w:type="dxa"/>
          </w:tcPr>
          <w:p w:rsidR="0023599B" w:rsidRDefault="00F13535" w14:paraId="18AC7A84" w14:textId="77777777">
            <w:pPr>
              <w:rPr>
                <w:rFonts w:ascii="Arial" w:hAnsi="Arial" w:eastAsia="Arial" w:cs="Arial"/>
                <w:color w:val="000000"/>
                <w:sz w:val="24"/>
                <w:szCs w:val="24"/>
              </w:rPr>
            </w:pPr>
            <w:r>
              <w:rPr>
                <w:rFonts w:ascii="Arial" w:hAnsi="Arial" w:eastAsia="Arial" w:cs="Arial"/>
                <w:color w:val="000000"/>
                <w:sz w:val="24"/>
                <w:szCs w:val="24"/>
              </w:rPr>
              <w:t>Occupancy Rate</w:t>
            </w:r>
          </w:p>
        </w:tc>
      </w:tr>
      <w:tr w:rsidR="0023599B" w14:paraId="622809CE" w14:textId="77777777">
        <w:trPr>
          <w:trHeight w:val="300"/>
        </w:trPr>
        <w:tc>
          <w:tcPr>
            <w:tcW w:w="3300" w:type="dxa"/>
          </w:tcPr>
          <w:p w:rsidR="0023599B" w:rsidRDefault="00F13535" w14:paraId="17CA7C07" w14:textId="77777777">
            <w:pPr>
              <w:rPr>
                <w:rFonts w:ascii="Arial" w:hAnsi="Arial" w:eastAsia="Arial" w:cs="Arial"/>
                <w:color w:val="000000"/>
                <w:sz w:val="24"/>
                <w:szCs w:val="24"/>
              </w:rPr>
            </w:pPr>
            <w:r>
              <w:rPr>
                <w:rFonts w:ascii="Arial" w:hAnsi="Arial" w:eastAsia="Arial" w:cs="Arial"/>
                <w:color w:val="000000"/>
                <w:sz w:val="24"/>
                <w:szCs w:val="24"/>
              </w:rPr>
              <w:t>2020: 250</w:t>
            </w:r>
          </w:p>
        </w:tc>
        <w:tc>
          <w:tcPr>
            <w:tcW w:w="2940" w:type="dxa"/>
          </w:tcPr>
          <w:p w:rsidR="0023599B" w:rsidRDefault="00F13535" w14:paraId="54861DD5" w14:textId="77777777">
            <w:pPr>
              <w:rPr>
                <w:rFonts w:ascii="Arial" w:hAnsi="Arial" w:eastAsia="Arial" w:cs="Arial"/>
                <w:color w:val="000000"/>
                <w:sz w:val="24"/>
                <w:szCs w:val="24"/>
              </w:rPr>
            </w:pPr>
            <w:r>
              <w:rPr>
                <w:rFonts w:ascii="Arial" w:hAnsi="Arial" w:eastAsia="Arial" w:cs="Arial"/>
                <w:color w:val="000000"/>
                <w:sz w:val="24"/>
                <w:szCs w:val="24"/>
              </w:rPr>
              <w:t>2020: 70%</w:t>
            </w:r>
          </w:p>
        </w:tc>
      </w:tr>
      <w:tr w:rsidR="0023599B" w14:paraId="674899C0" w14:textId="77777777">
        <w:trPr>
          <w:trHeight w:val="300"/>
        </w:trPr>
        <w:tc>
          <w:tcPr>
            <w:tcW w:w="3300" w:type="dxa"/>
          </w:tcPr>
          <w:p w:rsidR="0023599B" w:rsidRDefault="00F13535" w14:paraId="1E0308FB" w14:textId="77777777">
            <w:pPr>
              <w:rPr>
                <w:rFonts w:ascii="Arial" w:hAnsi="Arial" w:eastAsia="Arial" w:cs="Arial"/>
                <w:color w:val="000000"/>
                <w:sz w:val="24"/>
                <w:szCs w:val="24"/>
              </w:rPr>
            </w:pPr>
            <w:r>
              <w:rPr>
                <w:rFonts w:ascii="Arial" w:hAnsi="Arial" w:eastAsia="Arial" w:cs="Arial"/>
                <w:color w:val="000000"/>
                <w:sz w:val="24"/>
                <w:szCs w:val="24"/>
              </w:rPr>
              <w:t>2021: 230</w:t>
            </w:r>
          </w:p>
        </w:tc>
        <w:tc>
          <w:tcPr>
            <w:tcW w:w="2940" w:type="dxa"/>
          </w:tcPr>
          <w:p w:rsidR="0023599B" w:rsidRDefault="00F13535" w14:paraId="0E7CF69A" w14:textId="77777777">
            <w:pPr>
              <w:rPr>
                <w:rFonts w:ascii="Arial" w:hAnsi="Arial" w:eastAsia="Arial" w:cs="Arial"/>
                <w:color w:val="000000"/>
                <w:sz w:val="24"/>
                <w:szCs w:val="24"/>
              </w:rPr>
            </w:pPr>
            <w:r>
              <w:rPr>
                <w:rFonts w:ascii="Arial" w:hAnsi="Arial" w:eastAsia="Arial" w:cs="Arial"/>
                <w:color w:val="000000"/>
                <w:sz w:val="24"/>
                <w:szCs w:val="24"/>
              </w:rPr>
              <w:t>2021: 65%</w:t>
            </w:r>
          </w:p>
        </w:tc>
      </w:tr>
      <w:tr w:rsidR="0023599B" w14:paraId="43658A4A" w14:textId="77777777">
        <w:trPr>
          <w:trHeight w:val="300"/>
        </w:trPr>
        <w:tc>
          <w:tcPr>
            <w:tcW w:w="3300" w:type="dxa"/>
          </w:tcPr>
          <w:p w:rsidR="0023599B" w:rsidRDefault="00F13535" w14:paraId="3B04E0F7" w14:textId="77777777">
            <w:pPr>
              <w:rPr>
                <w:rFonts w:ascii="Arial" w:hAnsi="Arial" w:eastAsia="Arial" w:cs="Arial"/>
                <w:color w:val="000000"/>
                <w:sz w:val="24"/>
                <w:szCs w:val="24"/>
              </w:rPr>
            </w:pPr>
            <w:r>
              <w:rPr>
                <w:rFonts w:ascii="Arial" w:hAnsi="Arial" w:eastAsia="Arial" w:cs="Arial"/>
                <w:color w:val="000000"/>
                <w:sz w:val="24"/>
                <w:szCs w:val="24"/>
              </w:rPr>
              <w:t>2022: 210</w:t>
            </w:r>
          </w:p>
        </w:tc>
        <w:tc>
          <w:tcPr>
            <w:tcW w:w="2940" w:type="dxa"/>
          </w:tcPr>
          <w:p w:rsidR="0023599B" w:rsidRDefault="00F13535" w14:paraId="757B636D" w14:textId="77777777">
            <w:pPr>
              <w:rPr>
                <w:rFonts w:ascii="Arial" w:hAnsi="Arial" w:eastAsia="Arial" w:cs="Arial"/>
                <w:color w:val="000000"/>
                <w:sz w:val="24"/>
                <w:szCs w:val="24"/>
              </w:rPr>
            </w:pPr>
            <w:r>
              <w:rPr>
                <w:rFonts w:ascii="Arial" w:hAnsi="Arial" w:eastAsia="Arial" w:cs="Arial"/>
                <w:color w:val="000000"/>
                <w:sz w:val="24"/>
                <w:szCs w:val="24"/>
              </w:rPr>
              <w:t>2022: 60%</w:t>
            </w:r>
          </w:p>
        </w:tc>
      </w:tr>
    </w:tbl>
    <w:p w:rsidR="0023599B" w:rsidRDefault="0023599B" w14:paraId="7196D064" w14:textId="77777777">
      <w:pPr>
        <w:spacing w:line="360" w:lineRule="auto"/>
        <w:jc w:val="both"/>
        <w:rPr>
          <w:rFonts w:ascii="Arial" w:hAnsi="Arial" w:eastAsia="Arial" w:cs="Arial"/>
          <w:color w:val="000000"/>
          <w:sz w:val="24"/>
          <w:szCs w:val="24"/>
        </w:rPr>
      </w:pPr>
    </w:p>
    <w:p w:rsidR="0023599B" w:rsidRDefault="00F13535" w14:paraId="3D31226A" w14:textId="77777777">
      <w:pPr>
        <w:spacing w:line="360" w:lineRule="auto"/>
        <w:jc w:val="both"/>
        <w:rPr>
          <w:rFonts w:ascii="Arial" w:hAnsi="Arial" w:eastAsia="Arial" w:cs="Arial"/>
          <w:i/>
          <w:color w:val="000000"/>
          <w:sz w:val="24"/>
          <w:szCs w:val="24"/>
          <w:u w:val="single"/>
        </w:rPr>
      </w:pPr>
      <w:r>
        <w:rPr>
          <w:rFonts w:ascii="Arial" w:hAnsi="Arial" w:eastAsia="Arial" w:cs="Arial"/>
          <w:i/>
          <w:color w:val="000000"/>
          <w:sz w:val="24"/>
          <w:szCs w:val="24"/>
          <w:u w:val="single"/>
        </w:rPr>
        <w:t>Average room rate (ARR) declining</w:t>
      </w:r>
    </w:p>
    <w:p w:rsidR="0023599B" w:rsidRDefault="00F13535" w14:paraId="6F44BB22"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Cause: </w:t>
      </w:r>
      <w:r>
        <w:rPr>
          <w:rFonts w:ascii="Arial" w:hAnsi="Arial" w:eastAsia="Arial" w:cs="Arial"/>
          <w:color w:val="000000"/>
          <w:sz w:val="24"/>
          <w:szCs w:val="24"/>
        </w:rPr>
        <w:t>As can be seen, the reduction from £250 in 2020 to £210 in 2022 indicates that maintaining strategies was difficult.</w:t>
      </w:r>
    </w:p>
    <w:p w:rsidR="0023599B" w:rsidRDefault="00F13535" w14:paraId="17889B3F"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Implications: </w:t>
      </w:r>
      <w:r>
        <w:rPr>
          <w:rFonts w:ascii="Arial" w:hAnsi="Arial" w:eastAsia="Arial" w:cs="Arial"/>
          <w:color w:val="000000"/>
          <w:sz w:val="24"/>
          <w:szCs w:val="24"/>
        </w:rPr>
        <w:t>The decrease in revenues comes from the low percentage of occupied rooms and indicates weak competition on the hotel market or a decrease in demand compared to that of competitors</w:t>
      </w:r>
      <w:r>
        <w:rPr>
          <w:rFonts w:ascii="Arial" w:hAnsi="Arial" w:eastAsia="Arial" w:cs="Arial"/>
          <w:color w:val="222222"/>
          <w:sz w:val="24"/>
          <w:szCs w:val="24"/>
        </w:rPr>
        <w:t xml:space="preserve"> (Noor, Handani &amp; Kim 2023)</w:t>
      </w:r>
      <w:r>
        <w:rPr>
          <w:rFonts w:ascii="Arial" w:hAnsi="Arial" w:eastAsia="Arial" w:cs="Arial"/>
          <w:color w:val="000000"/>
          <w:sz w:val="24"/>
          <w:szCs w:val="24"/>
        </w:rPr>
        <w:t>.</w:t>
      </w:r>
    </w:p>
    <w:p w:rsidR="0023599B" w:rsidRDefault="00F13535" w14:paraId="05904D1F" w14:textId="77777777">
      <w:pPr>
        <w:spacing w:line="360" w:lineRule="auto"/>
        <w:jc w:val="both"/>
        <w:rPr>
          <w:rFonts w:ascii="Arial" w:hAnsi="Arial" w:eastAsia="Arial" w:cs="Arial"/>
          <w:i/>
          <w:sz w:val="24"/>
          <w:szCs w:val="24"/>
          <w:u w:val="single"/>
        </w:rPr>
      </w:pPr>
      <w:r>
        <w:rPr>
          <w:rFonts w:ascii="Arial" w:hAnsi="Arial" w:eastAsia="Arial" w:cs="Arial"/>
          <w:i/>
          <w:sz w:val="24"/>
          <w:szCs w:val="24"/>
          <w:u w:val="single"/>
        </w:rPr>
        <w:t xml:space="preserve">Decrease in demand </w:t>
      </w:r>
    </w:p>
    <w:p w:rsidR="0023599B" w:rsidRDefault="00F13535" w14:paraId="4E628512"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Cause:</w:t>
      </w:r>
      <w:r>
        <w:rPr>
          <w:rFonts w:ascii="Arial" w:hAnsi="Arial" w:eastAsia="Arial" w:cs="Arial"/>
          <w:color w:val="000000"/>
          <w:sz w:val="24"/>
          <w:szCs w:val="24"/>
        </w:rPr>
        <w:t xml:space="preserve"> A low occupancy rate, indicates a sudden and considerable drop in demand or may indicate a probable incorrect approach to attract tourists.</w:t>
      </w:r>
    </w:p>
    <w:p w:rsidR="0023599B" w:rsidRDefault="00F13535" w14:paraId="44DE9414"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Implications</w:t>
      </w:r>
      <w:r>
        <w:rPr>
          <w:rFonts w:ascii="Arial" w:hAnsi="Arial" w:eastAsia="Arial" w:cs="Arial"/>
          <w:color w:val="000000"/>
          <w:sz w:val="24"/>
          <w:szCs w:val="24"/>
        </w:rPr>
        <w:t xml:space="preserve">: A decrease in the degree of occupancy suggests a state of dissatisfaction and unhappiness among guests, directly affecting income, but it can also suggest a change in reorientation of the market towards being in step with the current offers </w:t>
      </w:r>
      <w:r>
        <w:rPr>
          <w:rFonts w:ascii="Arial" w:hAnsi="Arial" w:eastAsia="Arial" w:cs="Arial"/>
          <w:color w:val="222222"/>
          <w:sz w:val="24"/>
          <w:szCs w:val="24"/>
        </w:rPr>
        <w:t>(</w:t>
      </w:r>
      <w:r>
        <w:rPr>
          <w:rFonts w:ascii="Arial" w:hAnsi="Arial" w:eastAsia="Arial" w:cs="Arial"/>
          <w:color w:val="000000"/>
          <w:sz w:val="24"/>
          <w:szCs w:val="24"/>
        </w:rPr>
        <w:t>Hosseinzadeh Shahri, and Nematollahi Sarvestani, 2020).</w:t>
      </w:r>
    </w:p>
    <w:p w:rsidR="0023599B" w:rsidRDefault="00F13535" w14:paraId="7E404C13" w14:textId="77777777">
      <w:pPr>
        <w:spacing w:line="360" w:lineRule="auto"/>
        <w:jc w:val="both"/>
        <w:rPr>
          <w:rFonts w:ascii="Arial" w:hAnsi="Arial" w:eastAsia="Arial" w:cs="Arial"/>
          <w:i/>
          <w:color w:val="000000"/>
          <w:sz w:val="24"/>
          <w:szCs w:val="24"/>
          <w:u w:val="single"/>
        </w:rPr>
      </w:pPr>
      <w:r>
        <w:rPr>
          <w:rFonts w:ascii="Arial" w:hAnsi="Arial" w:eastAsia="Arial" w:cs="Arial"/>
          <w:i/>
          <w:color w:val="000000"/>
          <w:sz w:val="24"/>
          <w:szCs w:val="24"/>
          <w:u w:val="single"/>
        </w:rPr>
        <w:t>Net profit margin</w:t>
      </w:r>
    </w:p>
    <w:p w:rsidR="0023599B" w:rsidRDefault="00F13535" w14:paraId="5CF6B079"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Cause: </w:t>
      </w:r>
      <w:r>
        <w:rPr>
          <w:rFonts w:ascii="Arial" w:hAnsi="Arial" w:eastAsia="Arial" w:cs="Arial"/>
          <w:color w:val="000000"/>
          <w:sz w:val="24"/>
          <w:szCs w:val="24"/>
        </w:rPr>
        <w:t>Observing the decrease in profit margin, from 15% (2020) to -11% (2022), indicates that operational inefficiencies can contribute to the financial failure of the business.</w:t>
      </w:r>
    </w:p>
    <w:p w:rsidR="0023599B" w:rsidRDefault="00F13535" w14:paraId="6AC38912"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Implications</w:t>
      </w:r>
      <w:r>
        <w:rPr>
          <w:rFonts w:ascii="Arial" w:hAnsi="Arial" w:eastAsia="Arial" w:cs="Arial"/>
          <w:color w:val="000000"/>
          <w:sz w:val="24"/>
          <w:szCs w:val="24"/>
        </w:rPr>
        <w:t>: The decrease in the profit margin indicates that on the financial side, the company has losses, these losses arising from the increase in expenses or low incomes, the costs not having a proportional reduction</w:t>
      </w:r>
    </w:p>
    <w:p w:rsidR="0023599B" w:rsidRDefault="00F13535" w14:paraId="7B18771D" w14:textId="77777777">
      <w:pPr>
        <w:spacing w:after="0" w:line="360" w:lineRule="auto"/>
        <w:jc w:val="both"/>
        <w:rPr>
          <w:rFonts w:ascii="Arial" w:hAnsi="Arial" w:eastAsia="Arial" w:cs="Arial"/>
          <w:i/>
          <w:color w:val="000000"/>
          <w:sz w:val="24"/>
          <w:szCs w:val="24"/>
          <w:u w:val="single"/>
        </w:rPr>
      </w:pPr>
      <w:r>
        <w:rPr>
          <w:rFonts w:ascii="Arial" w:hAnsi="Arial" w:eastAsia="Arial" w:cs="Arial"/>
          <w:i/>
          <w:color w:val="000000"/>
          <w:sz w:val="24"/>
          <w:szCs w:val="24"/>
          <w:u w:val="single"/>
        </w:rPr>
        <w:t>Expenses too high</w:t>
      </w:r>
    </w:p>
    <w:p w:rsidR="0023599B" w:rsidRDefault="00F13535" w14:paraId="22CE70E1" w14:textId="77777777">
      <w:pPr>
        <w:spacing w:after="0"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Cause: </w:t>
      </w:r>
      <w:r>
        <w:rPr>
          <w:rFonts w:ascii="Arial" w:hAnsi="Arial" w:eastAsia="Arial" w:cs="Arial"/>
          <w:color w:val="000000"/>
          <w:sz w:val="24"/>
          <w:szCs w:val="24"/>
        </w:rPr>
        <w:t>Operational expenses increased above the limit suggest an organizational inefficiency and costs such as maintenance are not analyzed and managed in an adequate way.</w:t>
      </w:r>
    </w:p>
    <w:p w:rsidR="0023599B" w:rsidRDefault="00F13535" w14:paraId="10A0529C" w14:textId="77777777">
      <w:pPr>
        <w:spacing w:after="0" w:line="360" w:lineRule="auto"/>
        <w:jc w:val="both"/>
        <w:rPr>
          <w:rFonts w:ascii="Arial" w:hAnsi="Arial" w:eastAsia="Arial" w:cs="Arial"/>
          <w:i/>
          <w:color w:val="000000"/>
          <w:sz w:val="24"/>
          <w:szCs w:val="24"/>
          <w:u w:val="single"/>
        </w:rPr>
      </w:pPr>
      <w:r>
        <w:rPr>
          <w:rFonts w:ascii="Arial" w:hAnsi="Arial" w:eastAsia="Arial" w:cs="Arial"/>
          <w:b/>
          <w:color w:val="000000"/>
          <w:sz w:val="24"/>
          <w:szCs w:val="24"/>
        </w:rPr>
        <w:t>Implications</w:t>
      </w:r>
      <w:r>
        <w:rPr>
          <w:rFonts w:ascii="Arial" w:hAnsi="Arial" w:eastAsia="Arial" w:cs="Arial"/>
          <w:color w:val="000000"/>
          <w:sz w:val="24"/>
          <w:szCs w:val="24"/>
        </w:rPr>
        <w:t>: A negative impact on an organization is generated by several factors such as operational redundancies or unnecessarily increased staff</w:t>
      </w:r>
      <w:r>
        <w:rPr>
          <w:rFonts w:ascii="Arial" w:hAnsi="Arial" w:eastAsia="Arial" w:cs="Arial"/>
          <w:i/>
          <w:color w:val="000000"/>
          <w:sz w:val="24"/>
          <w:szCs w:val="24"/>
          <w:u w:val="single"/>
        </w:rPr>
        <w:t xml:space="preserve"> </w:t>
      </w:r>
    </w:p>
    <w:p w:rsidR="0023599B" w:rsidRDefault="0023599B" w14:paraId="34FF1C98" w14:textId="77777777">
      <w:pPr>
        <w:spacing w:after="0" w:line="360" w:lineRule="auto"/>
        <w:jc w:val="both"/>
        <w:rPr>
          <w:rFonts w:ascii="Arial" w:hAnsi="Arial" w:eastAsia="Arial" w:cs="Arial"/>
          <w:i/>
          <w:color w:val="000000"/>
          <w:sz w:val="24"/>
          <w:szCs w:val="24"/>
          <w:u w:val="single"/>
        </w:rPr>
      </w:pPr>
    </w:p>
    <w:p w:rsidR="0023599B" w:rsidRDefault="00F13535" w14:paraId="4A5C2C14" w14:textId="77777777">
      <w:pPr>
        <w:spacing w:after="0" w:line="360" w:lineRule="auto"/>
        <w:jc w:val="both"/>
        <w:rPr>
          <w:rFonts w:ascii="Arial" w:hAnsi="Arial" w:eastAsia="Arial" w:cs="Arial"/>
          <w:color w:val="000000"/>
          <w:sz w:val="24"/>
          <w:szCs w:val="24"/>
        </w:rPr>
      </w:pPr>
      <w:r>
        <w:rPr>
          <w:rFonts w:ascii="Arial" w:hAnsi="Arial" w:eastAsia="Arial" w:cs="Arial"/>
          <w:i/>
          <w:color w:val="000000"/>
          <w:sz w:val="24"/>
          <w:szCs w:val="24"/>
          <w:u w:val="single"/>
        </w:rPr>
        <w:t xml:space="preserve">Poor Service </w:t>
      </w:r>
    </w:p>
    <w:p w:rsidR="0023599B" w:rsidRDefault="00F13535" w14:paraId="5A47A06A"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Cause: </w:t>
      </w:r>
      <w:r>
        <w:rPr>
          <w:rFonts w:ascii="Arial" w:hAnsi="Arial" w:eastAsia="Arial" w:cs="Arial"/>
          <w:color w:val="000000"/>
          <w:sz w:val="24"/>
          <w:szCs w:val="24"/>
        </w:rPr>
        <w:t>Negative feedbacks attract a decrease in demand. The low quality of the services offered emerges from these feedbacks.</w:t>
      </w:r>
      <w:r>
        <w:rPr>
          <w:rFonts w:ascii="Arial" w:hAnsi="Arial" w:eastAsia="Arial" w:cs="Arial"/>
          <w:b/>
          <w:color w:val="000000"/>
          <w:sz w:val="24"/>
          <w:szCs w:val="24"/>
        </w:rPr>
        <w:t xml:space="preserve"> </w:t>
      </w:r>
    </w:p>
    <w:p w:rsidR="0023599B" w:rsidRDefault="00F13535" w14:paraId="786917BD"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Implications</w:t>
      </w:r>
      <w:r>
        <w:rPr>
          <w:rFonts w:ascii="Arial" w:hAnsi="Arial" w:eastAsia="Arial" w:cs="Arial"/>
          <w:color w:val="000000"/>
          <w:sz w:val="24"/>
          <w:szCs w:val="24"/>
        </w:rPr>
        <w:t>: Retraining the staff to provide quality services thus obtaining an increase in occupancy rate.</w:t>
      </w:r>
    </w:p>
    <w:p w:rsidR="0023599B" w:rsidRDefault="0023599B" w14:paraId="6D072C0D" w14:textId="77777777">
      <w:pPr>
        <w:spacing w:line="360" w:lineRule="auto"/>
        <w:jc w:val="both"/>
        <w:rPr>
          <w:rFonts w:ascii="Arial" w:hAnsi="Arial" w:eastAsia="Arial" w:cs="Arial"/>
          <w:color w:val="000000"/>
          <w:sz w:val="24"/>
          <w:szCs w:val="24"/>
        </w:rPr>
      </w:pPr>
    </w:p>
    <w:p w:rsidR="0023599B" w:rsidRDefault="00F13535" w14:paraId="31F20239" w14:textId="77777777">
      <w:pPr>
        <w:pStyle w:val="Titlu1"/>
        <w:spacing w:before="40" w:line="360" w:lineRule="auto"/>
        <w:jc w:val="both"/>
      </w:pPr>
      <w:r>
        <w:t>SWOT Analysis for The Seaview Resort</w:t>
      </w:r>
    </w:p>
    <w:p w:rsidR="0023599B" w:rsidRDefault="0023599B" w14:paraId="48A21919" w14:textId="77777777">
      <w:pPr>
        <w:spacing w:line="360" w:lineRule="auto"/>
        <w:jc w:val="both"/>
        <w:rPr>
          <w:rFonts w:ascii="Arial" w:hAnsi="Arial" w:eastAsia="Arial" w:cs="Arial"/>
          <w:sz w:val="24"/>
          <w:szCs w:val="24"/>
        </w:rPr>
      </w:pPr>
    </w:p>
    <w:p w:rsidR="0023599B" w:rsidRDefault="00F13535" w14:paraId="4B0C864E" w14:textId="77777777">
      <w:pPr>
        <w:spacing w:after="0" w:line="360" w:lineRule="auto"/>
        <w:jc w:val="both"/>
        <w:rPr>
          <w:rFonts w:ascii="Arial" w:hAnsi="Arial" w:eastAsia="Arial" w:cs="Arial"/>
          <w:color w:val="000000"/>
          <w:sz w:val="24"/>
          <w:szCs w:val="24"/>
        </w:rPr>
      </w:pPr>
      <w:r>
        <w:rPr>
          <w:rFonts w:ascii="Arial" w:hAnsi="Arial" w:eastAsia="Arial" w:cs="Arial"/>
          <w:color w:val="000000"/>
          <w:sz w:val="24"/>
          <w:szCs w:val="24"/>
        </w:rPr>
        <w:t>The SWOT analysis helps to have an overall view of the business structure and the mode of operation. Developing strategies, understanding weaknesses, advantages and disadvantages are integrated in this analysis and The Seaview Resort can find a recovery plan. (Setiawan, and Rosa, 2023).</w:t>
      </w:r>
    </w:p>
    <w:p w:rsidR="0023599B" w:rsidRDefault="00F13535" w14:paraId="6BD18F9B" w14:textId="77777777">
      <w:pPr>
        <w:keepNext/>
        <w:keepLines/>
        <w:pBdr>
          <w:top w:val="nil"/>
          <w:left w:val="nil"/>
          <w:bottom w:val="nil"/>
          <w:right w:val="nil"/>
          <w:between w:val="nil"/>
        </w:pBdr>
        <w:spacing w:before="40" w:after="0" w:line="360" w:lineRule="auto"/>
        <w:jc w:val="both"/>
        <w:rPr>
          <w:rFonts w:ascii="Arial" w:hAnsi="Arial" w:eastAsia="Arial" w:cs="Arial"/>
          <w:i/>
          <w:color w:val="1F3763"/>
          <w:sz w:val="24"/>
          <w:szCs w:val="24"/>
        </w:rPr>
      </w:pPr>
      <w:r>
        <w:rPr>
          <w:i/>
          <w:noProof/>
          <w:color w:val="1F3763"/>
        </w:rPr>
        <w:drawing>
          <wp:inline distT="0" distB="0" distL="114300" distR="114300" wp14:anchorId="19C68147" wp14:editId="07777777">
            <wp:extent cx="5657850" cy="5057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657850" cy="5057775"/>
                    </a:xfrm>
                    <a:prstGeom prst="rect">
                      <a:avLst/>
                    </a:prstGeom>
                    <a:ln/>
                  </pic:spPr>
                </pic:pic>
              </a:graphicData>
            </a:graphic>
          </wp:inline>
        </w:drawing>
      </w:r>
      <w:r>
        <w:rPr>
          <w:i/>
          <w:color w:val="1F3763"/>
        </w:rPr>
        <w:br/>
      </w:r>
    </w:p>
    <w:p w:rsidR="0023599B" w:rsidRDefault="0023599B" w14:paraId="238601FE" w14:textId="77777777">
      <w:pPr>
        <w:keepNext/>
        <w:keepLines/>
        <w:pBdr>
          <w:top w:val="nil"/>
          <w:left w:val="nil"/>
          <w:bottom w:val="nil"/>
          <w:right w:val="nil"/>
          <w:between w:val="nil"/>
        </w:pBdr>
        <w:spacing w:before="40" w:after="0" w:line="360" w:lineRule="auto"/>
        <w:jc w:val="both"/>
        <w:rPr>
          <w:rFonts w:ascii="Arial" w:hAnsi="Arial" w:eastAsia="Arial" w:cs="Arial"/>
          <w:color w:val="1F3763"/>
          <w:sz w:val="24"/>
          <w:szCs w:val="24"/>
        </w:rPr>
      </w:pPr>
    </w:p>
    <w:p w:rsidR="0023599B" w:rsidRDefault="0023599B" w14:paraId="0F3CABC7" w14:textId="77777777">
      <w:pPr>
        <w:spacing w:line="360" w:lineRule="auto"/>
        <w:jc w:val="both"/>
        <w:rPr>
          <w:rFonts w:ascii="Arial" w:hAnsi="Arial" w:eastAsia="Arial" w:cs="Arial"/>
          <w:sz w:val="24"/>
          <w:szCs w:val="24"/>
        </w:rPr>
      </w:pPr>
    </w:p>
    <w:p w:rsidR="0023599B" w:rsidRDefault="0023599B" w14:paraId="5B08B5D1" w14:textId="77777777">
      <w:pPr>
        <w:spacing w:line="360" w:lineRule="auto"/>
        <w:jc w:val="both"/>
        <w:rPr>
          <w:rFonts w:ascii="Arial" w:hAnsi="Arial" w:eastAsia="Arial" w:cs="Arial"/>
          <w:sz w:val="24"/>
          <w:szCs w:val="24"/>
        </w:rPr>
      </w:pPr>
    </w:p>
    <w:p w:rsidR="0023599B" w:rsidRDefault="0023599B" w14:paraId="16DEB4AB" w14:textId="77777777">
      <w:pPr>
        <w:spacing w:line="360" w:lineRule="auto"/>
        <w:jc w:val="both"/>
        <w:rPr>
          <w:rFonts w:ascii="Arial" w:hAnsi="Arial" w:eastAsia="Arial" w:cs="Arial"/>
          <w:sz w:val="24"/>
          <w:szCs w:val="24"/>
        </w:rPr>
      </w:pPr>
    </w:p>
    <w:p w:rsidR="0023599B" w:rsidRDefault="00F13535" w14:paraId="7E4C3D04" w14:textId="77777777">
      <w:pPr>
        <w:pStyle w:val="Titlu1"/>
        <w:spacing w:line="360" w:lineRule="auto"/>
        <w:jc w:val="both"/>
      </w:pPr>
      <w:r>
        <w:t>Market Analysis</w:t>
      </w:r>
    </w:p>
    <w:p w:rsidR="0023599B" w:rsidRDefault="00F13535" w14:paraId="29D6B04F" w14:textId="77777777">
      <w:pPr>
        <w:keepNext/>
        <w:keepLines/>
        <w:pBdr>
          <w:top w:val="nil"/>
          <w:left w:val="nil"/>
          <w:bottom w:val="nil"/>
          <w:right w:val="nil"/>
          <w:between w:val="nil"/>
        </w:pBdr>
        <w:spacing w:before="40" w:after="0" w:line="360" w:lineRule="auto"/>
        <w:jc w:val="both"/>
        <w:rPr>
          <w:rFonts w:ascii="Arial" w:hAnsi="Arial" w:eastAsia="Arial" w:cs="Arial"/>
          <w:color w:val="272727"/>
          <w:sz w:val="24"/>
          <w:szCs w:val="24"/>
        </w:rPr>
      </w:pPr>
      <w:r>
        <w:rPr>
          <w:rFonts w:ascii="Arial" w:hAnsi="Arial" w:eastAsia="Arial" w:cs="Arial"/>
          <w:color w:val="272727"/>
          <w:sz w:val="24"/>
          <w:szCs w:val="24"/>
        </w:rPr>
        <w:t xml:space="preserve"> </w:t>
      </w:r>
      <w:r>
        <w:rPr>
          <w:noProof/>
          <w:color w:val="272727"/>
          <w:sz w:val="21"/>
          <w:szCs w:val="21"/>
        </w:rPr>
        <w:drawing>
          <wp:inline distT="0" distB="0" distL="114300" distR="114300" wp14:anchorId="515D8C5E" wp14:editId="07777777">
            <wp:extent cx="5724524" cy="3457575"/>
            <wp:effectExtent l="0" t="0" r="0" b="0"/>
            <wp:docPr id="2" name="image2.png" descr="Hotel industry market size UK 2022 | Statista"/>
            <wp:cNvGraphicFramePr/>
            <a:graphic xmlns:a="http://schemas.openxmlformats.org/drawingml/2006/main">
              <a:graphicData uri="http://schemas.openxmlformats.org/drawingml/2006/picture">
                <pic:pic xmlns:pic="http://schemas.openxmlformats.org/drawingml/2006/picture">
                  <pic:nvPicPr>
                    <pic:cNvPr id="0" name="image2.png" descr="Hotel industry market size UK 2022 | Statista"/>
                    <pic:cNvPicPr preferRelativeResize="0"/>
                  </pic:nvPicPr>
                  <pic:blipFill>
                    <a:blip r:embed="rId8"/>
                    <a:srcRect/>
                    <a:stretch>
                      <a:fillRect/>
                    </a:stretch>
                  </pic:blipFill>
                  <pic:spPr>
                    <a:xfrm>
                      <a:off x="0" y="0"/>
                      <a:ext cx="5724524" cy="3457575"/>
                    </a:xfrm>
                    <a:prstGeom prst="rect">
                      <a:avLst/>
                    </a:prstGeom>
                    <a:ln/>
                  </pic:spPr>
                </pic:pic>
              </a:graphicData>
            </a:graphic>
          </wp:inline>
        </w:drawing>
      </w:r>
    </w:p>
    <w:p w:rsidR="0023599B" w:rsidRDefault="00F13535" w14:paraId="0098DD2C" w14:textId="77777777">
      <w:pPr>
        <w:spacing w:line="360" w:lineRule="auto"/>
        <w:ind w:left="1416" w:firstLine="707"/>
        <w:jc w:val="both"/>
        <w:rPr>
          <w:rFonts w:ascii="Arial" w:hAnsi="Arial" w:eastAsia="Arial" w:cs="Arial"/>
          <w:color w:val="000000"/>
          <w:sz w:val="24"/>
          <w:szCs w:val="24"/>
        </w:rPr>
      </w:pPr>
      <w:r>
        <w:rPr>
          <w:rFonts w:ascii="Arial" w:hAnsi="Arial" w:eastAsia="Arial" w:cs="Arial"/>
          <w:color w:val="000000"/>
          <w:sz w:val="24"/>
          <w:szCs w:val="24"/>
        </w:rPr>
        <w:t xml:space="preserve">Market trends of the hospitality sector in the UK </w:t>
      </w:r>
    </w:p>
    <w:p w:rsidR="0023599B" w:rsidRDefault="00F13535" w14:paraId="6473D4E5" w14:textId="77777777">
      <w:pPr>
        <w:spacing w:line="360" w:lineRule="auto"/>
        <w:ind w:left="2832" w:firstLine="708"/>
        <w:jc w:val="both"/>
        <w:rPr>
          <w:rFonts w:ascii="Arial" w:hAnsi="Arial" w:eastAsia="Arial" w:cs="Arial"/>
          <w:color w:val="000000"/>
          <w:sz w:val="24"/>
          <w:szCs w:val="24"/>
        </w:rPr>
      </w:pPr>
      <w:r>
        <w:rPr>
          <w:rFonts w:ascii="Arial" w:hAnsi="Arial" w:eastAsia="Arial" w:cs="Arial"/>
          <w:sz w:val="24"/>
          <w:szCs w:val="24"/>
        </w:rPr>
        <w:t>(statista, 2023)</w:t>
      </w:r>
    </w:p>
    <w:p w:rsidR="0023599B" w:rsidRDefault="00F13535" w14:paraId="64291FE5" w14:textId="77777777">
      <w:pPr>
        <w:spacing w:line="360" w:lineRule="auto"/>
        <w:jc w:val="both"/>
        <w:rPr>
          <w:rFonts w:ascii="Arial" w:hAnsi="Arial" w:eastAsia="Arial" w:cs="Arial"/>
          <w:sz w:val="24"/>
          <w:szCs w:val="24"/>
        </w:rPr>
      </w:pPr>
      <w:r>
        <w:rPr>
          <w:rFonts w:ascii="Arial" w:hAnsi="Arial" w:eastAsia="Arial" w:cs="Arial"/>
          <w:color w:val="000000"/>
          <w:sz w:val="24"/>
          <w:szCs w:val="24"/>
        </w:rPr>
        <w:t>In 2022, the hospitality business in United Kingdom was diverse, ranging from well-known national cheap brands to elegant 5-star and luxury establishments. The monthly hotel occupancy rate in the United Kingdom grew dramatically to 81% in September 2022. Looking at the statistics, the decreases occurred as a result of the Covid-19 pandemic, which had a strong impact on all business structures, including hotel and tourism, the latter being severely affected</w:t>
      </w:r>
      <w:r>
        <w:rPr>
          <w:rFonts w:ascii="Arial" w:hAnsi="Arial" w:eastAsia="Arial" w:cs="Arial"/>
          <w:sz w:val="24"/>
          <w:szCs w:val="24"/>
        </w:rPr>
        <w:t xml:space="preserve"> (statista, 2023).</w:t>
      </w:r>
    </w:p>
    <w:p w:rsidR="0023599B" w:rsidRDefault="0023599B" w14:paraId="0AD9C6F4" w14:textId="77777777">
      <w:pPr>
        <w:keepNext/>
        <w:keepLines/>
        <w:pBdr>
          <w:top w:val="nil"/>
          <w:left w:val="nil"/>
          <w:bottom w:val="nil"/>
          <w:right w:val="nil"/>
          <w:between w:val="nil"/>
        </w:pBdr>
        <w:spacing w:before="40" w:after="0" w:line="360" w:lineRule="auto"/>
        <w:jc w:val="both"/>
        <w:rPr>
          <w:rFonts w:ascii="Arial" w:hAnsi="Arial" w:eastAsia="Arial" w:cs="Arial"/>
          <w:i/>
          <w:color w:val="2F5496"/>
          <w:sz w:val="24"/>
          <w:szCs w:val="24"/>
        </w:rPr>
      </w:pPr>
    </w:p>
    <w:p w:rsidR="0023599B" w:rsidRDefault="0023599B" w14:paraId="4B1F511A" w14:textId="77777777">
      <w:pPr>
        <w:keepNext/>
        <w:keepLines/>
        <w:pBdr>
          <w:top w:val="nil"/>
          <w:left w:val="nil"/>
          <w:bottom w:val="nil"/>
          <w:right w:val="nil"/>
          <w:between w:val="nil"/>
        </w:pBdr>
        <w:spacing w:before="40" w:after="0" w:line="360" w:lineRule="auto"/>
        <w:jc w:val="both"/>
        <w:rPr>
          <w:rFonts w:ascii="Arial" w:hAnsi="Arial" w:eastAsia="Arial" w:cs="Arial"/>
          <w:i/>
          <w:color w:val="2F5496"/>
          <w:sz w:val="24"/>
          <w:szCs w:val="24"/>
        </w:rPr>
      </w:pPr>
    </w:p>
    <w:p w:rsidR="0023599B" w:rsidRDefault="0023599B" w14:paraId="65F9C3DC" w14:textId="77777777"/>
    <w:p w:rsidR="0023599B" w:rsidRDefault="0023599B" w14:paraId="5023141B" w14:textId="77777777"/>
    <w:p w:rsidR="0023599B" w:rsidRDefault="0023599B" w14:paraId="1F3B1409" w14:textId="77777777">
      <w:pPr>
        <w:spacing w:line="360" w:lineRule="auto"/>
        <w:jc w:val="both"/>
        <w:rPr>
          <w:rFonts w:ascii="Arial" w:hAnsi="Arial" w:eastAsia="Arial" w:cs="Arial"/>
          <w:color w:val="2F5496"/>
          <w:sz w:val="24"/>
          <w:szCs w:val="24"/>
        </w:rPr>
      </w:pPr>
    </w:p>
    <w:p w:rsidR="0023599B" w:rsidRDefault="00F13535" w14:paraId="4691BB5D" w14:textId="77777777">
      <w:pPr>
        <w:pStyle w:val="Titlu1"/>
        <w:spacing w:line="360" w:lineRule="auto"/>
        <w:jc w:val="both"/>
      </w:pPr>
      <w:r>
        <w:t xml:space="preserve">Turnaround strategy </w:t>
      </w:r>
    </w:p>
    <w:p w:rsidR="0023599B" w:rsidRDefault="0023599B" w14:paraId="562C75D1" w14:textId="77777777">
      <w:pPr>
        <w:spacing w:line="360" w:lineRule="auto"/>
        <w:jc w:val="both"/>
        <w:rPr>
          <w:rFonts w:ascii="Arial" w:hAnsi="Arial" w:eastAsia="Arial" w:cs="Arial"/>
          <w:sz w:val="24"/>
          <w:szCs w:val="24"/>
        </w:rPr>
      </w:pPr>
    </w:p>
    <w:p w:rsidR="0023599B" w:rsidRDefault="0023599B" w14:paraId="664355AD" w14:textId="77777777">
      <w:pPr>
        <w:spacing w:after="0" w:line="360" w:lineRule="auto"/>
        <w:jc w:val="both"/>
        <w:rPr>
          <w:rFonts w:ascii="Arial" w:hAnsi="Arial" w:eastAsia="Arial" w:cs="Arial"/>
          <w:sz w:val="24"/>
          <w:szCs w:val="24"/>
        </w:rPr>
      </w:pPr>
    </w:p>
    <w:p w:rsidR="0023599B" w:rsidRDefault="00F13535" w14:paraId="78E61F5B" w14:textId="77777777">
      <w:r>
        <w:t xml:space="preserve">To bring it back to the top of luxury hotels, once again becoming a tourist attraction, a turnaround strategy is needed: </w:t>
      </w:r>
    </w:p>
    <w:p w:rsidR="0023599B" w:rsidRDefault="00F13535" w14:paraId="3DAEF015" w14:textId="77777777">
      <w:pPr>
        <w:numPr>
          <w:ilvl w:val="0"/>
          <w:numId w:val="1"/>
        </w:numPr>
        <w:spacing w:line="360" w:lineRule="auto"/>
        <w:jc w:val="both"/>
      </w:pPr>
      <w:r>
        <w:rPr>
          <w:i/>
        </w:rPr>
        <w:t>Improving the facilities:</w:t>
      </w:r>
      <w:r>
        <w:t xml:space="preserve"> suggesting the development of an eco-friendly system to be in trend with the visitors' requirements (Stergenakis, 2023).</w:t>
      </w:r>
    </w:p>
    <w:p w:rsidR="0023599B" w:rsidRDefault="00F13535" w14:paraId="6BA3BD4E" w14:textId="77777777">
      <w:pPr>
        <w:numPr>
          <w:ilvl w:val="0"/>
          <w:numId w:val="1"/>
        </w:numPr>
        <w:spacing w:line="360" w:lineRule="auto"/>
        <w:jc w:val="both"/>
      </w:pPr>
      <w:r>
        <w:rPr>
          <w:i/>
        </w:rPr>
        <w:t>Improving the Service Quality</w:t>
      </w:r>
      <w:r>
        <w:t>: personal training to improve customer service, improving response times to handle customer issues quickly, and providing individualized experiences are all potential techniques for increasing customer satisfaction.</w:t>
      </w:r>
    </w:p>
    <w:p w:rsidR="0023599B" w:rsidRDefault="00F13535" w14:paraId="7F87A960" w14:textId="77777777">
      <w:pPr>
        <w:numPr>
          <w:ilvl w:val="0"/>
          <w:numId w:val="1"/>
        </w:numPr>
        <w:spacing w:line="360" w:lineRule="auto"/>
        <w:jc w:val="both"/>
        <w:rPr>
          <w:color w:val="000000"/>
        </w:rPr>
      </w:pPr>
      <w:r>
        <w:rPr>
          <w:i/>
          <w:color w:val="000000"/>
        </w:rPr>
        <w:t>Rebranding</w:t>
      </w:r>
      <w:r>
        <w:rPr>
          <w:color w:val="000000"/>
        </w:rPr>
        <w:t>: To effectively recruit and engage a new generation of clients, The Seaview Resort should consider implementing a rebranding campaign</w:t>
      </w:r>
      <w:r>
        <w:rPr>
          <w:color w:val="222222"/>
        </w:rPr>
        <w:t xml:space="preserve"> (</w:t>
      </w:r>
      <w:r>
        <w:rPr>
          <w:color w:val="000000"/>
        </w:rPr>
        <w:t>Thomas, 2023).</w:t>
      </w:r>
    </w:p>
    <w:p w:rsidR="0023599B" w:rsidRDefault="00F13535" w14:paraId="7D5F468A" w14:textId="77777777">
      <w:pPr>
        <w:numPr>
          <w:ilvl w:val="0"/>
          <w:numId w:val="1"/>
        </w:numPr>
        <w:pBdr>
          <w:top w:val="nil"/>
          <w:left w:val="nil"/>
          <w:bottom w:val="nil"/>
          <w:right w:val="nil"/>
          <w:between w:val="nil"/>
        </w:pBdr>
        <w:spacing w:after="0" w:line="360" w:lineRule="auto"/>
        <w:jc w:val="both"/>
        <w:rPr>
          <w:color w:val="000000"/>
          <w:sz w:val="24"/>
          <w:szCs w:val="24"/>
        </w:rPr>
      </w:pPr>
      <w:r>
        <w:rPr>
          <w:rFonts w:ascii="Arial" w:hAnsi="Arial" w:eastAsia="Arial" w:cs="Arial"/>
          <w:i/>
          <w:color w:val="000000"/>
          <w:sz w:val="24"/>
          <w:szCs w:val="24"/>
        </w:rPr>
        <w:t>Strategic Partnerships</w:t>
      </w:r>
      <w:r>
        <w:rPr>
          <w:rFonts w:ascii="Arial" w:hAnsi="Arial" w:eastAsia="Arial" w:cs="Arial"/>
          <w:color w:val="000000"/>
          <w:sz w:val="24"/>
          <w:szCs w:val="24"/>
        </w:rPr>
        <w:t>: One possible method is to form a partnership with a nearby eco-tourism company to provide guided hiking activities.</w:t>
      </w:r>
    </w:p>
    <w:p w:rsidR="0023599B" w:rsidRDefault="00F13535" w14:paraId="40C5FC1F" w14:textId="77777777">
      <w:pPr>
        <w:numPr>
          <w:ilvl w:val="0"/>
          <w:numId w:val="1"/>
        </w:numPr>
        <w:pBdr>
          <w:top w:val="nil"/>
          <w:left w:val="nil"/>
          <w:bottom w:val="nil"/>
          <w:right w:val="nil"/>
          <w:between w:val="nil"/>
        </w:pBdr>
        <w:spacing w:line="360" w:lineRule="auto"/>
        <w:jc w:val="both"/>
        <w:rPr>
          <w:color w:val="000000"/>
          <w:sz w:val="24"/>
          <w:szCs w:val="24"/>
        </w:rPr>
      </w:pPr>
      <w:r>
        <w:rPr>
          <w:rFonts w:ascii="Arial" w:hAnsi="Arial" w:eastAsia="Arial" w:cs="Arial"/>
          <w:i/>
          <w:color w:val="000000"/>
          <w:sz w:val="24"/>
          <w:szCs w:val="24"/>
        </w:rPr>
        <w:t>Price plan</w:t>
      </w:r>
      <w:r>
        <w:rPr>
          <w:rFonts w:ascii="Arial" w:hAnsi="Arial" w:eastAsia="Arial" w:cs="Arial"/>
          <w:color w:val="000000"/>
          <w:sz w:val="24"/>
          <w:szCs w:val="24"/>
        </w:rPr>
        <w:t>: Offering discounts or a slight decrease in room prices during the period when demand is low and offering promotional or varied packages (Jaya, and Suastini, 2023).</w:t>
      </w:r>
    </w:p>
    <w:p w:rsidR="0023599B" w:rsidRDefault="0023599B" w14:paraId="1A965116" w14:textId="77777777">
      <w:pPr>
        <w:spacing w:line="360" w:lineRule="auto"/>
        <w:jc w:val="both"/>
        <w:rPr>
          <w:rFonts w:ascii="Arial" w:hAnsi="Arial" w:eastAsia="Arial" w:cs="Arial"/>
          <w:sz w:val="24"/>
          <w:szCs w:val="24"/>
        </w:rPr>
      </w:pPr>
    </w:p>
    <w:p w:rsidR="0023599B" w:rsidRDefault="0023599B" w14:paraId="7DF4E37C" w14:textId="77777777">
      <w:pPr>
        <w:spacing w:line="360" w:lineRule="auto"/>
        <w:jc w:val="both"/>
        <w:rPr>
          <w:rFonts w:ascii="Arial" w:hAnsi="Arial" w:eastAsia="Arial" w:cs="Arial"/>
          <w:sz w:val="24"/>
          <w:szCs w:val="24"/>
        </w:rPr>
      </w:pPr>
    </w:p>
    <w:p w:rsidR="0023599B" w:rsidRDefault="0023599B" w14:paraId="44FB30F8" w14:textId="77777777">
      <w:pPr>
        <w:spacing w:line="360" w:lineRule="auto"/>
        <w:jc w:val="both"/>
        <w:rPr>
          <w:rFonts w:ascii="Arial" w:hAnsi="Arial" w:eastAsia="Arial" w:cs="Arial"/>
          <w:i/>
          <w:color w:val="000000"/>
          <w:sz w:val="24"/>
          <w:szCs w:val="24"/>
          <w:u w:val="single"/>
        </w:rPr>
      </w:pPr>
    </w:p>
    <w:p w:rsidR="0023599B" w:rsidRDefault="0023599B" w14:paraId="1DA6542E" w14:textId="77777777">
      <w:pPr>
        <w:pStyle w:val="Titlu1"/>
        <w:spacing w:line="360" w:lineRule="auto"/>
        <w:jc w:val="both"/>
        <w:rPr>
          <w:rFonts w:ascii="Arial" w:hAnsi="Arial" w:eastAsia="Arial" w:cs="Arial"/>
          <w:sz w:val="24"/>
          <w:szCs w:val="24"/>
        </w:rPr>
      </w:pPr>
    </w:p>
    <w:p w:rsidR="0023599B" w:rsidRDefault="0023599B" w14:paraId="3041E394" w14:textId="77777777">
      <w:pPr>
        <w:pStyle w:val="Titlu1"/>
        <w:spacing w:line="360" w:lineRule="auto"/>
        <w:jc w:val="both"/>
        <w:rPr>
          <w:rFonts w:ascii="Arial" w:hAnsi="Arial" w:eastAsia="Arial" w:cs="Arial"/>
          <w:sz w:val="24"/>
          <w:szCs w:val="24"/>
        </w:rPr>
      </w:pPr>
    </w:p>
    <w:p w:rsidR="0023599B" w:rsidRDefault="0023599B" w14:paraId="722B00AE" w14:textId="77777777">
      <w:pPr>
        <w:pStyle w:val="Titlu1"/>
        <w:spacing w:line="360" w:lineRule="auto"/>
        <w:jc w:val="both"/>
        <w:rPr>
          <w:rFonts w:ascii="Arial" w:hAnsi="Arial" w:eastAsia="Arial" w:cs="Arial"/>
          <w:sz w:val="24"/>
          <w:szCs w:val="24"/>
        </w:rPr>
      </w:pPr>
    </w:p>
    <w:p w:rsidR="0023599B" w:rsidRDefault="0023599B" w14:paraId="42C6D796" w14:textId="77777777"/>
    <w:p w:rsidR="0023599B" w:rsidRDefault="00F13535" w14:paraId="2A8806BE" w14:textId="77777777">
      <w:pPr>
        <w:pStyle w:val="Titlu1"/>
      </w:pPr>
      <w:r>
        <w:t>Financial Projections</w:t>
      </w:r>
    </w:p>
    <w:p w:rsidR="0023599B" w:rsidRDefault="0023599B" w14:paraId="6E1831B3" w14:textId="77777777">
      <w:pPr>
        <w:spacing w:line="360" w:lineRule="auto"/>
        <w:jc w:val="both"/>
        <w:rPr>
          <w:rFonts w:ascii="Arial" w:hAnsi="Arial" w:eastAsia="Arial" w:cs="Arial"/>
          <w:sz w:val="24"/>
          <w:szCs w:val="24"/>
        </w:rPr>
      </w:pPr>
    </w:p>
    <w:p w:rsidR="0023599B" w:rsidRDefault="00F13535" w14:paraId="33573A07" w14:textId="77777777">
      <w:pPr>
        <w:spacing w:line="360" w:lineRule="auto"/>
        <w:jc w:val="both"/>
      </w:pPr>
      <w:r>
        <w:t xml:space="preserve">The results of the prospect vary from a small improvement to a significantly large one, being influenced by the approach and acceptance on the market. (Lybbert and Kieran2023). Indeed, a detailed review of various possibilities based on the implemented changes is required in order to consider potential outcomes for The Seaview Resort's recovery strategy (Brito, and Silveira, 2023). The results of the prospect can influence the growth with a wide variety of possibilities such as increasing the average room rate and the occupancy rate thus obtaining the possibility of expansion (Noor, et al., 2023). </w:t>
      </w:r>
    </w:p>
    <w:p w:rsidR="0023599B" w:rsidRDefault="00F13535" w14:paraId="4B92F877" w14:textId="77777777">
      <w:pPr>
        <w:pStyle w:val="Titlu1"/>
      </w:pPr>
      <w:r>
        <w:t>Risk assessment</w:t>
      </w:r>
    </w:p>
    <w:p w:rsidR="0023599B" w:rsidRDefault="0023599B" w14:paraId="54E11D2A" w14:textId="77777777">
      <w:pPr>
        <w:spacing w:line="360" w:lineRule="auto"/>
        <w:jc w:val="both"/>
        <w:rPr>
          <w:rFonts w:ascii="Arial" w:hAnsi="Arial" w:eastAsia="Arial" w:cs="Arial"/>
          <w:sz w:val="24"/>
          <w:szCs w:val="24"/>
        </w:rPr>
      </w:pPr>
    </w:p>
    <w:p w:rsidR="0023599B" w:rsidRDefault="00F13535" w14:paraId="10DB8D79" w14:textId="77777777">
      <w:pPr>
        <w:spacing w:line="360" w:lineRule="auto"/>
        <w:jc w:val="both"/>
        <w:rPr>
          <w:rFonts w:ascii="Arial" w:hAnsi="Arial" w:eastAsia="Arial" w:cs="Arial"/>
          <w:i/>
          <w:sz w:val="24"/>
          <w:szCs w:val="24"/>
        </w:rPr>
      </w:pPr>
      <w:r>
        <w:rPr>
          <w:rFonts w:ascii="Arial" w:hAnsi="Arial" w:eastAsia="Arial" w:cs="Arial"/>
          <w:i/>
          <w:sz w:val="24"/>
          <w:szCs w:val="24"/>
        </w:rPr>
        <w:t>Market perception:</w:t>
      </w:r>
    </w:p>
    <w:p w:rsidR="0023599B" w:rsidRDefault="00F13535" w14:paraId="6F99C1A3" w14:textId="77777777">
      <w:pPr>
        <w:spacing w:line="360" w:lineRule="auto"/>
        <w:jc w:val="both"/>
        <w:rPr>
          <w:rFonts w:ascii="Arial" w:hAnsi="Arial" w:eastAsia="Arial" w:cs="Arial"/>
          <w:sz w:val="24"/>
          <w:szCs w:val="24"/>
        </w:rPr>
      </w:pPr>
      <w:r>
        <w:rPr>
          <w:rFonts w:ascii="Arial" w:hAnsi="Arial" w:eastAsia="Arial" w:cs="Arial"/>
          <w:b/>
          <w:sz w:val="24"/>
          <w:szCs w:val="24"/>
        </w:rPr>
        <w:t>Risk:</w:t>
      </w:r>
      <w:r>
        <w:rPr>
          <w:rFonts w:ascii="Arial" w:hAnsi="Arial" w:eastAsia="Arial" w:cs="Arial"/>
          <w:sz w:val="24"/>
          <w:szCs w:val="24"/>
        </w:rPr>
        <w:t xml:space="preserve"> The market's possible lack of favorable reputation may have a negative impact in loyalty and trust of the customers</w:t>
      </w:r>
    </w:p>
    <w:p w:rsidR="0023599B" w:rsidRDefault="00F13535" w14:paraId="3558F9DC" w14:textId="77777777">
      <w:pPr>
        <w:spacing w:after="0" w:line="360" w:lineRule="auto"/>
        <w:jc w:val="both"/>
        <w:rPr>
          <w:rFonts w:ascii="Arial" w:hAnsi="Arial" w:eastAsia="Arial" w:cs="Arial"/>
          <w:color w:val="000000"/>
          <w:sz w:val="24"/>
          <w:szCs w:val="24"/>
        </w:rPr>
      </w:pPr>
      <w:r>
        <w:rPr>
          <w:rFonts w:ascii="Arial" w:hAnsi="Arial" w:eastAsia="Arial" w:cs="Arial"/>
          <w:b/>
          <w:color w:val="000000"/>
          <w:sz w:val="24"/>
          <w:szCs w:val="24"/>
        </w:rPr>
        <w:t>Mitigation: I</w:t>
      </w:r>
      <w:r>
        <w:rPr>
          <w:rFonts w:ascii="Arial" w:hAnsi="Arial" w:eastAsia="Arial" w:cs="Arial"/>
          <w:color w:val="000000"/>
          <w:sz w:val="24"/>
          <w:szCs w:val="24"/>
        </w:rPr>
        <w:t>mplement and develop a communication plan through which you present all the improvements brought to the services offered to customers and their experience. (Karamoy, and Tulung, 2020).</w:t>
      </w:r>
    </w:p>
    <w:p w:rsidR="0023599B" w:rsidRDefault="0023599B" w14:paraId="31126E5D" w14:textId="77777777">
      <w:pPr>
        <w:spacing w:after="0" w:line="360" w:lineRule="auto"/>
        <w:jc w:val="both"/>
        <w:rPr>
          <w:rFonts w:ascii="Arial" w:hAnsi="Arial" w:eastAsia="Arial" w:cs="Arial"/>
          <w:color w:val="000000"/>
          <w:sz w:val="24"/>
          <w:szCs w:val="24"/>
        </w:rPr>
      </w:pPr>
    </w:p>
    <w:p w:rsidR="0023599B" w:rsidRDefault="0023599B" w14:paraId="2DE403A5" w14:textId="77777777">
      <w:pPr>
        <w:spacing w:after="0" w:line="360" w:lineRule="auto"/>
        <w:jc w:val="both"/>
        <w:rPr>
          <w:rFonts w:ascii="Arial" w:hAnsi="Arial" w:eastAsia="Arial" w:cs="Arial"/>
          <w:color w:val="000000"/>
          <w:sz w:val="24"/>
          <w:szCs w:val="24"/>
        </w:rPr>
      </w:pPr>
    </w:p>
    <w:p w:rsidR="0023599B" w:rsidRDefault="0023599B" w14:paraId="62431CDC" w14:textId="77777777">
      <w:pPr>
        <w:spacing w:line="360" w:lineRule="auto"/>
        <w:jc w:val="both"/>
        <w:rPr>
          <w:rFonts w:ascii="Arial" w:hAnsi="Arial" w:eastAsia="Arial" w:cs="Arial"/>
          <w:color w:val="000000"/>
          <w:sz w:val="24"/>
          <w:szCs w:val="24"/>
        </w:rPr>
      </w:pPr>
    </w:p>
    <w:p w:rsidR="0023599B" w:rsidRDefault="00F13535" w14:paraId="666AFC0D" w14:textId="77777777">
      <w:pPr>
        <w:spacing w:line="360" w:lineRule="auto"/>
        <w:jc w:val="both"/>
        <w:rPr>
          <w:rFonts w:ascii="Arial" w:hAnsi="Arial" w:eastAsia="Arial" w:cs="Arial"/>
          <w:color w:val="000000"/>
          <w:sz w:val="24"/>
          <w:szCs w:val="24"/>
        </w:rPr>
      </w:pPr>
      <w:r>
        <w:rPr>
          <w:rFonts w:ascii="Arial" w:hAnsi="Arial" w:eastAsia="Arial" w:cs="Arial"/>
          <w:i/>
          <w:color w:val="000000"/>
          <w:sz w:val="24"/>
          <w:szCs w:val="24"/>
        </w:rPr>
        <w:t>Financial investment:</w:t>
      </w:r>
    </w:p>
    <w:p w:rsidR="0023599B" w:rsidRDefault="00F13535" w14:paraId="0AB1E577"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Risk: </w:t>
      </w:r>
      <w:r>
        <w:rPr>
          <w:rFonts w:ascii="Arial" w:hAnsi="Arial" w:eastAsia="Arial" w:cs="Arial"/>
          <w:color w:val="000000"/>
          <w:sz w:val="24"/>
          <w:szCs w:val="24"/>
        </w:rPr>
        <w:t>The turnaround plan may necessitate a significant financial investment.</w:t>
      </w:r>
    </w:p>
    <w:p w:rsidR="0023599B" w:rsidRDefault="00F13535" w14:paraId="28329AEC"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Mitigation: </w:t>
      </w:r>
      <w:r>
        <w:rPr>
          <w:rFonts w:ascii="Arial" w:hAnsi="Arial" w:eastAsia="Arial" w:cs="Arial"/>
          <w:color w:val="000000"/>
          <w:sz w:val="24"/>
          <w:szCs w:val="24"/>
        </w:rPr>
        <w:t>Conduct a thorough cost-benefit analysis to see whether the given budget is in line with the expected results. Investigate potential cooperation or funding opportunities to reduce financial load</w:t>
      </w:r>
      <w:r>
        <w:rPr>
          <w:rFonts w:ascii="Arial" w:hAnsi="Arial" w:eastAsia="Arial" w:cs="Arial"/>
          <w:color w:val="222222"/>
          <w:sz w:val="24"/>
          <w:szCs w:val="24"/>
        </w:rPr>
        <w:t xml:space="preserve"> </w:t>
      </w:r>
      <w:r>
        <w:rPr>
          <w:rFonts w:ascii="Arial" w:hAnsi="Arial" w:eastAsia="Arial" w:cs="Arial"/>
          <w:color w:val="000000"/>
          <w:sz w:val="24"/>
          <w:szCs w:val="24"/>
        </w:rPr>
        <w:t>(Nguyen, et al., 2021).</w:t>
      </w:r>
    </w:p>
    <w:p w:rsidR="0023599B" w:rsidRDefault="0023599B" w14:paraId="49E398E2" w14:textId="77777777">
      <w:pPr>
        <w:spacing w:line="360" w:lineRule="auto"/>
        <w:jc w:val="both"/>
        <w:rPr>
          <w:rFonts w:ascii="Arial" w:hAnsi="Arial" w:eastAsia="Arial" w:cs="Arial"/>
          <w:i/>
          <w:color w:val="000000"/>
          <w:sz w:val="24"/>
          <w:szCs w:val="24"/>
        </w:rPr>
      </w:pPr>
    </w:p>
    <w:p w:rsidR="0023599B" w:rsidRDefault="00F13535" w14:paraId="7D1E4DE9" w14:textId="77777777">
      <w:pPr>
        <w:spacing w:line="360" w:lineRule="auto"/>
        <w:jc w:val="both"/>
        <w:rPr>
          <w:rFonts w:ascii="Arial" w:hAnsi="Arial" w:eastAsia="Arial" w:cs="Arial"/>
          <w:i/>
          <w:color w:val="000000"/>
          <w:sz w:val="24"/>
          <w:szCs w:val="24"/>
        </w:rPr>
      </w:pPr>
      <w:r>
        <w:rPr>
          <w:rFonts w:ascii="Arial" w:hAnsi="Arial" w:eastAsia="Arial" w:cs="Arial"/>
          <w:i/>
          <w:color w:val="000000"/>
          <w:sz w:val="24"/>
          <w:szCs w:val="24"/>
        </w:rPr>
        <w:t>Operational implementation risk:</w:t>
      </w:r>
    </w:p>
    <w:p w:rsidR="0023599B" w:rsidRDefault="00F13535" w14:paraId="2FEAED93"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Risk: </w:t>
      </w:r>
      <w:r>
        <w:rPr>
          <w:rFonts w:ascii="Arial" w:hAnsi="Arial" w:eastAsia="Arial" w:cs="Arial"/>
          <w:color w:val="000000"/>
          <w:sz w:val="24"/>
          <w:szCs w:val="24"/>
        </w:rPr>
        <w:t>The implementation of operational changes can face encounter numerous roadblocks.</w:t>
      </w:r>
    </w:p>
    <w:p w:rsidR="0023599B" w:rsidRDefault="00F13535" w14:paraId="79EED83A" w14:textId="77777777">
      <w:pPr>
        <w:spacing w:line="360" w:lineRule="auto"/>
        <w:jc w:val="both"/>
        <w:rPr>
          <w:rFonts w:ascii="Arial" w:hAnsi="Arial" w:eastAsia="Arial" w:cs="Arial"/>
          <w:color w:val="000000"/>
          <w:sz w:val="24"/>
          <w:szCs w:val="24"/>
        </w:rPr>
      </w:pPr>
      <w:r>
        <w:rPr>
          <w:rFonts w:ascii="Arial" w:hAnsi="Arial" w:eastAsia="Arial" w:cs="Arial"/>
          <w:b/>
          <w:color w:val="000000"/>
          <w:sz w:val="24"/>
          <w:szCs w:val="24"/>
        </w:rPr>
        <w:t xml:space="preserve">Mitigation: </w:t>
      </w:r>
      <w:r>
        <w:rPr>
          <w:rFonts w:ascii="Arial" w:hAnsi="Arial" w:eastAsia="Arial" w:cs="Arial"/>
          <w:color w:val="000000"/>
          <w:sz w:val="24"/>
          <w:szCs w:val="24"/>
        </w:rPr>
        <w:t>Developing a strategy with clear timelines, defined tasks, and measurable performance measures.</w:t>
      </w:r>
    </w:p>
    <w:p w:rsidR="0023599B" w:rsidRDefault="0023599B" w14:paraId="16287F21" w14:textId="77777777">
      <w:pPr>
        <w:pStyle w:val="Titlu1"/>
        <w:spacing w:line="360" w:lineRule="auto"/>
        <w:jc w:val="both"/>
        <w:rPr>
          <w:rFonts w:ascii="Arial" w:hAnsi="Arial" w:eastAsia="Arial" w:cs="Arial"/>
          <w:sz w:val="24"/>
          <w:szCs w:val="24"/>
        </w:rPr>
      </w:pPr>
    </w:p>
    <w:p w:rsidR="0023599B" w:rsidRDefault="00F13535" w14:paraId="39234EAE" w14:textId="77777777">
      <w:pPr>
        <w:pStyle w:val="Titlu1"/>
        <w:spacing w:line="360" w:lineRule="auto"/>
        <w:jc w:val="both"/>
      </w:pPr>
      <w:r>
        <w:t xml:space="preserve"> Conclusion</w:t>
      </w:r>
    </w:p>
    <w:p w:rsidR="0023599B" w:rsidRDefault="0023599B" w14:paraId="5BE93A62" w14:textId="77777777">
      <w:pPr>
        <w:spacing w:line="360" w:lineRule="auto"/>
        <w:jc w:val="both"/>
        <w:rPr>
          <w:rFonts w:ascii="Arial" w:hAnsi="Arial" w:eastAsia="Arial" w:cs="Arial"/>
          <w:sz w:val="24"/>
          <w:szCs w:val="24"/>
        </w:rPr>
      </w:pPr>
    </w:p>
    <w:p w:rsidR="0023599B" w:rsidRDefault="00F13535" w14:paraId="08C5BDFB" w14:textId="77777777">
      <w:pPr>
        <w:spacing w:line="360" w:lineRule="auto"/>
        <w:jc w:val="both"/>
        <w:rPr>
          <w:rFonts w:ascii="Arial" w:hAnsi="Arial" w:eastAsia="Arial" w:cs="Arial"/>
          <w:color w:val="000000"/>
          <w:sz w:val="24"/>
          <w:szCs w:val="24"/>
        </w:rPr>
      </w:pPr>
      <w:r>
        <w:rPr>
          <w:rFonts w:ascii="Arial" w:hAnsi="Arial" w:eastAsia="Arial" w:cs="Arial"/>
          <w:color w:val="000000"/>
          <w:sz w:val="24"/>
          <w:szCs w:val="24"/>
        </w:rPr>
        <w:t>To summarize, The Seaview Resort is in a critical moment, close to collapse, and this report presents it in detail. The main goal is to recover financially and look for solutions to restore its prestigious reputation. This is possible by creating an action plan, some strategies and several factors such as improving the facilities, improving the quality of services, rebranding the resort, implementing a competitive price plan and forming strategic alliances. Even if it went through a moment financially difficult, The Seaview Resort can still regain its identity and prestige.</w:t>
      </w:r>
    </w:p>
    <w:p w:rsidR="0023599B" w:rsidRDefault="0023599B" w14:paraId="384BA73E" w14:textId="77777777">
      <w:pPr>
        <w:spacing w:line="360" w:lineRule="auto"/>
        <w:jc w:val="both"/>
        <w:rPr>
          <w:rFonts w:ascii="Arial" w:hAnsi="Arial" w:eastAsia="Arial" w:cs="Arial"/>
          <w:color w:val="000000"/>
          <w:sz w:val="24"/>
          <w:szCs w:val="24"/>
        </w:rPr>
      </w:pPr>
    </w:p>
    <w:p w:rsidR="0023599B" w:rsidRDefault="0023599B" w14:paraId="34B3F2EB" w14:textId="77777777">
      <w:pPr>
        <w:spacing w:line="360" w:lineRule="auto"/>
        <w:rPr>
          <w:rFonts w:ascii="Times New Roman" w:hAnsi="Times New Roman" w:eastAsia="Times New Roman" w:cs="Times New Roman"/>
          <w:color w:val="000000"/>
          <w:sz w:val="24"/>
          <w:szCs w:val="24"/>
        </w:rPr>
      </w:pPr>
    </w:p>
    <w:p w:rsidR="0023599B" w:rsidRDefault="0023599B" w14:paraId="7D34F5C7" w14:textId="77777777">
      <w:pPr>
        <w:spacing w:line="360" w:lineRule="auto"/>
        <w:rPr>
          <w:rFonts w:ascii="Arial" w:hAnsi="Arial" w:eastAsia="Arial" w:cs="Arial"/>
          <w:color w:val="202124"/>
          <w:sz w:val="24"/>
          <w:szCs w:val="24"/>
        </w:rPr>
      </w:pPr>
    </w:p>
    <w:p w:rsidR="0023599B" w:rsidRDefault="0023599B" w14:paraId="0B4020A7" w14:textId="77777777">
      <w:pPr>
        <w:spacing w:line="360" w:lineRule="auto"/>
        <w:rPr>
          <w:rFonts w:ascii="Arial" w:hAnsi="Arial" w:eastAsia="Arial" w:cs="Arial"/>
          <w:color w:val="202124"/>
          <w:sz w:val="24"/>
          <w:szCs w:val="24"/>
        </w:rPr>
      </w:pPr>
    </w:p>
    <w:p w:rsidR="0023599B" w:rsidRDefault="0023599B" w14:paraId="1D7B270A" w14:textId="77777777">
      <w:pPr>
        <w:spacing w:line="360" w:lineRule="auto"/>
        <w:rPr>
          <w:rFonts w:ascii="Arial" w:hAnsi="Arial" w:eastAsia="Arial" w:cs="Arial"/>
          <w:color w:val="202124"/>
          <w:sz w:val="24"/>
          <w:szCs w:val="24"/>
        </w:rPr>
      </w:pPr>
    </w:p>
    <w:p w:rsidR="0023599B" w:rsidRDefault="0023599B" w14:paraId="4F904CB7" w14:textId="77777777">
      <w:pPr>
        <w:spacing w:line="360" w:lineRule="auto"/>
        <w:rPr>
          <w:rFonts w:ascii="Arial" w:hAnsi="Arial" w:eastAsia="Arial" w:cs="Arial"/>
          <w:color w:val="202124"/>
          <w:sz w:val="24"/>
          <w:szCs w:val="24"/>
        </w:rPr>
      </w:pPr>
    </w:p>
    <w:p w:rsidR="0023599B" w:rsidRDefault="0023599B" w14:paraId="06971CD3" w14:textId="77777777">
      <w:pPr>
        <w:spacing w:line="360" w:lineRule="auto"/>
        <w:rPr>
          <w:rFonts w:ascii="Arial" w:hAnsi="Arial" w:eastAsia="Arial" w:cs="Arial"/>
          <w:color w:val="202124"/>
          <w:sz w:val="24"/>
          <w:szCs w:val="24"/>
        </w:rPr>
      </w:pPr>
    </w:p>
    <w:p w:rsidR="0023599B" w:rsidRDefault="0023599B" w14:paraId="2A1F701D" w14:textId="77777777">
      <w:pPr>
        <w:spacing w:line="360" w:lineRule="auto"/>
        <w:rPr>
          <w:rFonts w:ascii="Arial" w:hAnsi="Arial" w:eastAsia="Arial" w:cs="Arial"/>
          <w:color w:val="202124"/>
          <w:sz w:val="24"/>
          <w:szCs w:val="24"/>
        </w:rPr>
      </w:pPr>
    </w:p>
    <w:p w:rsidR="0023599B" w:rsidRDefault="0023599B" w14:paraId="03EFCA41" w14:textId="77777777">
      <w:pPr>
        <w:spacing w:line="360" w:lineRule="auto"/>
        <w:rPr>
          <w:rFonts w:ascii="Arial" w:hAnsi="Arial" w:eastAsia="Arial" w:cs="Arial"/>
          <w:color w:val="202124"/>
          <w:sz w:val="24"/>
          <w:szCs w:val="24"/>
        </w:rPr>
      </w:pPr>
    </w:p>
    <w:p w:rsidR="0023599B" w:rsidRDefault="0023599B" w14:paraId="5F96A722" w14:textId="35D1016E">
      <w:pPr>
        <w:spacing w:line="360" w:lineRule="auto"/>
        <w:rPr>
          <w:rFonts w:ascii="Arial" w:hAnsi="Arial" w:eastAsia="Arial" w:cs="Arial"/>
          <w:color w:val="202124"/>
          <w:sz w:val="24"/>
          <w:szCs w:val="24"/>
        </w:rPr>
      </w:pPr>
    </w:p>
    <w:p w:rsidR="22F0776A" w:rsidP="22F0776A" w:rsidRDefault="22F0776A" w14:paraId="1A968C4E" w14:textId="1E284712">
      <w:pPr>
        <w:pStyle w:val="Normal"/>
        <w:spacing w:line="360" w:lineRule="auto"/>
        <w:rPr>
          <w:rFonts w:ascii="Arial" w:hAnsi="Arial" w:eastAsia="Arial" w:cs="Arial"/>
          <w:color w:val="202124"/>
          <w:sz w:val="24"/>
          <w:szCs w:val="24"/>
        </w:rPr>
      </w:pPr>
    </w:p>
    <w:p w:rsidR="0023599B" w:rsidRDefault="00F13535" w14:paraId="459C7026" w14:textId="77777777">
      <w:pPr>
        <w:pStyle w:val="Titlu1"/>
        <w:spacing w:line="360" w:lineRule="auto"/>
      </w:pPr>
      <w:r>
        <w:t xml:space="preserve">References </w:t>
      </w:r>
    </w:p>
    <w:p w:rsidR="0023599B" w:rsidRDefault="00F13535" w14:paraId="0D3AB6FB"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Nguyen, T.H., Elmagrhi, M.H., Ntim, C.G. and Wu, Y., 2021. Environmental performance sustainability, governance and financial performance: Evidence from heavily polluting industries in China. </w:t>
      </w:r>
      <w:r>
        <w:rPr>
          <w:rFonts w:ascii="Arial" w:hAnsi="Arial" w:eastAsia="Arial" w:cs="Arial"/>
          <w:i/>
          <w:color w:val="222222"/>
          <w:sz w:val="24"/>
          <w:szCs w:val="24"/>
        </w:rPr>
        <w:t>Business Strategy and the Environment</w:t>
      </w:r>
      <w:r>
        <w:rPr>
          <w:rFonts w:ascii="Arial" w:hAnsi="Arial" w:eastAsia="Arial" w:cs="Arial"/>
          <w:color w:val="222222"/>
          <w:sz w:val="24"/>
          <w:szCs w:val="24"/>
        </w:rPr>
        <w:t>, </w:t>
      </w:r>
      <w:r>
        <w:rPr>
          <w:rFonts w:ascii="Arial" w:hAnsi="Arial" w:eastAsia="Arial" w:cs="Arial"/>
          <w:i/>
          <w:color w:val="222222"/>
          <w:sz w:val="24"/>
          <w:szCs w:val="24"/>
        </w:rPr>
        <w:t>30</w:t>
      </w:r>
      <w:r>
        <w:rPr>
          <w:rFonts w:ascii="Arial" w:hAnsi="Arial" w:eastAsia="Arial" w:cs="Arial"/>
          <w:color w:val="222222"/>
          <w:sz w:val="24"/>
          <w:szCs w:val="24"/>
        </w:rPr>
        <w:t xml:space="preserve">(5), pp.2313-2331. [Online] available at: </w:t>
      </w:r>
      <w:hyperlink r:id="rId9">
        <w:r>
          <w:rPr>
            <w:rFonts w:ascii="Arial" w:hAnsi="Arial" w:eastAsia="Arial" w:cs="Arial"/>
            <w:color w:val="0563C1"/>
            <w:sz w:val="24"/>
            <w:szCs w:val="24"/>
            <w:u w:val="single"/>
          </w:rPr>
          <w:t>https://onlinelibrary.wiley.com/doi/full/10.1002/bse.2748</w:t>
        </w:r>
      </w:hyperlink>
      <w:r>
        <w:rPr>
          <w:rFonts w:ascii="Arial" w:hAnsi="Arial" w:eastAsia="Arial" w:cs="Arial"/>
          <w:color w:val="222222"/>
          <w:sz w:val="24"/>
          <w:szCs w:val="24"/>
        </w:rPr>
        <w:t xml:space="preserve"> [Accessed 15 November 2023]</w:t>
      </w:r>
    </w:p>
    <w:p w:rsidR="0023599B" w:rsidRDefault="00F13535" w14:paraId="6A7E0514" w14:textId="77777777">
      <w:pPr>
        <w:spacing w:line="360" w:lineRule="auto"/>
        <w:jc w:val="both"/>
        <w:rPr>
          <w:rFonts w:ascii="Arial" w:hAnsi="Arial" w:eastAsia="Arial" w:cs="Arial"/>
          <w:color w:val="1F1F1F"/>
          <w:sz w:val="24"/>
          <w:szCs w:val="24"/>
        </w:rPr>
      </w:pPr>
      <w:r>
        <w:rPr>
          <w:rFonts w:ascii="Arial" w:hAnsi="Arial" w:eastAsia="Arial" w:cs="Arial"/>
          <w:color w:val="1F1F1F"/>
          <w:sz w:val="24"/>
          <w:szCs w:val="24"/>
        </w:rPr>
        <w:t xml:space="preserve">Chathoth P.K., Ching-Yick Tse E., Olsen M.D., (2006). </w:t>
      </w:r>
      <w:hyperlink r:id="rId10">
        <w:r>
          <w:rPr>
            <w:rFonts w:ascii="Arial" w:hAnsi="Arial" w:eastAsia="Arial" w:cs="Arial"/>
            <w:color w:val="1F1F1F"/>
            <w:sz w:val="24"/>
            <w:szCs w:val="24"/>
          </w:rPr>
          <w:t>International Journal of Hospitality Management.</w:t>
        </w:r>
      </w:hyperlink>
      <w:r>
        <w:rPr>
          <w:rFonts w:ascii="Arial" w:hAnsi="Arial" w:eastAsia="Arial" w:cs="Arial"/>
          <w:color w:val="1F1F1F"/>
          <w:sz w:val="24"/>
          <w:szCs w:val="24"/>
        </w:rPr>
        <w:t xml:space="preserve"> Turnaround strategy: A study of restaurant firms, (6), Pages 602-622 [Online], available at: </w:t>
      </w:r>
      <w:hyperlink r:id="rId11">
        <w:r>
          <w:rPr>
            <w:rFonts w:ascii="Arial" w:hAnsi="Arial" w:eastAsia="Arial" w:cs="Arial"/>
            <w:color w:val="0563C1"/>
            <w:sz w:val="24"/>
            <w:szCs w:val="24"/>
            <w:u w:val="single"/>
          </w:rPr>
          <w:t>https://www-sciencedirect-com.ezproxy.uwtsd.ac.uk/science/article/pii/S0278431905000514?via%3Dihub</w:t>
        </w:r>
      </w:hyperlink>
      <w:r>
        <w:rPr>
          <w:rFonts w:ascii="Arial" w:hAnsi="Arial" w:eastAsia="Arial" w:cs="Arial"/>
          <w:color w:val="1F1F1F"/>
          <w:sz w:val="24"/>
          <w:szCs w:val="24"/>
        </w:rPr>
        <w:t xml:space="preserve"> [Accessed 15 Novembre 2023]</w:t>
      </w:r>
    </w:p>
    <w:p w:rsidR="0023599B" w:rsidRDefault="00F13535" w14:paraId="76E990B5" w14:textId="77777777">
      <w:pPr>
        <w:spacing w:line="360" w:lineRule="auto"/>
        <w:jc w:val="both"/>
        <w:rPr>
          <w:rFonts w:ascii="Arial" w:hAnsi="Arial" w:eastAsia="Arial" w:cs="Arial"/>
          <w:color w:val="1F1F1F"/>
          <w:sz w:val="24"/>
          <w:szCs w:val="24"/>
        </w:rPr>
      </w:pPr>
      <w:r>
        <w:rPr>
          <w:rFonts w:ascii="Arial" w:hAnsi="Arial" w:eastAsia="Arial" w:cs="Arial"/>
          <w:color w:val="3A3A3A"/>
          <w:sz w:val="24"/>
          <w:szCs w:val="24"/>
        </w:rPr>
        <w:t xml:space="preserve">Crespí-Cladera, R., Martín-Oliver, A., &amp; Pascual-Fuster, B. (2021). Financial distress in the hospitality industry during the Covid-19 disaster. </w:t>
      </w:r>
      <w:r>
        <w:rPr>
          <w:rFonts w:ascii="Arial" w:hAnsi="Arial" w:eastAsia="Arial" w:cs="Arial"/>
          <w:i/>
          <w:color w:val="3A3A3A"/>
          <w:sz w:val="24"/>
          <w:szCs w:val="24"/>
        </w:rPr>
        <w:t>Tourism Management (1982)</w:t>
      </w:r>
      <w:r>
        <w:rPr>
          <w:rFonts w:ascii="Arial" w:hAnsi="Arial" w:eastAsia="Arial" w:cs="Arial"/>
          <w:color w:val="3A3A3A"/>
          <w:sz w:val="24"/>
          <w:szCs w:val="24"/>
        </w:rPr>
        <w:t xml:space="preserve">, </w:t>
      </w:r>
      <w:r>
        <w:rPr>
          <w:rFonts w:ascii="Arial" w:hAnsi="Arial" w:eastAsia="Arial" w:cs="Arial"/>
          <w:i/>
          <w:color w:val="3A3A3A"/>
          <w:sz w:val="24"/>
          <w:szCs w:val="24"/>
        </w:rPr>
        <w:t>85</w:t>
      </w:r>
      <w:r>
        <w:rPr>
          <w:rFonts w:ascii="Arial" w:hAnsi="Arial" w:eastAsia="Arial" w:cs="Arial"/>
          <w:color w:val="3A3A3A"/>
          <w:sz w:val="24"/>
          <w:szCs w:val="24"/>
        </w:rPr>
        <w:t xml:space="preserve">, 104301-. </w:t>
      </w:r>
      <w:hyperlink r:id="rId12">
        <w:r>
          <w:rPr>
            <w:rFonts w:ascii="Arial" w:hAnsi="Arial" w:eastAsia="Arial" w:cs="Arial"/>
            <w:color w:val="0563C1"/>
            <w:sz w:val="24"/>
            <w:szCs w:val="24"/>
            <w:u w:val="single"/>
          </w:rPr>
          <w:t>https://doi.org/10.1016/j.tourman.2021.104301</w:t>
        </w:r>
      </w:hyperlink>
      <w:r>
        <w:rPr>
          <w:rFonts w:ascii="Arial" w:hAnsi="Arial" w:eastAsia="Arial" w:cs="Arial"/>
          <w:color w:val="3A3A3A"/>
          <w:sz w:val="24"/>
          <w:szCs w:val="24"/>
        </w:rPr>
        <w:t xml:space="preserve"> </w:t>
      </w:r>
      <w:r>
        <w:rPr>
          <w:rFonts w:ascii="Arial" w:hAnsi="Arial" w:eastAsia="Arial" w:cs="Arial"/>
          <w:color w:val="1F1F1F"/>
          <w:sz w:val="24"/>
          <w:szCs w:val="24"/>
        </w:rPr>
        <w:t>[Accessed 15 Novembre 2023]</w:t>
      </w:r>
    </w:p>
    <w:p w:rsidR="0023599B" w:rsidRDefault="00F13535" w14:paraId="3322ADA0" w14:textId="77777777">
      <w:pPr>
        <w:spacing w:line="360" w:lineRule="auto"/>
        <w:jc w:val="both"/>
        <w:rPr>
          <w:rFonts w:ascii="Arial" w:hAnsi="Arial" w:eastAsia="Arial" w:cs="Arial"/>
          <w:color w:val="1F1F1F"/>
          <w:sz w:val="24"/>
          <w:szCs w:val="24"/>
        </w:rPr>
      </w:pPr>
      <w:r>
        <w:rPr>
          <w:rFonts w:ascii="Arial" w:hAnsi="Arial" w:eastAsia="Arial" w:cs="Arial"/>
          <w:sz w:val="24"/>
          <w:szCs w:val="24"/>
        </w:rPr>
        <w:t xml:space="preserve">Jiang, B. (2023). Analysis of Marriott’s Financial Position under the Epidemic. </w:t>
      </w:r>
      <w:r>
        <w:rPr>
          <w:rFonts w:ascii="Arial" w:hAnsi="Arial" w:eastAsia="Arial" w:cs="Arial"/>
          <w:i/>
          <w:sz w:val="24"/>
          <w:szCs w:val="24"/>
        </w:rPr>
        <w:t>Highlights in Business, Economics and Management</w:t>
      </w:r>
      <w:r>
        <w:rPr>
          <w:rFonts w:ascii="Arial" w:hAnsi="Arial" w:eastAsia="Arial" w:cs="Arial"/>
          <w:sz w:val="24"/>
          <w:szCs w:val="24"/>
        </w:rPr>
        <w:t xml:space="preserve">, </w:t>
      </w:r>
      <w:r>
        <w:rPr>
          <w:rFonts w:ascii="Arial" w:hAnsi="Arial" w:eastAsia="Arial" w:cs="Arial"/>
          <w:i/>
          <w:sz w:val="24"/>
          <w:szCs w:val="24"/>
        </w:rPr>
        <w:t>10</w:t>
      </w:r>
      <w:r>
        <w:rPr>
          <w:rFonts w:ascii="Arial" w:hAnsi="Arial" w:eastAsia="Arial" w:cs="Arial"/>
          <w:sz w:val="24"/>
          <w:szCs w:val="24"/>
        </w:rPr>
        <w:t xml:space="preserve">, 122–126. [Online] available at: </w:t>
      </w:r>
      <w:hyperlink r:id="rId13">
        <w:r>
          <w:rPr>
            <w:rFonts w:ascii="Arial" w:hAnsi="Arial" w:eastAsia="Arial" w:cs="Arial"/>
            <w:color w:val="0563C1"/>
            <w:sz w:val="24"/>
            <w:szCs w:val="24"/>
            <w:u w:val="single"/>
          </w:rPr>
          <w:t>https://doi.org/10.54097/hbem.v10i.7965</w:t>
        </w:r>
      </w:hyperlink>
      <w:r>
        <w:rPr>
          <w:rFonts w:ascii="Arial" w:hAnsi="Arial" w:eastAsia="Arial" w:cs="Arial"/>
          <w:sz w:val="24"/>
          <w:szCs w:val="24"/>
        </w:rPr>
        <w:t xml:space="preserve"> </w:t>
      </w:r>
      <w:r>
        <w:rPr>
          <w:rFonts w:ascii="Arial" w:hAnsi="Arial" w:eastAsia="Arial" w:cs="Arial"/>
          <w:color w:val="1F1F1F"/>
          <w:sz w:val="24"/>
          <w:szCs w:val="24"/>
        </w:rPr>
        <w:t>[Accessed 15 Novembre 2023]</w:t>
      </w:r>
    </w:p>
    <w:p w:rsidR="0023599B" w:rsidRDefault="00F13535" w14:paraId="6DDADFB6" w14:textId="77777777">
      <w:pPr>
        <w:spacing w:line="360" w:lineRule="auto"/>
        <w:jc w:val="both"/>
        <w:rPr>
          <w:rFonts w:ascii="Arial" w:hAnsi="Arial" w:eastAsia="Arial" w:cs="Arial"/>
          <w:color w:val="1F1F1F"/>
          <w:sz w:val="24"/>
          <w:szCs w:val="24"/>
        </w:rPr>
      </w:pPr>
      <w:r>
        <w:rPr>
          <w:rFonts w:ascii="Arial" w:hAnsi="Arial" w:eastAsia="Arial" w:cs="Arial"/>
          <w:color w:val="000000"/>
          <w:sz w:val="24"/>
          <w:szCs w:val="24"/>
        </w:rPr>
        <w:t xml:space="preserve">Handayani, S., Suhardjanto, D., Muhtar, E. and Honggowati, S. (2023) “Analysis of Current Ratio, Debt Ratio, Net Profit Margin, and Total Asset Turnover Change in Income (Study of Multinational Companies Listed on the IDX for the 2020-2022 Period)”, </w:t>
      </w:r>
      <w:r>
        <w:rPr>
          <w:rFonts w:ascii="Arial" w:hAnsi="Arial" w:eastAsia="Arial" w:cs="Arial"/>
          <w:i/>
          <w:color w:val="000000"/>
          <w:sz w:val="24"/>
          <w:szCs w:val="24"/>
        </w:rPr>
        <w:t>Ilomata International Journal of Tax and Accounting</w:t>
      </w:r>
      <w:r>
        <w:rPr>
          <w:rFonts w:ascii="Arial" w:hAnsi="Arial" w:eastAsia="Arial" w:cs="Arial"/>
          <w:color w:val="000000"/>
          <w:sz w:val="24"/>
          <w:szCs w:val="24"/>
        </w:rPr>
        <w:t xml:space="preserve">, 4(4), pp. 849-863. doi: 10.52728/ijtc.v4i4.900. [Online] available at: </w:t>
      </w:r>
      <w:hyperlink r:id="rId14">
        <w:r>
          <w:rPr>
            <w:rFonts w:ascii="Arial" w:hAnsi="Arial" w:eastAsia="Arial" w:cs="Arial"/>
            <w:color w:val="0563C1"/>
            <w:sz w:val="24"/>
            <w:szCs w:val="24"/>
            <w:u w:val="single"/>
          </w:rPr>
          <w:t>https://ilomata.org/index.php/ijtc/article/view/900</w:t>
        </w:r>
      </w:hyperlink>
      <w:r>
        <w:rPr>
          <w:rFonts w:ascii="Arial" w:hAnsi="Arial" w:eastAsia="Arial" w:cs="Arial"/>
          <w:color w:val="000000"/>
          <w:sz w:val="24"/>
          <w:szCs w:val="24"/>
        </w:rPr>
        <w:t xml:space="preserve"> </w:t>
      </w:r>
      <w:r>
        <w:rPr>
          <w:rFonts w:ascii="Arial" w:hAnsi="Arial" w:eastAsia="Arial" w:cs="Arial"/>
          <w:color w:val="1F1F1F"/>
          <w:sz w:val="24"/>
          <w:szCs w:val="24"/>
        </w:rPr>
        <w:t>[Accessed 15 Novembre 2023]</w:t>
      </w:r>
    </w:p>
    <w:p w:rsidR="0023599B" w:rsidRDefault="0011223D" w14:paraId="4165DFC2" w14:textId="77777777">
      <w:pPr>
        <w:spacing w:line="360" w:lineRule="auto"/>
        <w:jc w:val="both"/>
        <w:rPr>
          <w:rFonts w:ascii="Arial" w:hAnsi="Arial" w:eastAsia="Arial" w:cs="Arial"/>
          <w:color w:val="1F1F1F"/>
          <w:sz w:val="24"/>
          <w:szCs w:val="24"/>
        </w:rPr>
      </w:pPr>
      <w:hyperlink r:id="rId15">
        <w:r w:rsidR="00F13535">
          <w:rPr>
            <w:rFonts w:ascii="Arial" w:hAnsi="Arial" w:eastAsia="Arial" w:cs="Arial"/>
            <w:color w:val="0563C1"/>
            <w:sz w:val="24"/>
            <w:szCs w:val="24"/>
            <w:u w:val="single"/>
          </w:rPr>
          <w:t>https://squareup.com/gb/en/glossary/net-loss</w:t>
        </w:r>
      </w:hyperlink>
      <w:r w:rsidR="00F13535">
        <w:rPr>
          <w:rFonts w:ascii="Arial" w:hAnsi="Arial" w:eastAsia="Arial" w:cs="Arial"/>
          <w:color w:val="1F1F1F"/>
          <w:sz w:val="24"/>
          <w:szCs w:val="24"/>
        </w:rPr>
        <w:t xml:space="preserve"> [Accessed 15 Novembre 2023]</w:t>
      </w:r>
    </w:p>
    <w:p w:rsidR="0023599B" w:rsidRDefault="00F13535" w14:paraId="782674DC" w14:textId="77777777">
      <w:pPr>
        <w:spacing w:line="360" w:lineRule="auto"/>
        <w:jc w:val="both"/>
        <w:rPr>
          <w:rFonts w:ascii="Arial" w:hAnsi="Arial" w:eastAsia="Arial" w:cs="Arial"/>
          <w:sz w:val="24"/>
          <w:szCs w:val="24"/>
        </w:rPr>
      </w:pPr>
      <w:r>
        <w:rPr>
          <w:rFonts w:ascii="Arial" w:hAnsi="Arial" w:eastAsia="Arial" w:cs="Arial"/>
          <w:sz w:val="24"/>
          <w:szCs w:val="24"/>
        </w:rPr>
        <w:t>accountingtools, (2023). Income statement analysis definition. [Online] Available at: https://www.accountingtools.com/articles/income-statement-analysis.html [Accessed 15 Novembre 2023].</w:t>
      </w:r>
    </w:p>
    <w:p w:rsidR="0023599B" w:rsidRDefault="0011223D" w14:paraId="3947F82B" w14:textId="77777777">
      <w:pPr>
        <w:spacing w:line="360" w:lineRule="auto"/>
        <w:jc w:val="both"/>
        <w:rPr>
          <w:rFonts w:ascii="Arial" w:hAnsi="Arial" w:eastAsia="Arial" w:cs="Arial"/>
          <w:sz w:val="24"/>
          <w:szCs w:val="24"/>
        </w:rPr>
      </w:pPr>
      <w:hyperlink r:id="rId16">
        <w:r w:rsidR="00F13535">
          <w:rPr>
            <w:rFonts w:ascii="Arial" w:hAnsi="Arial" w:eastAsia="Arial" w:cs="Arial"/>
            <w:color w:val="0563C1"/>
            <w:sz w:val="24"/>
            <w:szCs w:val="24"/>
            <w:u w:val="single"/>
          </w:rPr>
          <w:t>https://economictimes.indiatimes.com/definition/asset-turnover-ratio</w:t>
        </w:r>
      </w:hyperlink>
      <w:r w:rsidR="00F13535">
        <w:rPr>
          <w:rFonts w:ascii="Arial" w:hAnsi="Arial" w:eastAsia="Arial" w:cs="Arial"/>
          <w:sz w:val="24"/>
          <w:szCs w:val="24"/>
        </w:rPr>
        <w:t xml:space="preserve"> [Accessed 15 Novembre 2023].</w:t>
      </w:r>
    </w:p>
    <w:p w:rsidR="0023599B" w:rsidRDefault="00F13535" w14:paraId="0DD2F193" w14:textId="77777777">
      <w:pPr>
        <w:spacing w:line="360" w:lineRule="auto"/>
        <w:jc w:val="both"/>
        <w:rPr>
          <w:rFonts w:ascii="Arial" w:hAnsi="Arial" w:eastAsia="Arial" w:cs="Arial"/>
          <w:color w:val="111111"/>
          <w:sz w:val="24"/>
          <w:szCs w:val="24"/>
        </w:rPr>
      </w:pPr>
      <w:r>
        <w:rPr>
          <w:rFonts w:ascii="Arial" w:hAnsi="Arial" w:eastAsia="Arial" w:cs="Arial"/>
          <w:color w:val="111111"/>
          <w:sz w:val="24"/>
          <w:szCs w:val="24"/>
        </w:rPr>
        <w:t xml:space="preserve">Karim, A., Widyarti, E. T., and Santoso, A., 2023. Effect of current ratio, total asset turnover, and size on profitability: Evidence from Indonesia manufacturing companies. </w:t>
      </w:r>
      <w:r>
        <w:rPr>
          <w:rFonts w:ascii="Arial" w:hAnsi="Arial" w:eastAsia="Arial" w:cs="Arial"/>
          <w:i/>
          <w:color w:val="111111"/>
          <w:sz w:val="24"/>
          <w:szCs w:val="24"/>
        </w:rPr>
        <w:t>Diponegoro International Journal of Business</w:t>
      </w:r>
      <w:r>
        <w:rPr>
          <w:rFonts w:ascii="Arial" w:hAnsi="Arial" w:eastAsia="Arial" w:cs="Arial"/>
          <w:color w:val="111111"/>
          <w:sz w:val="24"/>
          <w:szCs w:val="24"/>
        </w:rPr>
        <w:t xml:space="preserve">, [Online] Volume 6(1), pp. 59. </w:t>
      </w:r>
      <w:hyperlink r:id="rId17">
        <w:r>
          <w:rPr>
            <w:rFonts w:ascii="Arial" w:hAnsi="Arial" w:eastAsia="Arial" w:cs="Arial"/>
            <w:color w:val="007BFF"/>
            <w:sz w:val="24"/>
            <w:szCs w:val="24"/>
          </w:rPr>
          <w:t>https://doi.org/10.14710/dijb.6.1.2023.57-63</w:t>
        </w:r>
      </w:hyperlink>
      <w:r>
        <w:rPr>
          <w:rFonts w:ascii="Arial" w:hAnsi="Arial" w:eastAsia="Arial" w:cs="Arial"/>
          <w:color w:val="111111"/>
          <w:sz w:val="24"/>
          <w:szCs w:val="24"/>
        </w:rPr>
        <w:t xml:space="preserve"> [Accessed 15 Novembre 2023].</w:t>
      </w:r>
    </w:p>
    <w:p w:rsidR="0023599B" w:rsidRDefault="00F13535" w14:paraId="46519A9F" w14:textId="77777777">
      <w:pPr>
        <w:spacing w:line="360" w:lineRule="auto"/>
        <w:jc w:val="both"/>
        <w:rPr>
          <w:rFonts w:ascii="Arial" w:hAnsi="Arial" w:eastAsia="Arial" w:cs="Arial"/>
          <w:color w:val="111111"/>
          <w:sz w:val="24"/>
          <w:szCs w:val="24"/>
        </w:rPr>
      </w:pPr>
      <w:r>
        <w:rPr>
          <w:rFonts w:ascii="Arial" w:hAnsi="Arial" w:eastAsia="Arial" w:cs="Arial"/>
          <w:sz w:val="24"/>
          <w:szCs w:val="24"/>
        </w:rPr>
        <w:t xml:space="preserve">corporatefinanceinstitute, (2023). Balance Sheet. [Online] Available at: </w:t>
      </w:r>
      <w:hyperlink r:id="rId18">
        <w:r>
          <w:rPr>
            <w:rFonts w:ascii="Arial" w:hAnsi="Arial" w:eastAsia="Arial" w:cs="Arial"/>
            <w:color w:val="0563C1"/>
            <w:sz w:val="24"/>
            <w:szCs w:val="24"/>
            <w:u w:val="single"/>
          </w:rPr>
          <w:t>https://corporatefinanceinstitute.com/resources/accounting/balance-sheet/</w:t>
        </w:r>
      </w:hyperlink>
      <w:r>
        <w:rPr>
          <w:rFonts w:ascii="Arial" w:hAnsi="Arial" w:eastAsia="Arial" w:cs="Arial"/>
          <w:sz w:val="24"/>
          <w:szCs w:val="24"/>
        </w:rPr>
        <w:t xml:space="preserve">  </w:t>
      </w:r>
      <w:r>
        <w:rPr>
          <w:rFonts w:ascii="Arial" w:hAnsi="Arial" w:eastAsia="Arial" w:cs="Arial"/>
          <w:color w:val="111111"/>
          <w:sz w:val="24"/>
          <w:szCs w:val="24"/>
        </w:rPr>
        <w:t>[Accessed 15 Novembre 2023].</w:t>
      </w:r>
    </w:p>
    <w:p w:rsidR="0023599B" w:rsidRDefault="00F13535" w14:paraId="5561D489" w14:textId="77777777">
      <w:pPr>
        <w:spacing w:line="360" w:lineRule="auto"/>
        <w:jc w:val="both"/>
        <w:rPr>
          <w:rFonts w:ascii="Arial" w:hAnsi="Arial" w:eastAsia="Arial" w:cs="Arial"/>
          <w:color w:val="111111"/>
          <w:sz w:val="24"/>
          <w:szCs w:val="24"/>
        </w:rPr>
      </w:pPr>
      <w:r>
        <w:rPr>
          <w:rFonts w:ascii="Arial" w:hAnsi="Arial" w:eastAsia="Arial" w:cs="Arial"/>
          <w:sz w:val="24"/>
          <w:szCs w:val="24"/>
        </w:rPr>
        <w:t xml:space="preserve">zoho, (2023). Balance Sheet – Definition, Example, Formula &amp; Components. [Online] Available at: </w:t>
      </w:r>
      <w:hyperlink r:id="rId19">
        <w:r>
          <w:rPr>
            <w:rFonts w:ascii="Arial" w:hAnsi="Arial" w:eastAsia="Arial" w:cs="Arial"/>
            <w:color w:val="0563C1"/>
            <w:sz w:val="24"/>
            <w:szCs w:val="24"/>
            <w:u w:val="single"/>
          </w:rPr>
          <w:t>https://www.zoho.com/books/guides/balance-sheet.html</w:t>
        </w:r>
      </w:hyperlink>
      <w:r>
        <w:rPr>
          <w:rFonts w:ascii="Arial" w:hAnsi="Arial" w:eastAsia="Arial" w:cs="Arial"/>
          <w:sz w:val="24"/>
          <w:szCs w:val="24"/>
        </w:rPr>
        <w:t xml:space="preserve"> </w:t>
      </w:r>
      <w:r>
        <w:rPr>
          <w:rFonts w:ascii="Arial" w:hAnsi="Arial" w:eastAsia="Arial" w:cs="Arial"/>
          <w:color w:val="111111"/>
          <w:sz w:val="24"/>
          <w:szCs w:val="24"/>
        </w:rPr>
        <w:t>[Accessed 15 Novembre 2023].</w:t>
      </w:r>
    </w:p>
    <w:p w:rsidR="0023599B" w:rsidRDefault="00F13535" w14:paraId="3D6393D8" w14:textId="77777777">
      <w:pPr>
        <w:spacing w:line="360" w:lineRule="auto"/>
        <w:jc w:val="both"/>
        <w:rPr>
          <w:rFonts w:ascii="Arial" w:hAnsi="Arial" w:eastAsia="Arial" w:cs="Arial"/>
          <w:color w:val="111111"/>
          <w:sz w:val="24"/>
          <w:szCs w:val="24"/>
        </w:rPr>
      </w:pPr>
      <w:r>
        <w:rPr>
          <w:rFonts w:ascii="Arial" w:hAnsi="Arial" w:eastAsia="Arial" w:cs="Arial"/>
          <w:sz w:val="24"/>
          <w:szCs w:val="24"/>
        </w:rPr>
        <w:t xml:space="preserve">Girardin, M., (2023). What Is a Balance Sheet?. [Online] Available at: </w:t>
      </w:r>
      <w:hyperlink r:id="rId20">
        <w:r>
          <w:rPr>
            <w:rFonts w:ascii="Arial" w:hAnsi="Arial" w:eastAsia="Arial" w:cs="Arial"/>
            <w:color w:val="0563C1"/>
            <w:sz w:val="24"/>
            <w:szCs w:val="24"/>
            <w:u w:val="single"/>
          </w:rPr>
          <w:t>https://www.theforage.com/blog/skills/balance-sheet</w:t>
        </w:r>
      </w:hyperlink>
      <w:r>
        <w:rPr>
          <w:rFonts w:ascii="Arial" w:hAnsi="Arial" w:eastAsia="Arial" w:cs="Arial"/>
          <w:sz w:val="24"/>
          <w:szCs w:val="24"/>
        </w:rPr>
        <w:t xml:space="preserve"> </w:t>
      </w:r>
      <w:r>
        <w:rPr>
          <w:rFonts w:ascii="Arial" w:hAnsi="Arial" w:eastAsia="Arial" w:cs="Arial"/>
          <w:color w:val="111111"/>
          <w:sz w:val="24"/>
          <w:szCs w:val="24"/>
        </w:rPr>
        <w:t>[Accessed 15 Novembre 2023].</w:t>
      </w:r>
    </w:p>
    <w:p w:rsidR="0023599B" w:rsidRDefault="00F13535" w14:paraId="48DE9732" w14:textId="77777777">
      <w:pPr>
        <w:spacing w:line="360" w:lineRule="auto"/>
        <w:jc w:val="both"/>
        <w:rPr>
          <w:rFonts w:ascii="Arial" w:hAnsi="Arial" w:eastAsia="Arial" w:cs="Arial"/>
          <w:color w:val="111111"/>
          <w:sz w:val="24"/>
          <w:szCs w:val="24"/>
        </w:rPr>
      </w:pPr>
      <w:r>
        <w:rPr>
          <w:rFonts w:ascii="Arial" w:hAnsi="Arial" w:eastAsia="Arial" w:cs="Arial"/>
          <w:color w:val="222222"/>
          <w:sz w:val="24"/>
          <w:szCs w:val="24"/>
        </w:rPr>
        <w:t>Naomi, I.W., 2023. Debt Financing and Financial Performance of Manufacturing Firms in Kenya. African Journal of Commercial Studies. </w:t>
      </w:r>
      <w:r>
        <w:rPr>
          <w:rFonts w:ascii="Arial" w:hAnsi="Arial" w:eastAsia="Arial" w:cs="Arial"/>
          <w:i/>
          <w:color w:val="222222"/>
          <w:sz w:val="24"/>
          <w:szCs w:val="24"/>
        </w:rPr>
        <w:t>African Journal of Commercial Studies</w:t>
      </w:r>
      <w:r>
        <w:rPr>
          <w:rFonts w:ascii="Arial" w:hAnsi="Arial" w:eastAsia="Arial" w:cs="Arial"/>
          <w:color w:val="222222"/>
          <w:sz w:val="24"/>
          <w:szCs w:val="24"/>
        </w:rPr>
        <w:t>, </w:t>
      </w:r>
      <w:r>
        <w:rPr>
          <w:rFonts w:ascii="Arial" w:hAnsi="Arial" w:eastAsia="Arial" w:cs="Arial"/>
          <w:i/>
          <w:color w:val="222222"/>
          <w:sz w:val="24"/>
          <w:szCs w:val="24"/>
        </w:rPr>
        <w:t>3</w:t>
      </w:r>
      <w:r>
        <w:rPr>
          <w:rFonts w:ascii="Arial" w:hAnsi="Arial" w:eastAsia="Arial" w:cs="Arial"/>
          <w:color w:val="222222"/>
          <w:sz w:val="24"/>
          <w:szCs w:val="24"/>
        </w:rPr>
        <w:t xml:space="preserve">(2), pp.86-95 [Online] Available at </w:t>
      </w:r>
      <w:hyperlink r:id="rId21">
        <w:r>
          <w:rPr>
            <w:rFonts w:ascii="Arial" w:hAnsi="Arial" w:eastAsia="Arial" w:cs="Arial"/>
            <w:color w:val="0563C1"/>
            <w:sz w:val="24"/>
            <w:szCs w:val="24"/>
            <w:u w:val="single"/>
          </w:rPr>
          <w:t>https://ijcsacademia.com/index.php/journal/article/view/19</w:t>
        </w:r>
      </w:hyperlink>
      <w:r>
        <w:rPr>
          <w:rFonts w:ascii="Arial" w:hAnsi="Arial" w:eastAsia="Arial" w:cs="Arial"/>
          <w:color w:val="222222"/>
          <w:sz w:val="24"/>
          <w:szCs w:val="24"/>
        </w:rPr>
        <w:t xml:space="preserve"> </w:t>
      </w:r>
      <w:r>
        <w:rPr>
          <w:rFonts w:ascii="Arial" w:hAnsi="Arial" w:eastAsia="Arial" w:cs="Arial"/>
          <w:color w:val="111111"/>
          <w:sz w:val="24"/>
          <w:szCs w:val="24"/>
        </w:rPr>
        <w:t>[Accessed 15 Novembre 2023].</w:t>
      </w:r>
    </w:p>
    <w:p w:rsidR="0023599B" w:rsidRDefault="00F13535" w14:paraId="175125B1" w14:textId="77777777">
      <w:pPr>
        <w:spacing w:line="360" w:lineRule="auto"/>
        <w:jc w:val="both"/>
        <w:rPr>
          <w:rFonts w:ascii="Arial" w:hAnsi="Arial" w:eastAsia="Arial" w:cs="Arial"/>
          <w:color w:val="111111"/>
          <w:sz w:val="24"/>
          <w:szCs w:val="24"/>
        </w:rPr>
      </w:pPr>
      <w:r>
        <w:rPr>
          <w:rFonts w:ascii="Arial" w:hAnsi="Arial" w:eastAsia="Arial" w:cs="Arial"/>
          <w:color w:val="222222"/>
          <w:sz w:val="24"/>
          <w:szCs w:val="24"/>
        </w:rPr>
        <w:t>Du, S., Peng, X., Nie, T. and Zhu, Y., 2023. Information disclosure and pricing for services with congestion: Extension vs. encroachment. </w:t>
      </w:r>
      <w:r>
        <w:rPr>
          <w:rFonts w:ascii="Arial" w:hAnsi="Arial" w:eastAsia="Arial" w:cs="Arial"/>
          <w:i/>
          <w:color w:val="222222"/>
          <w:sz w:val="24"/>
          <w:szCs w:val="24"/>
        </w:rPr>
        <w:t>Decision Support Systems</w:t>
      </w:r>
      <w:r>
        <w:rPr>
          <w:rFonts w:ascii="Arial" w:hAnsi="Arial" w:eastAsia="Arial" w:cs="Arial"/>
          <w:color w:val="222222"/>
          <w:sz w:val="24"/>
          <w:szCs w:val="24"/>
        </w:rPr>
        <w:t xml:space="preserve">, p.114064. [Online] Available at: </w:t>
      </w:r>
      <w:hyperlink r:id="rId22">
        <w:r>
          <w:rPr>
            <w:rFonts w:ascii="Arial" w:hAnsi="Arial" w:eastAsia="Arial" w:cs="Arial"/>
            <w:color w:val="0563C1"/>
            <w:sz w:val="24"/>
            <w:szCs w:val="24"/>
            <w:u w:val="single"/>
          </w:rPr>
          <w:t>https://www.sciencedirect.com/science/article/abs/pii/S0167923623001392?dgcid=rss_sd_all</w:t>
        </w:r>
      </w:hyperlink>
      <w:r>
        <w:rPr>
          <w:rFonts w:ascii="Arial" w:hAnsi="Arial" w:eastAsia="Arial" w:cs="Arial"/>
          <w:color w:val="222222"/>
          <w:sz w:val="24"/>
          <w:szCs w:val="24"/>
        </w:rPr>
        <w:t xml:space="preserve"> </w:t>
      </w:r>
      <w:r>
        <w:rPr>
          <w:rFonts w:ascii="Arial" w:hAnsi="Arial" w:eastAsia="Arial" w:cs="Arial"/>
          <w:color w:val="111111"/>
          <w:sz w:val="24"/>
          <w:szCs w:val="24"/>
        </w:rPr>
        <w:t>[Accessed 15 Novembre 2023].</w:t>
      </w:r>
    </w:p>
    <w:p w:rsidR="0023599B" w:rsidRDefault="00F13535" w14:paraId="4EDFAF79"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Jegan Joseph Jerome, J., Sonwaney, V., Bryde, D. and Graham, G., 2023. Achieving competitive advantage through technology-driven proactive supply chain risk management: an empirical study. </w:t>
      </w:r>
      <w:r>
        <w:rPr>
          <w:rFonts w:ascii="Arial" w:hAnsi="Arial" w:eastAsia="Arial" w:cs="Arial"/>
          <w:i/>
          <w:color w:val="222222"/>
          <w:sz w:val="24"/>
          <w:szCs w:val="24"/>
        </w:rPr>
        <w:t>Annals of Operations Research</w:t>
      </w:r>
      <w:r>
        <w:rPr>
          <w:rFonts w:ascii="Arial" w:hAnsi="Arial" w:eastAsia="Arial" w:cs="Arial"/>
          <w:color w:val="222222"/>
          <w:sz w:val="24"/>
          <w:szCs w:val="24"/>
        </w:rPr>
        <w:t xml:space="preserve">, pp.1-42 [Online] Available at </w:t>
      </w:r>
      <w:hyperlink r:id="rId23">
        <w:r>
          <w:rPr>
            <w:rFonts w:ascii="Arial" w:hAnsi="Arial" w:eastAsia="Arial" w:cs="Arial"/>
            <w:color w:val="0563C1"/>
            <w:sz w:val="24"/>
            <w:szCs w:val="24"/>
            <w:u w:val="single"/>
          </w:rPr>
          <w:t>https://link.springer.com/article/10.1007/s10479-023-05604-y</w:t>
        </w:r>
      </w:hyperlink>
      <w:r>
        <w:rPr>
          <w:rFonts w:ascii="Arial" w:hAnsi="Arial" w:eastAsia="Arial" w:cs="Arial"/>
          <w:color w:val="222222"/>
          <w:sz w:val="24"/>
          <w:szCs w:val="24"/>
        </w:rPr>
        <w:t xml:space="preserve"> [Accessed 15 Novembre 2023]</w:t>
      </w:r>
    </w:p>
    <w:p w:rsidR="0023599B" w:rsidRDefault="00F13535" w14:paraId="523418B3"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Noor, M.S., Handani, N.D. and Kim, H.S., 2023. Exploring user generated content for beach resorts in Cox’s Bazar, Bangladesh: A pre-and post-pandemic analysis. </w:t>
      </w:r>
      <w:r>
        <w:rPr>
          <w:rFonts w:ascii="Arial" w:hAnsi="Arial" w:eastAsia="Arial" w:cs="Arial"/>
          <w:i/>
          <w:color w:val="222222"/>
          <w:sz w:val="24"/>
          <w:szCs w:val="24"/>
        </w:rPr>
        <w:t>Environment and Social Psychology</w:t>
      </w:r>
      <w:r>
        <w:rPr>
          <w:rFonts w:ascii="Arial" w:hAnsi="Arial" w:eastAsia="Arial" w:cs="Arial"/>
          <w:color w:val="222222"/>
          <w:sz w:val="24"/>
          <w:szCs w:val="24"/>
        </w:rPr>
        <w:t>, </w:t>
      </w:r>
      <w:r>
        <w:rPr>
          <w:rFonts w:ascii="Arial" w:hAnsi="Arial" w:eastAsia="Arial" w:cs="Arial"/>
          <w:i/>
          <w:color w:val="222222"/>
          <w:sz w:val="24"/>
          <w:szCs w:val="24"/>
        </w:rPr>
        <w:t>8</w:t>
      </w:r>
      <w:r>
        <w:rPr>
          <w:rFonts w:ascii="Arial" w:hAnsi="Arial" w:eastAsia="Arial" w:cs="Arial"/>
          <w:color w:val="222222"/>
          <w:sz w:val="24"/>
          <w:szCs w:val="24"/>
        </w:rPr>
        <w:t xml:space="preserve">(2). [Online] available at: </w:t>
      </w:r>
      <w:hyperlink r:id="rId24">
        <w:r>
          <w:rPr>
            <w:rFonts w:ascii="Arial" w:hAnsi="Arial" w:eastAsia="Arial" w:cs="Arial"/>
            <w:color w:val="0563C1"/>
            <w:sz w:val="24"/>
            <w:szCs w:val="24"/>
            <w:u w:val="single"/>
          </w:rPr>
          <w:t>https://scholar.google.com/scholar?hl=en&amp;as_sdt=0%2C5&amp;q=Noor%2C+M.S.%2C+Handani%2C+N.D.+and+Kim%2C+H.S.%2C+2023.+Exploring+user+generated+content+for+beach+resorts+in+Cox%E2%80%99s+Bazar%2C+Bangladesh%3A+A+pre-and+post-pandemic+analysis.%E2%80%AFEnvironment+and+Social+Psychology%2C%E2%80%AF8%282%29.+&amp;btnG=</w:t>
        </w:r>
      </w:hyperlink>
      <w:r>
        <w:rPr>
          <w:rFonts w:ascii="Arial" w:hAnsi="Arial" w:eastAsia="Arial" w:cs="Arial"/>
          <w:color w:val="222222"/>
          <w:sz w:val="24"/>
          <w:szCs w:val="24"/>
        </w:rPr>
        <w:t xml:space="preserve"> [Accessed 15 November 2023]</w:t>
      </w:r>
    </w:p>
    <w:p w:rsidR="0023599B" w:rsidRDefault="00F13535" w14:paraId="08387176" w14:textId="77777777">
      <w:pPr>
        <w:spacing w:line="360" w:lineRule="auto"/>
        <w:jc w:val="both"/>
        <w:rPr>
          <w:rFonts w:ascii="Arial" w:hAnsi="Arial" w:eastAsia="Arial" w:cs="Arial"/>
          <w:color w:val="000000"/>
          <w:sz w:val="24"/>
          <w:szCs w:val="24"/>
        </w:rPr>
      </w:pPr>
      <w:r>
        <w:rPr>
          <w:rFonts w:ascii="Arial" w:hAnsi="Arial" w:eastAsia="Arial" w:cs="Arial"/>
          <w:color w:val="000000"/>
          <w:sz w:val="24"/>
          <w:szCs w:val="24"/>
        </w:rPr>
        <w:t>Hosseinzadeh Shahri, M. and Nematollahi Sarvestani, M., 2020. Business model innovation as a turnaround strategy. </w:t>
      </w:r>
      <w:r>
        <w:rPr>
          <w:rFonts w:ascii="Arial" w:hAnsi="Arial" w:eastAsia="Arial" w:cs="Arial"/>
          <w:i/>
          <w:color w:val="000000"/>
          <w:sz w:val="24"/>
          <w:szCs w:val="24"/>
        </w:rPr>
        <w:t>Journal of Strategy and Management</w:t>
      </w:r>
      <w:r>
        <w:rPr>
          <w:rFonts w:ascii="Arial" w:hAnsi="Arial" w:eastAsia="Arial" w:cs="Arial"/>
          <w:color w:val="000000"/>
          <w:sz w:val="24"/>
          <w:szCs w:val="24"/>
        </w:rPr>
        <w:t>, </w:t>
      </w:r>
      <w:r>
        <w:rPr>
          <w:rFonts w:ascii="Arial" w:hAnsi="Arial" w:eastAsia="Arial" w:cs="Arial"/>
          <w:i/>
          <w:color w:val="000000"/>
          <w:sz w:val="24"/>
          <w:szCs w:val="24"/>
        </w:rPr>
        <w:t>13</w:t>
      </w:r>
      <w:r>
        <w:rPr>
          <w:rFonts w:ascii="Arial" w:hAnsi="Arial" w:eastAsia="Arial" w:cs="Arial"/>
          <w:color w:val="000000"/>
          <w:sz w:val="24"/>
          <w:szCs w:val="24"/>
        </w:rPr>
        <w:t xml:space="preserve">(2), pp.241-253. [Online] available at: </w:t>
      </w:r>
      <w:hyperlink r:id="rId25">
        <w:r>
          <w:rPr>
            <w:rFonts w:ascii="Arial" w:hAnsi="Arial" w:eastAsia="Arial" w:cs="Arial"/>
            <w:color w:val="0563C1"/>
            <w:sz w:val="24"/>
            <w:szCs w:val="24"/>
            <w:u w:val="single"/>
          </w:rPr>
          <w:t>https://www.emerald.com/insight/content/doi/10.1108/JSMA-08-2019-0154/full/html</w:t>
        </w:r>
      </w:hyperlink>
      <w:r>
        <w:rPr>
          <w:rFonts w:ascii="Arial" w:hAnsi="Arial" w:eastAsia="Arial" w:cs="Arial"/>
          <w:color w:val="000000"/>
          <w:sz w:val="24"/>
          <w:szCs w:val="24"/>
        </w:rPr>
        <w:t xml:space="preserve"> [Accessed 15 November2023] </w:t>
      </w:r>
    </w:p>
    <w:p w:rsidR="0023599B" w:rsidRDefault="00F13535" w14:paraId="0DC92926"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Setiawan, C.A. and Rosa, T., 2023. The Analysis of The Effect of Return of Investment (ROI) on Stock Price and Financial Performance of a Company. </w:t>
      </w:r>
      <w:r>
        <w:rPr>
          <w:rFonts w:ascii="Arial" w:hAnsi="Arial" w:eastAsia="Arial" w:cs="Arial"/>
          <w:i/>
          <w:color w:val="222222"/>
          <w:sz w:val="24"/>
          <w:szCs w:val="24"/>
        </w:rPr>
        <w:t>Journal of Accounting, Management, Economics, and Business (ANALYSIS)</w:t>
      </w:r>
      <w:r>
        <w:rPr>
          <w:rFonts w:ascii="Arial" w:hAnsi="Arial" w:eastAsia="Arial" w:cs="Arial"/>
          <w:color w:val="222222"/>
          <w:sz w:val="24"/>
          <w:szCs w:val="24"/>
        </w:rPr>
        <w:t>, </w:t>
      </w:r>
      <w:r>
        <w:rPr>
          <w:rFonts w:ascii="Arial" w:hAnsi="Arial" w:eastAsia="Arial" w:cs="Arial"/>
          <w:i/>
          <w:color w:val="222222"/>
          <w:sz w:val="24"/>
          <w:szCs w:val="24"/>
        </w:rPr>
        <w:t>1</w:t>
      </w:r>
      <w:r>
        <w:rPr>
          <w:rFonts w:ascii="Arial" w:hAnsi="Arial" w:eastAsia="Arial" w:cs="Arial"/>
          <w:color w:val="222222"/>
          <w:sz w:val="24"/>
          <w:szCs w:val="24"/>
        </w:rPr>
        <w:t xml:space="preserve">(1), pp.20-29. [Online] available at: </w:t>
      </w:r>
      <w:hyperlink r:id="rId26">
        <w:r>
          <w:rPr>
            <w:rFonts w:ascii="Arial" w:hAnsi="Arial" w:eastAsia="Arial" w:cs="Arial"/>
            <w:color w:val="0563C1"/>
            <w:sz w:val="24"/>
            <w:szCs w:val="24"/>
            <w:u w:val="single"/>
          </w:rPr>
          <w:t>https://journals.eduped.org/index.php/analysis/article/view/177</w:t>
        </w:r>
      </w:hyperlink>
      <w:r>
        <w:rPr>
          <w:rFonts w:ascii="Arial" w:hAnsi="Arial" w:eastAsia="Arial" w:cs="Arial"/>
          <w:color w:val="222222"/>
          <w:sz w:val="24"/>
          <w:szCs w:val="24"/>
        </w:rPr>
        <w:t xml:space="preserve"> [Accessed 15 November 2023]</w:t>
      </w:r>
    </w:p>
    <w:p w:rsidR="0023599B" w:rsidRDefault="00F13535" w14:paraId="79F07135"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Jaya, I.G.T.Y.P., Pitanatri, P.D.S. and Suastini, N.M., 2023. How room rates drive occupancy: A case study from The Laguna, a Luxury Collection Resort &amp; Spa, Nusa Dua. </w:t>
      </w:r>
      <w:r>
        <w:rPr>
          <w:rFonts w:ascii="Arial" w:hAnsi="Arial" w:eastAsia="Arial" w:cs="Arial"/>
          <w:i/>
          <w:color w:val="222222"/>
          <w:sz w:val="24"/>
          <w:szCs w:val="24"/>
        </w:rPr>
        <w:t>JOURNAL OF TOURISM, CULINARY AND ENTREPRENEURSHIP (JTCE)</w:t>
      </w:r>
      <w:r>
        <w:rPr>
          <w:rFonts w:ascii="Arial" w:hAnsi="Arial" w:eastAsia="Arial" w:cs="Arial"/>
          <w:color w:val="222222"/>
          <w:sz w:val="24"/>
          <w:szCs w:val="24"/>
        </w:rPr>
        <w:t>, </w:t>
      </w:r>
      <w:r>
        <w:rPr>
          <w:rFonts w:ascii="Arial" w:hAnsi="Arial" w:eastAsia="Arial" w:cs="Arial"/>
          <w:i/>
          <w:color w:val="222222"/>
          <w:sz w:val="24"/>
          <w:szCs w:val="24"/>
        </w:rPr>
        <w:t>3</w:t>
      </w:r>
      <w:r>
        <w:rPr>
          <w:rFonts w:ascii="Arial" w:hAnsi="Arial" w:eastAsia="Arial" w:cs="Arial"/>
          <w:color w:val="222222"/>
          <w:sz w:val="24"/>
          <w:szCs w:val="24"/>
        </w:rPr>
        <w:t xml:space="preserve">(2). [Online] available at: </w:t>
      </w:r>
      <w:hyperlink r:id="rId27">
        <w:r>
          <w:rPr>
            <w:rFonts w:ascii="Arial" w:hAnsi="Arial" w:eastAsia="Arial" w:cs="Arial"/>
            <w:color w:val="0563C1"/>
            <w:sz w:val="24"/>
            <w:szCs w:val="24"/>
            <w:u w:val="single"/>
          </w:rPr>
          <w:t>https://journal.uc.ac.id/index.php/JTCE/article/view/4089</w:t>
        </w:r>
      </w:hyperlink>
      <w:r>
        <w:rPr>
          <w:rFonts w:ascii="Arial" w:hAnsi="Arial" w:eastAsia="Arial" w:cs="Arial"/>
          <w:color w:val="222222"/>
          <w:sz w:val="24"/>
          <w:szCs w:val="24"/>
        </w:rPr>
        <w:t xml:space="preserve"> [Accessed 15 November2023]</w:t>
      </w:r>
    </w:p>
    <w:p w:rsidR="0023599B" w:rsidRDefault="00F13535" w14:paraId="7F7F4442"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 xml:space="preserve">Thomas, D., 2023. Universities as tourism destinations, attractions, and generators: the relationship between university students and VFR tourism. [Online] available at: </w:t>
      </w:r>
      <w:hyperlink r:id="rId28">
        <w:r>
          <w:rPr>
            <w:rFonts w:ascii="Arial" w:hAnsi="Arial" w:eastAsia="Arial" w:cs="Arial"/>
            <w:color w:val="0563C1"/>
            <w:sz w:val="24"/>
            <w:szCs w:val="24"/>
            <w:u w:val="single"/>
          </w:rPr>
          <w:t>https://ir.canterbury.ac.nz/items/59936f3a-ed48-4d36-b640-9b5d1d895b90</w:t>
        </w:r>
      </w:hyperlink>
      <w:r>
        <w:rPr>
          <w:rFonts w:ascii="Arial" w:hAnsi="Arial" w:eastAsia="Arial" w:cs="Arial"/>
          <w:color w:val="222222"/>
          <w:sz w:val="24"/>
          <w:szCs w:val="24"/>
        </w:rPr>
        <w:t xml:space="preserve"> [Accessed 15 November 2023]</w:t>
      </w:r>
    </w:p>
    <w:p w:rsidR="0023599B" w:rsidRDefault="00F13535" w14:paraId="4D4A9394"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 xml:space="preserve">Stergenakis, T.S., 2023. Business plan for AIRBNB in the Greek island of Rhodes. [Online] available at: </w:t>
      </w:r>
      <w:hyperlink r:id="rId29">
        <w:r>
          <w:rPr>
            <w:rFonts w:ascii="Arial" w:hAnsi="Arial" w:eastAsia="Arial" w:cs="Arial"/>
            <w:color w:val="0563C1"/>
            <w:sz w:val="24"/>
            <w:szCs w:val="24"/>
            <w:u w:val="single"/>
          </w:rPr>
          <w:t>https://repository.ihu.edu.gr/xmlui/handle/11544/30243</w:t>
        </w:r>
      </w:hyperlink>
      <w:r>
        <w:rPr>
          <w:rFonts w:ascii="Arial" w:hAnsi="Arial" w:eastAsia="Arial" w:cs="Arial"/>
          <w:color w:val="222222"/>
          <w:sz w:val="24"/>
          <w:szCs w:val="24"/>
        </w:rPr>
        <w:t xml:space="preserve"> [Accessed 15 November 2023]</w:t>
      </w:r>
    </w:p>
    <w:p w:rsidR="0023599B" w:rsidRDefault="00F13535" w14:paraId="38739A53"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Lybbert, T.J., Shenoy, A., Bourdier, T. and Kieran, C., 2023. Striving to revive pulses in India with extension, input subsidies, and output price supports. </w:t>
      </w:r>
      <w:r>
        <w:rPr>
          <w:rFonts w:ascii="Arial" w:hAnsi="Arial" w:eastAsia="Arial" w:cs="Arial"/>
          <w:i/>
          <w:color w:val="222222"/>
          <w:sz w:val="24"/>
          <w:szCs w:val="24"/>
        </w:rPr>
        <w:t xml:space="preserve">American Journal of Agricultural Economics. </w:t>
      </w:r>
      <w:r>
        <w:rPr>
          <w:rFonts w:ascii="Arial" w:hAnsi="Arial" w:eastAsia="Arial" w:cs="Arial"/>
          <w:color w:val="222222"/>
          <w:sz w:val="24"/>
          <w:szCs w:val="24"/>
        </w:rPr>
        <w:t xml:space="preserve">[Online] available at: </w:t>
      </w:r>
      <w:hyperlink r:id="rId30">
        <w:r>
          <w:rPr>
            <w:rFonts w:ascii="Arial" w:hAnsi="Arial" w:eastAsia="Arial" w:cs="Arial"/>
            <w:color w:val="0563C1"/>
            <w:sz w:val="24"/>
            <w:szCs w:val="24"/>
            <w:u w:val="single"/>
          </w:rPr>
          <w:t>https://onlinelibrary.wiley.com/doi/full/10.1111/ajae.12435</w:t>
        </w:r>
      </w:hyperlink>
      <w:r>
        <w:rPr>
          <w:rFonts w:ascii="Arial" w:hAnsi="Arial" w:eastAsia="Arial" w:cs="Arial"/>
          <w:color w:val="222222"/>
          <w:sz w:val="24"/>
          <w:szCs w:val="24"/>
        </w:rPr>
        <w:t xml:space="preserve"> [Accessed 15 November 2023]</w:t>
      </w:r>
    </w:p>
    <w:p w:rsidR="0023599B" w:rsidRDefault="00F13535" w14:paraId="7390F577"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Brito, M. and Silveira, L., 2023. Blue planning–a planning model for the development of Blue Tourism in Blue Spaces. </w:t>
      </w:r>
      <w:r>
        <w:rPr>
          <w:rFonts w:ascii="Arial" w:hAnsi="Arial" w:eastAsia="Arial" w:cs="Arial"/>
          <w:i/>
          <w:color w:val="222222"/>
          <w:sz w:val="24"/>
          <w:szCs w:val="24"/>
        </w:rPr>
        <w:t>Tourism Recreation Research</w:t>
      </w:r>
      <w:r>
        <w:rPr>
          <w:rFonts w:ascii="Arial" w:hAnsi="Arial" w:eastAsia="Arial" w:cs="Arial"/>
          <w:color w:val="222222"/>
          <w:sz w:val="24"/>
          <w:szCs w:val="24"/>
        </w:rPr>
        <w:t xml:space="preserve">, pp.1-21. [Online] available at: </w:t>
      </w:r>
      <w:hyperlink r:id="rId31">
        <w:r>
          <w:rPr>
            <w:rFonts w:ascii="Arial" w:hAnsi="Arial" w:eastAsia="Arial" w:cs="Arial"/>
            <w:color w:val="0563C1"/>
            <w:sz w:val="24"/>
            <w:szCs w:val="24"/>
            <w:u w:val="single"/>
          </w:rPr>
          <w:t>https://www.tandfonline.com/doi/full/10.1080/02508281.2023.2167909</w:t>
        </w:r>
      </w:hyperlink>
      <w:r>
        <w:rPr>
          <w:rFonts w:ascii="Arial" w:hAnsi="Arial" w:eastAsia="Arial" w:cs="Arial"/>
          <w:color w:val="222222"/>
          <w:sz w:val="24"/>
          <w:szCs w:val="24"/>
        </w:rPr>
        <w:t xml:space="preserve"> [Accessed 15 November 2023]</w:t>
      </w:r>
    </w:p>
    <w:p w:rsidR="0023599B" w:rsidRDefault="00F13535" w14:paraId="5A06B9FC"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Noor, M.S., Handani, N.D. and Kim, H.S., 2023. Exploring user generated content for beach resorts in Cox’s Bazar, Bangladesh: A pre-and post-pandemic analysis. </w:t>
      </w:r>
      <w:r>
        <w:rPr>
          <w:rFonts w:ascii="Arial" w:hAnsi="Arial" w:eastAsia="Arial" w:cs="Arial"/>
          <w:i/>
          <w:color w:val="222222"/>
          <w:sz w:val="24"/>
          <w:szCs w:val="24"/>
        </w:rPr>
        <w:t>Environment and Social Psychology</w:t>
      </w:r>
      <w:r>
        <w:rPr>
          <w:rFonts w:ascii="Arial" w:hAnsi="Arial" w:eastAsia="Arial" w:cs="Arial"/>
          <w:color w:val="222222"/>
          <w:sz w:val="24"/>
          <w:szCs w:val="24"/>
        </w:rPr>
        <w:t>, </w:t>
      </w:r>
      <w:r>
        <w:rPr>
          <w:rFonts w:ascii="Arial" w:hAnsi="Arial" w:eastAsia="Arial" w:cs="Arial"/>
          <w:i/>
          <w:color w:val="222222"/>
          <w:sz w:val="24"/>
          <w:szCs w:val="24"/>
        </w:rPr>
        <w:t>8</w:t>
      </w:r>
      <w:r>
        <w:rPr>
          <w:rFonts w:ascii="Arial" w:hAnsi="Arial" w:eastAsia="Arial" w:cs="Arial"/>
          <w:color w:val="222222"/>
          <w:sz w:val="24"/>
          <w:szCs w:val="24"/>
        </w:rPr>
        <w:t>(2).</w:t>
      </w:r>
    </w:p>
    <w:p w:rsidR="0023599B" w:rsidRDefault="00F13535" w14:paraId="6096E3B3" w14:textId="77777777">
      <w:pPr>
        <w:spacing w:line="360" w:lineRule="auto"/>
        <w:jc w:val="both"/>
        <w:rPr>
          <w:rFonts w:ascii="Arial" w:hAnsi="Arial" w:eastAsia="Arial" w:cs="Arial"/>
          <w:color w:val="222222"/>
          <w:sz w:val="24"/>
          <w:szCs w:val="24"/>
        </w:rPr>
      </w:pPr>
      <w:r>
        <w:rPr>
          <w:rFonts w:ascii="Arial" w:hAnsi="Arial" w:eastAsia="Arial" w:cs="Arial"/>
          <w:color w:val="222222"/>
          <w:sz w:val="24"/>
          <w:szCs w:val="24"/>
        </w:rPr>
        <w:t xml:space="preserve">Karamoy, H. and Tulung, J.E., 2020. The effect of financial performance and corporate governance to stock price in non-bank financial industry. </w:t>
      </w:r>
      <w:r>
        <w:rPr>
          <w:rFonts w:ascii="Arial" w:hAnsi="Arial" w:eastAsia="Arial" w:cs="Arial"/>
          <w:i/>
          <w:color w:val="222222"/>
          <w:sz w:val="24"/>
          <w:szCs w:val="24"/>
        </w:rPr>
        <w:t>Corporate Ownership &amp; Control</w:t>
      </w:r>
      <w:r>
        <w:rPr>
          <w:rFonts w:ascii="Arial" w:hAnsi="Arial" w:eastAsia="Arial" w:cs="Arial"/>
          <w:color w:val="222222"/>
          <w:sz w:val="24"/>
          <w:szCs w:val="24"/>
        </w:rPr>
        <w:t xml:space="preserve">, </w:t>
      </w:r>
      <w:r>
        <w:rPr>
          <w:rFonts w:ascii="Arial" w:hAnsi="Arial" w:eastAsia="Arial" w:cs="Arial"/>
          <w:i/>
          <w:color w:val="222222"/>
          <w:sz w:val="24"/>
          <w:szCs w:val="24"/>
        </w:rPr>
        <w:t>17</w:t>
      </w:r>
      <w:r>
        <w:rPr>
          <w:rFonts w:ascii="Arial" w:hAnsi="Arial" w:eastAsia="Arial" w:cs="Arial"/>
          <w:color w:val="222222"/>
          <w:sz w:val="24"/>
          <w:szCs w:val="24"/>
        </w:rPr>
        <w:t xml:space="preserve">(2). [Online] available at: </w:t>
      </w:r>
      <w:hyperlink r:id="rId32">
        <w:r>
          <w:rPr>
            <w:rFonts w:ascii="Arial" w:hAnsi="Arial" w:eastAsia="Arial" w:cs="Arial"/>
            <w:color w:val="0563C1"/>
            <w:sz w:val="24"/>
            <w:szCs w:val="24"/>
            <w:u w:val="single"/>
          </w:rPr>
          <w:t>https://papers.ssrn.com/sol3/papers.cfm?abstract_id=3542011</w:t>
        </w:r>
      </w:hyperlink>
      <w:r>
        <w:rPr>
          <w:rFonts w:ascii="Arial" w:hAnsi="Arial" w:eastAsia="Arial" w:cs="Arial"/>
          <w:color w:val="222222"/>
          <w:sz w:val="24"/>
          <w:szCs w:val="24"/>
        </w:rPr>
        <w:t xml:space="preserve"> [Accessed 15 November 2023]</w:t>
      </w:r>
    </w:p>
    <w:p w:rsidR="0023599B" w:rsidRDefault="0023599B" w14:paraId="5B95CD12" w14:textId="77777777">
      <w:pPr>
        <w:spacing w:after="0" w:line="360" w:lineRule="auto"/>
        <w:ind w:left="720" w:hanging="720"/>
        <w:jc w:val="both"/>
        <w:rPr>
          <w:rFonts w:ascii="Arial" w:hAnsi="Arial" w:eastAsia="Arial" w:cs="Arial"/>
          <w:color w:val="222222"/>
          <w:sz w:val="24"/>
          <w:szCs w:val="24"/>
        </w:rPr>
      </w:pPr>
    </w:p>
    <w:sectPr w:rsidR="0023599B">
      <w:headerReference w:type="default" r:id="rId33"/>
      <w:footerReference w:type="default" r:id="rId34"/>
      <w:pgSz w:w="11906" w:h="16838" w:orient="portrait"/>
      <w:pgMar w:top="1440" w:right="1440" w:bottom="1440" w:left="144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13535" w:rsidRDefault="00F13535" w14:paraId="77A52294" w14:textId="77777777">
      <w:pPr>
        <w:spacing w:after="0" w:line="240" w:lineRule="auto"/>
      </w:pPr>
      <w:r>
        <w:separator/>
      </w:r>
    </w:p>
  </w:endnote>
  <w:endnote w:type="continuationSeparator" w:id="0">
    <w:p w:rsidR="00F13535" w:rsidRDefault="00F13535" w14:paraId="007DCDA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599B" w:rsidRDefault="0023599B" w14:paraId="5220BBB2" w14:textId="77777777">
    <w:pPr>
      <w:widowControl w:val="0"/>
      <w:pBdr>
        <w:top w:val="nil"/>
        <w:left w:val="nil"/>
        <w:bottom w:val="nil"/>
        <w:right w:val="nil"/>
        <w:between w:val="nil"/>
      </w:pBdr>
      <w:spacing w:after="0" w:line="276" w:lineRule="auto"/>
      <w:rPr>
        <w:color w:val="000000"/>
      </w:rPr>
    </w:pPr>
  </w:p>
  <w:tbl>
    <w:tblPr>
      <w:tblStyle w:val="a4"/>
      <w:tblW w:w="901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firstRow="0" w:lastRow="0" w:firstColumn="0" w:lastColumn="0" w:noHBand="1" w:noVBand="1"/>
    </w:tblPr>
    <w:tblGrid>
      <w:gridCol w:w="3005"/>
      <w:gridCol w:w="3005"/>
      <w:gridCol w:w="3005"/>
    </w:tblGrid>
    <w:tr w:rsidR="0023599B" w14:paraId="649841BE" w14:textId="77777777">
      <w:trPr>
        <w:trHeight w:val="300"/>
      </w:trPr>
      <w:tc>
        <w:tcPr>
          <w:tcW w:w="3005" w:type="dxa"/>
        </w:tcPr>
        <w:p w:rsidR="0023599B" w:rsidRDefault="0023599B" w14:paraId="13CB595B" w14:textId="77777777">
          <w:pPr>
            <w:pBdr>
              <w:top w:val="nil"/>
              <w:left w:val="nil"/>
              <w:bottom w:val="nil"/>
              <w:right w:val="nil"/>
              <w:between w:val="nil"/>
            </w:pBdr>
            <w:tabs>
              <w:tab w:val="center" w:pos="4680"/>
              <w:tab w:val="right" w:pos="9360"/>
            </w:tabs>
            <w:spacing w:line="259" w:lineRule="auto"/>
            <w:ind w:left="-115"/>
            <w:rPr>
              <w:color w:val="000000"/>
            </w:rPr>
          </w:pPr>
        </w:p>
      </w:tc>
      <w:tc>
        <w:tcPr>
          <w:tcW w:w="3005" w:type="dxa"/>
        </w:tcPr>
        <w:p w:rsidR="0023599B" w:rsidRDefault="00F13535" w14:paraId="56B20A0C" w14:textId="77777777">
          <w:pPr>
            <w:pBdr>
              <w:top w:val="nil"/>
              <w:left w:val="nil"/>
              <w:bottom w:val="nil"/>
              <w:right w:val="nil"/>
              <w:between w:val="nil"/>
            </w:pBdr>
            <w:tabs>
              <w:tab w:val="center" w:pos="4680"/>
              <w:tab w:val="right" w:pos="9360"/>
            </w:tabs>
            <w:spacing w:line="259" w:lineRule="auto"/>
            <w:jc w:val="center"/>
            <w:rPr>
              <w:color w:val="000000"/>
            </w:rPr>
          </w:pPr>
          <w:r>
            <w:rPr>
              <w:color w:val="000000"/>
            </w:rPr>
            <w:t>1</w:t>
          </w:r>
        </w:p>
      </w:tc>
      <w:tc>
        <w:tcPr>
          <w:tcW w:w="3005" w:type="dxa"/>
        </w:tcPr>
        <w:p w:rsidR="0023599B" w:rsidRDefault="0023599B" w14:paraId="6D9C8D39" w14:textId="77777777">
          <w:pPr>
            <w:pBdr>
              <w:top w:val="nil"/>
              <w:left w:val="nil"/>
              <w:bottom w:val="nil"/>
              <w:right w:val="nil"/>
              <w:between w:val="nil"/>
            </w:pBdr>
            <w:tabs>
              <w:tab w:val="center" w:pos="4680"/>
              <w:tab w:val="right" w:pos="9360"/>
            </w:tabs>
            <w:spacing w:line="259" w:lineRule="auto"/>
            <w:ind w:right="-115"/>
            <w:jc w:val="right"/>
            <w:rPr>
              <w:color w:val="000000"/>
            </w:rPr>
          </w:pPr>
        </w:p>
      </w:tc>
    </w:tr>
  </w:tbl>
  <w:p w:rsidR="0023599B" w:rsidRDefault="0023599B" w14:paraId="675E05EE" w14:textId="77777777">
    <w:pPr>
      <w:pBdr>
        <w:top w:val="nil"/>
        <w:left w:val="nil"/>
        <w:bottom w:val="nil"/>
        <w:right w:val="nil"/>
        <w:between w:val="nil"/>
      </w:pBdr>
      <w:tabs>
        <w:tab w:val="center" w:pos="4680"/>
        <w:tab w:val="right" w:pos="9360"/>
      </w:tabs>
      <w:spacing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13535" w:rsidRDefault="00F13535" w14:paraId="450EA2D7" w14:textId="77777777">
      <w:pPr>
        <w:spacing w:after="0" w:line="240" w:lineRule="auto"/>
      </w:pPr>
      <w:r>
        <w:separator/>
      </w:r>
    </w:p>
  </w:footnote>
  <w:footnote w:type="continuationSeparator" w:id="0">
    <w:p w:rsidR="00F13535" w:rsidRDefault="00F13535" w14:paraId="3DD355C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3599B" w:rsidRDefault="0023599B" w14:paraId="2FC17F8B" w14:textId="77777777">
    <w:pPr>
      <w:widowControl w:val="0"/>
      <w:pBdr>
        <w:top w:val="nil"/>
        <w:left w:val="nil"/>
        <w:bottom w:val="nil"/>
        <w:right w:val="nil"/>
        <w:between w:val="nil"/>
      </w:pBdr>
      <w:spacing w:after="0" w:line="276" w:lineRule="auto"/>
      <w:rPr>
        <w:rFonts w:ascii="Arial" w:hAnsi="Arial" w:eastAsia="Arial" w:cs="Arial"/>
        <w:color w:val="222222"/>
        <w:sz w:val="24"/>
        <w:szCs w:val="24"/>
      </w:rPr>
    </w:pPr>
  </w:p>
  <w:tbl>
    <w:tblPr>
      <w:tblStyle w:val="a3"/>
      <w:tblW w:w="901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firstRow="0" w:lastRow="0" w:firstColumn="0" w:lastColumn="0" w:noHBand="1" w:noVBand="1"/>
    </w:tblPr>
    <w:tblGrid>
      <w:gridCol w:w="3005"/>
      <w:gridCol w:w="3005"/>
      <w:gridCol w:w="3005"/>
    </w:tblGrid>
    <w:tr w:rsidR="0023599B" w14:paraId="4B11E4B4" w14:textId="77777777">
      <w:trPr>
        <w:trHeight w:val="300"/>
      </w:trPr>
      <w:tc>
        <w:tcPr>
          <w:tcW w:w="3005" w:type="dxa"/>
        </w:tcPr>
        <w:p w:rsidR="0023599B" w:rsidRDefault="0023599B" w14:paraId="0A4F7224" w14:textId="77777777">
          <w:pPr>
            <w:pBdr>
              <w:top w:val="nil"/>
              <w:left w:val="nil"/>
              <w:bottom w:val="nil"/>
              <w:right w:val="nil"/>
              <w:between w:val="nil"/>
            </w:pBdr>
            <w:tabs>
              <w:tab w:val="center" w:pos="4680"/>
              <w:tab w:val="right" w:pos="9360"/>
            </w:tabs>
            <w:spacing w:line="259" w:lineRule="auto"/>
            <w:ind w:left="-115"/>
            <w:rPr>
              <w:color w:val="000000"/>
            </w:rPr>
          </w:pPr>
        </w:p>
      </w:tc>
      <w:tc>
        <w:tcPr>
          <w:tcW w:w="3005" w:type="dxa"/>
        </w:tcPr>
        <w:p w:rsidR="0023599B" w:rsidRDefault="0023599B" w14:paraId="5AE48A43" w14:textId="77777777">
          <w:pPr>
            <w:pBdr>
              <w:top w:val="nil"/>
              <w:left w:val="nil"/>
              <w:bottom w:val="nil"/>
              <w:right w:val="nil"/>
              <w:between w:val="nil"/>
            </w:pBdr>
            <w:tabs>
              <w:tab w:val="center" w:pos="4680"/>
              <w:tab w:val="right" w:pos="9360"/>
            </w:tabs>
            <w:spacing w:line="259" w:lineRule="auto"/>
            <w:jc w:val="center"/>
            <w:rPr>
              <w:color w:val="000000"/>
            </w:rPr>
          </w:pPr>
        </w:p>
      </w:tc>
      <w:tc>
        <w:tcPr>
          <w:tcW w:w="3005" w:type="dxa"/>
        </w:tcPr>
        <w:p w:rsidR="0023599B" w:rsidRDefault="00F13535" w14:paraId="0CD6E9FE" w14:textId="77777777">
          <w:pPr>
            <w:pBdr>
              <w:top w:val="nil"/>
              <w:left w:val="nil"/>
              <w:bottom w:val="nil"/>
              <w:right w:val="nil"/>
              <w:between w:val="nil"/>
            </w:pBdr>
            <w:tabs>
              <w:tab w:val="center" w:pos="4680"/>
              <w:tab w:val="right" w:pos="9360"/>
            </w:tabs>
            <w:spacing w:line="259" w:lineRule="auto"/>
            <w:ind w:right="-115"/>
            <w:jc w:val="right"/>
            <w:rPr>
              <w:color w:val="000000"/>
            </w:rPr>
          </w:pPr>
          <w:r>
            <w:rPr>
              <w:color w:val="000000"/>
            </w:rPr>
            <w:t xml:space="preserve">The Seaview Resort </w:t>
          </w:r>
        </w:p>
      </w:tc>
    </w:tr>
  </w:tbl>
  <w:p w:rsidR="0023599B" w:rsidRDefault="0023599B" w14:paraId="50F40DEB" w14:textId="77777777">
    <w:pPr>
      <w:pBdr>
        <w:top w:val="nil"/>
        <w:left w:val="nil"/>
        <w:bottom w:val="nil"/>
        <w:right w:val="nil"/>
        <w:between w:val="nil"/>
      </w:pBdr>
      <w:tabs>
        <w:tab w:val="center" w:pos="4680"/>
        <w:tab w:val="right" w:pos="9360"/>
      </w:tabs>
      <w:spacing w:after="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445b89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4A812D1"/>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2">
    <w:abstractNumId w:val="1"/>
  </w:num>
  <w:num w:numId="1" w16cid:durableId="103810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599B"/>
    <w:rsid w:val="0011223D"/>
    <w:rsid w:val="0023599B"/>
    <w:rsid w:val="004F1D5B"/>
    <w:rsid w:val="00F13535"/>
    <w:rsid w:val="052B728D"/>
    <w:rsid w:val="0E9A834E"/>
    <w:rsid w:val="0F9AC558"/>
    <w:rsid w:val="12346848"/>
    <w:rsid w:val="1E977EBB"/>
    <w:rsid w:val="22F0776A"/>
    <w:rsid w:val="293223F4"/>
    <w:rsid w:val="2E059517"/>
    <w:rsid w:val="2FF7FD12"/>
    <w:rsid w:val="30274F83"/>
    <w:rsid w:val="37FA9B3A"/>
    <w:rsid w:val="395A6F9F"/>
    <w:rsid w:val="50D85E35"/>
    <w:rsid w:val="5252E04E"/>
    <w:rsid w:val="646727DE"/>
    <w:rsid w:val="687847F9"/>
    <w:rsid w:val="6D601D30"/>
    <w:rsid w:val="743D107D"/>
    <w:rsid w:val="7784C71B"/>
    <w:rsid w:val="77B5717B"/>
    <w:rsid w:val="7AA3A6E1"/>
    <w:rsid w:val="7B23031A"/>
    <w:rsid w:val="7CE0A19C"/>
  </w:rsids>
  <m:mathPr>
    <m:mathFont m:val="Cambria Math"/>
    <m:brkBin m:val="before"/>
    <m:brkBinSub m:val="--"/>
    <m:smallFrac m:val="0"/>
    <m:dispDef/>
    <m:lMargin m:val="0"/>
    <m:rMargin m:val="0"/>
    <m:defJc m:val="centerGroup"/>
    <m:wrapIndent m:val="1440"/>
    <m:intLim m:val="subSup"/>
    <m:naryLim m:val="undOvr"/>
  </m:mathPr>
  <w:themeFontLang w:val=""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4F00B91"/>
  <w15:docId w15:val="{62AF5BAA-778E-E240-A5A2-35E6A9047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Calibri"/>
        <w:sz w:val="22"/>
        <w:szCs w:val="22"/>
        <w:lang w:val="en"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itlu1">
    <w:name w:val="heading 1"/>
    <w:basedOn w:val="Normal"/>
    <w:next w:val="Normal"/>
    <w:uiPriority w:val="9"/>
    <w:qFormat/>
    <w:pPr>
      <w:keepNext/>
      <w:keepLines/>
      <w:spacing w:before="240" w:after="0"/>
      <w:outlineLvl w:val="0"/>
    </w:pPr>
    <w:rPr>
      <w:color w:val="2F5496"/>
      <w:sz w:val="32"/>
      <w:szCs w:val="32"/>
    </w:rPr>
  </w:style>
  <w:style w:type="paragraph" w:styleId="Titlu2">
    <w:name w:val="heading 2"/>
    <w:basedOn w:val="Normal"/>
    <w:next w:val="Normal"/>
    <w:uiPriority w:val="9"/>
    <w:unhideWhenUsed/>
    <w:qFormat/>
    <w:pPr>
      <w:keepNext/>
      <w:keepLines/>
      <w:spacing w:before="40" w:after="0"/>
      <w:outlineLvl w:val="1"/>
    </w:pPr>
    <w:rPr>
      <w:color w:val="2F5496"/>
      <w:sz w:val="26"/>
      <w:szCs w:val="26"/>
    </w:rPr>
  </w:style>
  <w:style w:type="paragraph" w:styleId="Titlu3">
    <w:name w:val="heading 3"/>
    <w:basedOn w:val="Normal"/>
    <w:next w:val="Normal"/>
    <w:uiPriority w:val="9"/>
    <w:unhideWhenUsed/>
    <w:qFormat/>
    <w:pPr>
      <w:keepNext/>
      <w:keepLines/>
      <w:spacing w:before="40" w:after="0"/>
      <w:outlineLvl w:val="2"/>
    </w:pPr>
    <w:rPr>
      <w:color w:val="1F3763"/>
      <w:sz w:val="24"/>
      <w:szCs w:val="24"/>
    </w:rPr>
  </w:style>
  <w:style w:type="paragraph" w:styleId="Titlu4">
    <w:name w:val="heading 4"/>
    <w:basedOn w:val="Normal"/>
    <w:next w:val="Normal"/>
    <w:uiPriority w:val="9"/>
    <w:semiHidden/>
    <w:unhideWhenUsed/>
    <w:qFormat/>
    <w:pPr>
      <w:keepNext/>
      <w:keepLines/>
      <w:spacing w:before="40" w:after="0"/>
      <w:outlineLvl w:val="3"/>
    </w:pPr>
    <w:rPr>
      <w:i/>
      <w:color w:val="2F5496"/>
    </w:rPr>
  </w:style>
  <w:style w:type="paragraph" w:styleId="Titlu5">
    <w:name w:val="heading 5"/>
    <w:basedOn w:val="Normal"/>
    <w:next w:val="Normal"/>
    <w:uiPriority w:val="9"/>
    <w:semiHidden/>
    <w:unhideWhenUsed/>
    <w:qFormat/>
    <w:pPr>
      <w:keepNext/>
      <w:keepLines/>
      <w:spacing w:before="40" w:after="0"/>
      <w:outlineLvl w:val="4"/>
    </w:pPr>
    <w:rPr>
      <w:color w:val="2F5496"/>
    </w:rPr>
  </w:style>
  <w:style w:type="paragraph" w:styleId="Titlu6">
    <w:name w:val="heading 6"/>
    <w:basedOn w:val="Normal"/>
    <w:next w:val="Normal"/>
    <w:uiPriority w:val="9"/>
    <w:semiHidden/>
    <w:unhideWhenUsed/>
    <w:qFormat/>
    <w:pPr>
      <w:keepNext/>
      <w:keepLines/>
      <w:spacing w:before="40" w:after="0"/>
      <w:outlineLvl w:val="5"/>
    </w:pPr>
    <w:rPr>
      <w:color w:val="1F3763"/>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table" w:styleId="NormalTable0" w:customStyle="1">
    <w:name w:val="Normal Table0"/>
    <w:tblPr>
      <w:tblCellMar>
        <w:top w:w="0" w:type="dxa"/>
        <w:left w:w="0" w:type="dxa"/>
        <w:bottom w:w="0" w:type="dxa"/>
        <w:right w:w="0" w:type="dxa"/>
      </w:tblCellMar>
    </w:tblPr>
  </w:style>
  <w:style w:type="paragraph" w:styleId="Titlu">
    <w:name w:val="Title"/>
    <w:basedOn w:val="Normal"/>
    <w:next w:val="Normal"/>
    <w:uiPriority w:val="10"/>
    <w:qFormat/>
    <w:pPr>
      <w:spacing w:after="0"/>
    </w:pPr>
    <w:rPr>
      <w:sz w:val="56"/>
      <w:szCs w:val="56"/>
    </w:rPr>
  </w:style>
  <w:style w:type="paragraph" w:styleId="Subtitlu">
    <w:name w:val="Subtitle"/>
    <w:basedOn w:val="Normal"/>
    <w:next w:val="Normal"/>
    <w:uiPriority w:val="11"/>
    <w:qFormat/>
    <w:rPr>
      <w:color w:val="5A5A5A"/>
    </w:rPr>
  </w:style>
  <w:style w:type="table" w:styleId="a" w:customStyle="1">
    <w:basedOn w:val="NormalTable0"/>
    <w:pPr>
      <w:spacing w:after="0" w:line="240" w:lineRule="auto"/>
    </w:pPr>
    <w:tblPr>
      <w:tblStyleRowBandSize w:val="1"/>
      <w:tblStyleColBandSize w:val="1"/>
      <w:tblCellMar>
        <w:left w:w="108" w:type="dxa"/>
        <w:right w:w="108" w:type="dxa"/>
      </w:tblCellMar>
    </w:tblPr>
  </w:style>
  <w:style w:type="table" w:styleId="a0" w:customStyle="1">
    <w:basedOn w:val="NormalTable0"/>
    <w:pPr>
      <w:spacing w:after="0" w:line="240" w:lineRule="auto"/>
    </w:pPr>
    <w:tblPr>
      <w:tblStyleRowBandSize w:val="1"/>
      <w:tblStyleColBandSize w:val="1"/>
      <w:tblCellMar>
        <w:left w:w="108" w:type="dxa"/>
        <w:right w:w="108" w:type="dxa"/>
      </w:tblCellMar>
    </w:tblPr>
  </w:style>
  <w:style w:type="table" w:styleId="a1" w:customStyle="1">
    <w:basedOn w:val="NormalTable0"/>
    <w:pPr>
      <w:spacing w:after="0" w:line="240" w:lineRule="auto"/>
    </w:pPr>
    <w:tblPr>
      <w:tblStyleRowBandSize w:val="1"/>
      <w:tblStyleColBandSize w:val="1"/>
      <w:tblCellMar>
        <w:left w:w="108" w:type="dxa"/>
        <w:right w:w="108" w:type="dxa"/>
      </w:tblCellMar>
    </w:tblPr>
  </w:style>
  <w:style w:type="table" w:styleId="a2" w:customStyle="1">
    <w:basedOn w:val="NormalTable0"/>
    <w:pPr>
      <w:spacing w:after="0" w:line="240" w:lineRule="auto"/>
    </w:pPr>
    <w:tblPr>
      <w:tblStyleRowBandSize w:val="1"/>
      <w:tblStyleColBandSize w:val="1"/>
      <w:tblCellMar>
        <w:left w:w="108" w:type="dxa"/>
        <w:right w:w="108" w:type="dxa"/>
      </w:tblCellMar>
    </w:tblPr>
  </w:style>
  <w:style w:type="table" w:styleId="a3" w:customStyle="1">
    <w:basedOn w:val="NormalTable0"/>
    <w:pPr>
      <w:spacing w:after="0" w:line="240" w:lineRule="auto"/>
    </w:pPr>
    <w:tblPr>
      <w:tblStyleRowBandSize w:val="1"/>
      <w:tblStyleColBandSize w:val="1"/>
      <w:tblCellMar>
        <w:left w:w="108" w:type="dxa"/>
        <w:right w:w="108" w:type="dxa"/>
      </w:tblCellMar>
    </w:tblPr>
  </w:style>
  <w:style w:type="table" w:styleId="a4" w:customStyle="1">
    <w:basedOn w:val="NormalTable0"/>
    <w:pPr>
      <w:spacing w:after="0" w:line="240" w:lineRule="auto"/>
    </w:pPr>
    <w:tblPr>
      <w:tblStyleRowBandSize w:val="1"/>
      <w:tblStyleColBandSize w:val="1"/>
      <w:tblCellMar>
        <w:left w:w="108"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Fontdeparagrafimplici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doi.org/10.54097/hbem.v10i.7965" TargetMode="External" Id="rId13" /><Relationship Type="http://schemas.openxmlformats.org/officeDocument/2006/relationships/hyperlink" Target="https://corporatefinanceinstitute.com/resources/accounting/balance-sheet/" TargetMode="External" Id="rId18" /><Relationship Type="http://schemas.openxmlformats.org/officeDocument/2006/relationships/hyperlink" Target="https://journals.eduped.org/index.php/analysis/article/view/177" TargetMode="External" Id="rId26" /><Relationship Type="http://schemas.openxmlformats.org/officeDocument/2006/relationships/settings" Target="settings.xml" Id="rId3" /><Relationship Type="http://schemas.openxmlformats.org/officeDocument/2006/relationships/hyperlink" Target="https://ijcsacademia.com/index.php/journal/article/view/19" TargetMode="External" Id="rId21" /><Relationship Type="http://schemas.openxmlformats.org/officeDocument/2006/relationships/footer" Target="footer1.xml" Id="rId34" /><Relationship Type="http://schemas.openxmlformats.org/officeDocument/2006/relationships/image" Target="media/image1.png" Id="rId7" /><Relationship Type="http://schemas.openxmlformats.org/officeDocument/2006/relationships/hyperlink" Target="https://doi.org/10.1016/j.tourman.2021.104301" TargetMode="External" Id="rId12" /><Relationship Type="http://schemas.openxmlformats.org/officeDocument/2006/relationships/hyperlink" Target="https://doi.org/10.14710/dijb.6.1.2023.57-63" TargetMode="External" Id="rId17" /><Relationship Type="http://schemas.openxmlformats.org/officeDocument/2006/relationships/hyperlink" Target="https://www.emerald.com/insight/content/doi/10.1108/JSMA-08-2019-0154/full/html" TargetMode="External" Id="rId25" /><Relationship Type="http://schemas.openxmlformats.org/officeDocument/2006/relationships/header" Target="header1.xml" Id="rId33" /><Relationship Type="http://schemas.openxmlformats.org/officeDocument/2006/relationships/styles" Target="styles.xml" Id="rId2" /><Relationship Type="http://schemas.openxmlformats.org/officeDocument/2006/relationships/hyperlink" Target="https://economictimes.indiatimes.com/definition/asset-turnover-ratio" TargetMode="External" Id="rId16" /><Relationship Type="http://schemas.openxmlformats.org/officeDocument/2006/relationships/hyperlink" Target="https://www.theforage.com/blog/skills/balance-sheet" TargetMode="External" Id="rId20" /><Relationship Type="http://schemas.openxmlformats.org/officeDocument/2006/relationships/hyperlink" Target="https://repository.ihu.edu.gr/xmlui/handle/11544/30243"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sciencedirect-com.ezproxy.uwtsd.ac.uk/science/article/pii/S0278431905000514?via%3Dihub" TargetMode="External" Id="rId11" /><Relationship Type="http://schemas.openxmlformats.org/officeDocument/2006/relationships/hyperlink" Target="https://scholar.google.com/scholar?hl=en&amp;as_sdt=0%2C5&amp;q=Noor%2C+M.S.%2C+Handani%2C+N.D.+and+Kim%2C+H.S.%2C+2023.+Exploring+user+generated+content+for+beach+resorts+in+Cox%E2%80%99s+Bazar%2C+Bangladesh%3A+A+pre-and+post-pandemic+analysis.%E2%80%AFEnvironment+and+Social+Psychology%2C%E2%80%AF8%282%29.+&amp;btnG=" TargetMode="External" Id="rId24" /><Relationship Type="http://schemas.openxmlformats.org/officeDocument/2006/relationships/hyperlink" Target="https://papers.ssrn.com/sol3/papers.cfm?abstract_id=3542011" TargetMode="External" Id="rId32" /><Relationship Type="http://schemas.openxmlformats.org/officeDocument/2006/relationships/footnotes" Target="footnotes.xml" Id="rId5" /><Relationship Type="http://schemas.openxmlformats.org/officeDocument/2006/relationships/hyperlink" Target="https://squareup.com/gb/en/glossary/net-loss" TargetMode="External" Id="rId15" /><Relationship Type="http://schemas.openxmlformats.org/officeDocument/2006/relationships/hyperlink" Target="https://link.springer.com/article/10.1007/s10479-023-05604-y" TargetMode="External" Id="rId23" /><Relationship Type="http://schemas.openxmlformats.org/officeDocument/2006/relationships/hyperlink" Target="https://ir.canterbury.ac.nz/items/59936f3a-ed48-4d36-b640-9b5d1d895b90" TargetMode="External" Id="rId28" /><Relationship Type="http://schemas.openxmlformats.org/officeDocument/2006/relationships/theme" Target="theme/theme1.xml" Id="rId36" /><Relationship Type="http://schemas.openxmlformats.org/officeDocument/2006/relationships/hyperlink" Target="https://www-sciencedirect-com.ezproxy.uwtsd.ac.uk/journal/international-journal-of-hospitality-management" TargetMode="External" Id="rId10" /><Relationship Type="http://schemas.openxmlformats.org/officeDocument/2006/relationships/hyperlink" Target="https://www.zoho.com/books/guides/balance-sheet.html" TargetMode="External" Id="rId19" /><Relationship Type="http://schemas.openxmlformats.org/officeDocument/2006/relationships/hyperlink" Target="https://www.tandfonline.com/doi/full/10.1080/02508281.2023.2167909" TargetMode="External" Id="rId31" /><Relationship Type="http://schemas.openxmlformats.org/officeDocument/2006/relationships/webSettings" Target="webSettings.xml" Id="rId4" /><Relationship Type="http://schemas.openxmlformats.org/officeDocument/2006/relationships/hyperlink" Target="https://onlinelibrary.wiley.com/doi/full/10.1002/bse.2748" TargetMode="External" Id="rId9" /><Relationship Type="http://schemas.openxmlformats.org/officeDocument/2006/relationships/hyperlink" Target="https://ilomata.org/index.php/ijtc/article/view/900" TargetMode="External" Id="rId14" /><Relationship Type="http://schemas.openxmlformats.org/officeDocument/2006/relationships/hyperlink" Target="https://www.sciencedirect.com/science/article/abs/pii/S0167923623001392?dgcid=rss_sd_all" TargetMode="External" Id="rId22" /><Relationship Type="http://schemas.openxmlformats.org/officeDocument/2006/relationships/hyperlink" Target="https://journal.uc.ac.id/index.php/JTCE/article/view/4089" TargetMode="External" Id="rId27" /><Relationship Type="http://schemas.openxmlformats.org/officeDocument/2006/relationships/hyperlink" Target="https://onlinelibrary.wiley.com/doi/full/10.1111/ajae.12435" TargetMode="External" Id="rId30" /><Relationship Type="http://schemas.openxmlformats.org/officeDocument/2006/relationships/fontTable" Target="fontTable.xml" Id="rId35" /><Relationship Type="http://schemas.openxmlformats.org/officeDocument/2006/relationships/image" Target="media/image2.png" Id="rId8"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68bfedebc32b4ba8"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42128e24d89b4ae7"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fac5178798f54967"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fef3c66d5b3d42c0"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27b6a10cbc294dae"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1b6461035adc49f0"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752b085c8d834b5c"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ac59511e800d4e1a"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cdb057e7a79a4679"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f8b85ddd4fc3455b"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32ea312ae8aa4c4b"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fee1398303974260" /><Relationship Type="http://schemas.openxmlformats.org/officeDocument/2006/relationships/hyperlink" Target="https://ukc-word-edit.officeapps.live.com/we/wordeditorframe.aspx?ui=ro%2DRO&amp;rs=en%2DUS&amp;wopisrc=https%3A%2F%2Fuowtsd-my.sharepoint.com%2Fpersonal%2F2131351_student_uwtsd_ac_uk%2F_vti_bin%2Fwopi.ashx%2Ffiles%2F66b36d8bd80b464ba739bd4be34cabc4&amp;wdorigin=OFFICECOM-WEB.MAIN.UPLOAD&amp;wdprevioussessionsrc=HarmonyWeb&amp;wdprevioussession=c78a489a-b2d7-4b5a-a799-f7c6e085bee2&amp;wdenableroaming=1&amp;wdfr=1&amp;mscc=1&amp;wdodb=1&amp;hid=50BAEEA0-60E9-7000-C58E-1BBBC5D46EA9&amp;wdhostclicktime=1700160614137&amp;jsapi=1&amp;jsapiver=v1&amp;newsession=1&amp;corrid=894c8b37-8dbb-4ddf-ad44-2ebf5c7b6e28&amp;usid=894c8b37-8dbb-4ddf-ad44-2ebf5c7b6e28&amp;sftc=1&amp;cac=1&amp;mtf=1&amp;sfp=1&amp;instantedit=1&amp;wopicomplete=1&amp;wdredirectionreason=Unified_SingleFlush&amp;rct=Normal&amp;ctp=LeastProtected" TargetMode="External" Id="Rab5a17d3621945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Marina-Georgiana Hogea (2131351)</lastModifiedBy>
  <revision>4</revision>
  <dcterms:created xsi:type="dcterms:W3CDTF">2023-11-16T18:50:00.0000000Z</dcterms:created>
  <dcterms:modified xsi:type="dcterms:W3CDTF">2023-11-16T18:58:26.8629870Z</dcterms:modified>
</coreProperties>
</file>