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D8C999" w14:textId="25FE68AE" w:rsidR="00C934E1" w:rsidRDefault="0015556C" w:rsidP="002539C4">
      <w:pPr>
        <w:ind w:hanging="630"/>
      </w:pPr>
      <w:r w:rsidRPr="007920DD">
        <w:rPr>
          <w:noProof/>
        </w:rPr>
        <w:drawing>
          <wp:anchor distT="0" distB="0" distL="114300" distR="114300" simplePos="0" relativeHeight="251659264" behindDoc="0" locked="0" layoutInCell="1" allowOverlap="1" wp14:anchorId="2C02AA7D" wp14:editId="23633E2E">
            <wp:simplePos x="0" y="0"/>
            <wp:positionH relativeFrom="column">
              <wp:posOffset>-176169</wp:posOffset>
            </wp:positionH>
            <wp:positionV relativeFrom="paragraph">
              <wp:posOffset>0</wp:posOffset>
            </wp:positionV>
            <wp:extent cx="1809750" cy="723900"/>
            <wp:effectExtent l="0" t="0" r="635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B240759" w14:textId="77777777" w:rsidR="0015556C" w:rsidRDefault="0015556C" w:rsidP="002539C4">
      <w:pPr>
        <w:ind w:hanging="630"/>
      </w:pPr>
    </w:p>
    <w:p w14:paraId="0E8892EF" w14:textId="77777777" w:rsidR="0015556C" w:rsidRDefault="0015556C" w:rsidP="002539C4">
      <w:pPr>
        <w:ind w:hanging="630"/>
      </w:pPr>
    </w:p>
    <w:p w14:paraId="09E37BDB" w14:textId="61DA3758" w:rsidR="00C934E1" w:rsidRPr="00AF5365" w:rsidRDefault="0015556C" w:rsidP="00AF5365">
      <w:pPr>
        <w:ind w:hanging="630"/>
      </w:pPr>
      <w:r>
        <w:rPr>
          <w:noProof/>
        </w:rPr>
        <w:drawing>
          <wp:inline distT="0" distB="0" distL="0" distR="0" wp14:anchorId="4DC35873" wp14:editId="5EC2DFFD">
            <wp:extent cx="6727971" cy="7097086"/>
            <wp:effectExtent l="0" t="0" r="0" b="0"/>
            <wp:docPr id="5"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rotWithShape="1">
                    <a:blip r:embed="rId10">
                      <a:extLst>
                        <a:ext uri="{28A0092B-C50C-407E-A947-70E740481C1C}">
                          <a14:useLocalDpi xmlns:a14="http://schemas.microsoft.com/office/drawing/2010/main" val="0"/>
                        </a:ext>
                      </a:extLst>
                    </a:blip>
                    <a:srcRect r="28285"/>
                    <a:stretch>
                      <a:fillRect/>
                    </a:stretch>
                  </pic:blipFill>
                  <pic:spPr bwMode="auto">
                    <a:xfrm>
                      <a:off x="0" y="0"/>
                      <a:ext cx="6772691" cy="7144259"/>
                    </a:xfrm>
                    <a:prstGeom prst="rect">
                      <a:avLst/>
                    </a:prstGeom>
                    <a:noFill/>
                    <a:ln>
                      <a:noFill/>
                    </a:ln>
                    <a:extLst>
                      <a:ext uri="{53640926-AAD7-44D8-BBD7-CCE9431645EC}">
                        <a14:shadowObscured xmlns:a14="http://schemas.microsoft.com/office/drawing/2010/main"/>
                      </a:ext>
                    </a:extLst>
                  </pic:spPr>
                </pic:pic>
              </a:graphicData>
            </a:graphic>
          </wp:inline>
        </w:drawing>
      </w:r>
    </w:p>
    <w:sdt>
      <w:sdtPr>
        <w:rPr>
          <w:rFonts w:asciiTheme="minorHAnsi" w:eastAsiaTheme="minorEastAsia" w:hAnsiTheme="minorHAnsi" w:cstheme="minorBidi"/>
          <w:b w:val="0"/>
          <w:bCs w:val="0"/>
          <w:color w:val="auto"/>
          <w:kern w:val="2"/>
          <w:sz w:val="24"/>
          <w:szCs w:val="24"/>
          <w:lang w:eastAsia="zh-TW"/>
          <w14:ligatures w14:val="standardContextual"/>
        </w:rPr>
        <w:id w:val="-1481371790"/>
        <w:docPartObj>
          <w:docPartGallery w:val="Table of Contents"/>
          <w:docPartUnique/>
        </w:docPartObj>
      </w:sdtPr>
      <w:sdtEndPr>
        <w:rPr>
          <w:noProof/>
        </w:rPr>
      </w:sdtEndPr>
      <w:sdtContent>
        <w:p w14:paraId="6B5506BF" w14:textId="05CAE5B3" w:rsidR="00C934E1" w:rsidRDefault="00C934E1">
          <w:pPr>
            <w:pStyle w:val="TOCHeading"/>
          </w:pPr>
          <w:r>
            <w:t>Table of Contents</w:t>
          </w:r>
        </w:p>
        <w:p w14:paraId="6ABFB7B0" w14:textId="0BF66FD8" w:rsidR="00765E8C" w:rsidRDefault="00C934E1">
          <w:pPr>
            <w:pStyle w:val="TOC1"/>
            <w:tabs>
              <w:tab w:val="left" w:pos="423"/>
              <w:tab w:val="right" w:leader="dot" w:pos="9350"/>
            </w:tabs>
            <w:rPr>
              <w:b w:val="0"/>
              <w:bCs w:val="0"/>
              <w:caps w:val="0"/>
              <w:noProof/>
              <w:sz w:val="24"/>
              <w:szCs w:val="24"/>
              <w:u w:val="none"/>
            </w:rPr>
          </w:pPr>
          <w:r>
            <w:rPr>
              <w:b w:val="0"/>
              <w:bCs w:val="0"/>
            </w:rPr>
            <w:fldChar w:fldCharType="begin"/>
          </w:r>
          <w:r>
            <w:instrText xml:space="preserve"> TOC \o "1-3" \h \z \u </w:instrText>
          </w:r>
          <w:r>
            <w:rPr>
              <w:b w:val="0"/>
              <w:bCs w:val="0"/>
            </w:rPr>
            <w:fldChar w:fldCharType="separate"/>
          </w:r>
          <w:hyperlink w:anchor="_Toc208699119" w:history="1">
            <w:r w:rsidR="00765E8C" w:rsidRPr="00EF019C">
              <w:rPr>
                <w:rStyle w:val="Hyperlink"/>
                <w:noProof/>
              </w:rPr>
              <w:t>1.</w:t>
            </w:r>
            <w:r w:rsidR="00765E8C">
              <w:rPr>
                <w:b w:val="0"/>
                <w:bCs w:val="0"/>
                <w:caps w:val="0"/>
                <w:noProof/>
                <w:sz w:val="24"/>
                <w:szCs w:val="24"/>
                <w:u w:val="none"/>
              </w:rPr>
              <w:tab/>
            </w:r>
            <w:r w:rsidR="00765E8C" w:rsidRPr="00EF019C">
              <w:rPr>
                <w:rStyle w:val="Hyperlink"/>
                <w:noProof/>
              </w:rPr>
              <w:t>Abstract – From Adoption to Monetisation in Digital Trade Finance</w:t>
            </w:r>
            <w:r w:rsidR="00765E8C">
              <w:rPr>
                <w:noProof/>
                <w:webHidden/>
              </w:rPr>
              <w:tab/>
            </w:r>
            <w:r w:rsidR="00765E8C">
              <w:rPr>
                <w:noProof/>
                <w:webHidden/>
              </w:rPr>
              <w:fldChar w:fldCharType="begin"/>
            </w:r>
            <w:r w:rsidR="00765E8C">
              <w:rPr>
                <w:noProof/>
                <w:webHidden/>
              </w:rPr>
              <w:instrText xml:space="preserve"> PAGEREF _Toc208699119 \h </w:instrText>
            </w:r>
            <w:r w:rsidR="00765E8C">
              <w:rPr>
                <w:noProof/>
                <w:webHidden/>
              </w:rPr>
            </w:r>
            <w:r w:rsidR="00765E8C">
              <w:rPr>
                <w:noProof/>
                <w:webHidden/>
              </w:rPr>
              <w:fldChar w:fldCharType="separate"/>
            </w:r>
            <w:r w:rsidR="00765E8C">
              <w:rPr>
                <w:noProof/>
                <w:webHidden/>
              </w:rPr>
              <w:t>5</w:t>
            </w:r>
            <w:r w:rsidR="00765E8C">
              <w:rPr>
                <w:noProof/>
                <w:webHidden/>
              </w:rPr>
              <w:fldChar w:fldCharType="end"/>
            </w:r>
          </w:hyperlink>
        </w:p>
        <w:p w14:paraId="57F6D0CC" w14:textId="5343CA08" w:rsidR="00765E8C" w:rsidRDefault="00765E8C">
          <w:pPr>
            <w:pStyle w:val="TOC1"/>
            <w:tabs>
              <w:tab w:val="left" w:pos="423"/>
              <w:tab w:val="right" w:leader="dot" w:pos="9350"/>
            </w:tabs>
            <w:rPr>
              <w:b w:val="0"/>
              <w:bCs w:val="0"/>
              <w:caps w:val="0"/>
              <w:noProof/>
              <w:sz w:val="24"/>
              <w:szCs w:val="24"/>
              <w:u w:val="none"/>
            </w:rPr>
          </w:pPr>
          <w:hyperlink w:anchor="_Toc208699120" w:history="1">
            <w:r w:rsidRPr="00EF019C">
              <w:rPr>
                <w:rStyle w:val="Hyperlink"/>
                <w:noProof/>
              </w:rPr>
              <w:t>2.</w:t>
            </w:r>
            <w:r>
              <w:rPr>
                <w:b w:val="0"/>
                <w:bCs w:val="0"/>
                <w:caps w:val="0"/>
                <w:noProof/>
                <w:sz w:val="24"/>
                <w:szCs w:val="24"/>
                <w:u w:val="none"/>
              </w:rPr>
              <w:tab/>
            </w:r>
            <w:r w:rsidRPr="00EF019C">
              <w:rPr>
                <w:rStyle w:val="Hyperlink"/>
                <w:noProof/>
              </w:rPr>
              <w:t>Design a Project with Clarity and Precision</w:t>
            </w:r>
            <w:r>
              <w:rPr>
                <w:noProof/>
                <w:webHidden/>
              </w:rPr>
              <w:tab/>
            </w:r>
            <w:r>
              <w:rPr>
                <w:noProof/>
                <w:webHidden/>
              </w:rPr>
              <w:fldChar w:fldCharType="begin"/>
            </w:r>
            <w:r>
              <w:rPr>
                <w:noProof/>
                <w:webHidden/>
              </w:rPr>
              <w:instrText xml:space="preserve"> PAGEREF _Toc208699120 \h </w:instrText>
            </w:r>
            <w:r>
              <w:rPr>
                <w:noProof/>
                <w:webHidden/>
              </w:rPr>
            </w:r>
            <w:r>
              <w:rPr>
                <w:noProof/>
                <w:webHidden/>
              </w:rPr>
              <w:fldChar w:fldCharType="separate"/>
            </w:r>
            <w:r>
              <w:rPr>
                <w:noProof/>
                <w:webHidden/>
              </w:rPr>
              <w:t>6</w:t>
            </w:r>
            <w:r>
              <w:rPr>
                <w:noProof/>
                <w:webHidden/>
              </w:rPr>
              <w:fldChar w:fldCharType="end"/>
            </w:r>
          </w:hyperlink>
        </w:p>
        <w:p w14:paraId="32B51799" w14:textId="261FB5CE" w:rsidR="00765E8C" w:rsidRDefault="00765E8C">
          <w:pPr>
            <w:pStyle w:val="TOC2"/>
            <w:tabs>
              <w:tab w:val="left" w:pos="578"/>
              <w:tab w:val="right" w:leader="dot" w:pos="9350"/>
            </w:tabs>
            <w:rPr>
              <w:b w:val="0"/>
              <w:bCs w:val="0"/>
              <w:smallCaps w:val="0"/>
              <w:noProof/>
              <w:sz w:val="24"/>
              <w:szCs w:val="24"/>
            </w:rPr>
          </w:pPr>
          <w:hyperlink w:anchor="_Toc208699121" w:history="1">
            <w:r w:rsidRPr="00EF019C">
              <w:rPr>
                <w:rStyle w:val="Hyperlink"/>
                <w:noProof/>
              </w:rPr>
              <w:t xml:space="preserve">2.1 </w:t>
            </w:r>
            <w:r>
              <w:rPr>
                <w:b w:val="0"/>
                <w:bCs w:val="0"/>
                <w:smallCaps w:val="0"/>
                <w:noProof/>
                <w:sz w:val="24"/>
                <w:szCs w:val="24"/>
              </w:rPr>
              <w:tab/>
            </w:r>
            <w:r w:rsidRPr="00EF019C">
              <w:rPr>
                <w:rStyle w:val="Hyperlink"/>
                <w:noProof/>
              </w:rPr>
              <w:t>The Adoption – Monetisation Gap in Digital Trade Finance</w:t>
            </w:r>
            <w:r>
              <w:rPr>
                <w:noProof/>
                <w:webHidden/>
              </w:rPr>
              <w:tab/>
            </w:r>
            <w:r>
              <w:rPr>
                <w:noProof/>
                <w:webHidden/>
              </w:rPr>
              <w:fldChar w:fldCharType="begin"/>
            </w:r>
            <w:r>
              <w:rPr>
                <w:noProof/>
                <w:webHidden/>
              </w:rPr>
              <w:instrText xml:space="preserve"> PAGEREF _Toc208699121 \h </w:instrText>
            </w:r>
            <w:r>
              <w:rPr>
                <w:noProof/>
                <w:webHidden/>
              </w:rPr>
            </w:r>
            <w:r>
              <w:rPr>
                <w:noProof/>
                <w:webHidden/>
              </w:rPr>
              <w:fldChar w:fldCharType="separate"/>
            </w:r>
            <w:r>
              <w:rPr>
                <w:noProof/>
                <w:webHidden/>
              </w:rPr>
              <w:t>6</w:t>
            </w:r>
            <w:r>
              <w:rPr>
                <w:noProof/>
                <w:webHidden/>
              </w:rPr>
              <w:fldChar w:fldCharType="end"/>
            </w:r>
          </w:hyperlink>
        </w:p>
        <w:p w14:paraId="68571B3A" w14:textId="5577E637" w:rsidR="00765E8C" w:rsidRDefault="00765E8C">
          <w:pPr>
            <w:pStyle w:val="TOC2"/>
            <w:tabs>
              <w:tab w:val="left" w:pos="541"/>
              <w:tab w:val="right" w:leader="dot" w:pos="9350"/>
            </w:tabs>
            <w:rPr>
              <w:b w:val="0"/>
              <w:bCs w:val="0"/>
              <w:smallCaps w:val="0"/>
              <w:noProof/>
              <w:sz w:val="24"/>
              <w:szCs w:val="24"/>
            </w:rPr>
          </w:pPr>
          <w:hyperlink w:anchor="_Toc208699122" w:history="1">
            <w:r w:rsidRPr="00EF019C">
              <w:rPr>
                <w:rStyle w:val="Hyperlink"/>
                <w:noProof/>
              </w:rPr>
              <w:t>2.2</w:t>
            </w:r>
            <w:r>
              <w:rPr>
                <w:b w:val="0"/>
                <w:bCs w:val="0"/>
                <w:smallCaps w:val="0"/>
                <w:noProof/>
                <w:sz w:val="24"/>
                <w:szCs w:val="24"/>
              </w:rPr>
              <w:tab/>
            </w:r>
            <w:r w:rsidRPr="00EF019C">
              <w:rPr>
                <w:rStyle w:val="Hyperlink"/>
                <w:noProof/>
              </w:rPr>
              <w:t>Aim and Objective</w:t>
            </w:r>
            <w:r>
              <w:rPr>
                <w:noProof/>
                <w:webHidden/>
              </w:rPr>
              <w:tab/>
            </w:r>
            <w:r>
              <w:rPr>
                <w:noProof/>
                <w:webHidden/>
              </w:rPr>
              <w:fldChar w:fldCharType="begin"/>
            </w:r>
            <w:r>
              <w:rPr>
                <w:noProof/>
                <w:webHidden/>
              </w:rPr>
              <w:instrText xml:space="preserve"> PAGEREF _Toc208699122 \h </w:instrText>
            </w:r>
            <w:r>
              <w:rPr>
                <w:noProof/>
                <w:webHidden/>
              </w:rPr>
            </w:r>
            <w:r>
              <w:rPr>
                <w:noProof/>
                <w:webHidden/>
              </w:rPr>
              <w:fldChar w:fldCharType="separate"/>
            </w:r>
            <w:r>
              <w:rPr>
                <w:noProof/>
                <w:webHidden/>
              </w:rPr>
              <w:t>7</w:t>
            </w:r>
            <w:r>
              <w:rPr>
                <w:noProof/>
                <w:webHidden/>
              </w:rPr>
              <w:fldChar w:fldCharType="end"/>
            </w:r>
          </w:hyperlink>
        </w:p>
        <w:p w14:paraId="70BC6752" w14:textId="4DC0F47E" w:rsidR="00765E8C" w:rsidRDefault="00765E8C">
          <w:pPr>
            <w:pStyle w:val="TOC2"/>
            <w:tabs>
              <w:tab w:val="left" w:pos="578"/>
              <w:tab w:val="right" w:leader="dot" w:pos="9350"/>
            </w:tabs>
            <w:rPr>
              <w:b w:val="0"/>
              <w:bCs w:val="0"/>
              <w:smallCaps w:val="0"/>
              <w:noProof/>
              <w:sz w:val="24"/>
              <w:szCs w:val="24"/>
            </w:rPr>
          </w:pPr>
          <w:hyperlink w:anchor="_Toc208699123" w:history="1">
            <w:r w:rsidRPr="00EF019C">
              <w:rPr>
                <w:rStyle w:val="Hyperlink"/>
                <w:noProof/>
              </w:rPr>
              <w:t xml:space="preserve">2.3 </w:t>
            </w:r>
            <w:r>
              <w:rPr>
                <w:b w:val="0"/>
                <w:bCs w:val="0"/>
                <w:smallCaps w:val="0"/>
                <w:noProof/>
                <w:sz w:val="24"/>
                <w:szCs w:val="24"/>
              </w:rPr>
              <w:tab/>
            </w:r>
            <w:r w:rsidRPr="00EF019C">
              <w:rPr>
                <w:rStyle w:val="Hyperlink"/>
                <w:noProof/>
              </w:rPr>
              <w:t>Research Questions</w:t>
            </w:r>
            <w:r>
              <w:rPr>
                <w:noProof/>
                <w:webHidden/>
              </w:rPr>
              <w:tab/>
            </w:r>
            <w:r>
              <w:rPr>
                <w:noProof/>
                <w:webHidden/>
              </w:rPr>
              <w:fldChar w:fldCharType="begin"/>
            </w:r>
            <w:r>
              <w:rPr>
                <w:noProof/>
                <w:webHidden/>
              </w:rPr>
              <w:instrText xml:space="preserve"> PAGEREF _Toc208699123 \h </w:instrText>
            </w:r>
            <w:r>
              <w:rPr>
                <w:noProof/>
                <w:webHidden/>
              </w:rPr>
            </w:r>
            <w:r>
              <w:rPr>
                <w:noProof/>
                <w:webHidden/>
              </w:rPr>
              <w:fldChar w:fldCharType="separate"/>
            </w:r>
            <w:r>
              <w:rPr>
                <w:noProof/>
                <w:webHidden/>
              </w:rPr>
              <w:t>7</w:t>
            </w:r>
            <w:r>
              <w:rPr>
                <w:noProof/>
                <w:webHidden/>
              </w:rPr>
              <w:fldChar w:fldCharType="end"/>
            </w:r>
          </w:hyperlink>
        </w:p>
        <w:p w14:paraId="06D49A2C" w14:textId="3B9D32D7" w:rsidR="00765E8C" w:rsidRDefault="00765E8C">
          <w:pPr>
            <w:pStyle w:val="TOC2"/>
            <w:tabs>
              <w:tab w:val="left" w:pos="578"/>
              <w:tab w:val="right" w:leader="dot" w:pos="9350"/>
            </w:tabs>
            <w:rPr>
              <w:b w:val="0"/>
              <w:bCs w:val="0"/>
              <w:smallCaps w:val="0"/>
              <w:noProof/>
              <w:sz w:val="24"/>
              <w:szCs w:val="24"/>
            </w:rPr>
          </w:pPr>
          <w:hyperlink w:anchor="_Toc208699124" w:history="1">
            <w:r w:rsidRPr="00EF019C">
              <w:rPr>
                <w:rStyle w:val="Hyperlink"/>
                <w:noProof/>
              </w:rPr>
              <w:t xml:space="preserve">2.4 </w:t>
            </w:r>
            <w:r>
              <w:rPr>
                <w:b w:val="0"/>
                <w:bCs w:val="0"/>
                <w:smallCaps w:val="0"/>
                <w:noProof/>
                <w:sz w:val="24"/>
                <w:szCs w:val="24"/>
              </w:rPr>
              <w:tab/>
            </w:r>
            <w:r w:rsidRPr="00EF019C">
              <w:rPr>
                <w:rStyle w:val="Hyperlink"/>
                <w:noProof/>
              </w:rPr>
              <w:t>Theoretical Framework and Philosophical Position</w:t>
            </w:r>
            <w:r>
              <w:rPr>
                <w:noProof/>
                <w:webHidden/>
              </w:rPr>
              <w:tab/>
            </w:r>
            <w:r>
              <w:rPr>
                <w:noProof/>
                <w:webHidden/>
              </w:rPr>
              <w:fldChar w:fldCharType="begin"/>
            </w:r>
            <w:r>
              <w:rPr>
                <w:noProof/>
                <w:webHidden/>
              </w:rPr>
              <w:instrText xml:space="preserve"> PAGEREF _Toc208699124 \h </w:instrText>
            </w:r>
            <w:r>
              <w:rPr>
                <w:noProof/>
                <w:webHidden/>
              </w:rPr>
            </w:r>
            <w:r>
              <w:rPr>
                <w:noProof/>
                <w:webHidden/>
              </w:rPr>
              <w:fldChar w:fldCharType="separate"/>
            </w:r>
            <w:r>
              <w:rPr>
                <w:noProof/>
                <w:webHidden/>
              </w:rPr>
              <w:t>8</w:t>
            </w:r>
            <w:r>
              <w:rPr>
                <w:noProof/>
                <w:webHidden/>
              </w:rPr>
              <w:fldChar w:fldCharType="end"/>
            </w:r>
          </w:hyperlink>
        </w:p>
        <w:p w14:paraId="252B3452" w14:textId="55ABC1BD" w:rsidR="00765E8C" w:rsidRDefault="00765E8C">
          <w:pPr>
            <w:pStyle w:val="TOC3"/>
            <w:tabs>
              <w:tab w:val="left" w:pos="755"/>
              <w:tab w:val="right" w:leader="dot" w:pos="9350"/>
            </w:tabs>
            <w:rPr>
              <w:smallCaps w:val="0"/>
              <w:noProof/>
              <w:sz w:val="24"/>
              <w:szCs w:val="24"/>
            </w:rPr>
          </w:pPr>
          <w:hyperlink w:anchor="_Toc208699125" w:history="1">
            <w:r w:rsidRPr="00EF019C">
              <w:rPr>
                <w:rStyle w:val="Hyperlink"/>
                <w:noProof/>
              </w:rPr>
              <w:t xml:space="preserve">2.4.1 </w:t>
            </w:r>
            <w:r>
              <w:rPr>
                <w:smallCaps w:val="0"/>
                <w:noProof/>
                <w:sz w:val="24"/>
                <w:szCs w:val="24"/>
              </w:rPr>
              <w:tab/>
            </w:r>
            <w:r w:rsidRPr="00EF019C">
              <w:rPr>
                <w:rStyle w:val="Hyperlink"/>
                <w:noProof/>
              </w:rPr>
              <w:t>Theoretical Framework</w:t>
            </w:r>
            <w:r>
              <w:rPr>
                <w:noProof/>
                <w:webHidden/>
              </w:rPr>
              <w:tab/>
            </w:r>
            <w:r>
              <w:rPr>
                <w:noProof/>
                <w:webHidden/>
              </w:rPr>
              <w:fldChar w:fldCharType="begin"/>
            </w:r>
            <w:r>
              <w:rPr>
                <w:noProof/>
                <w:webHidden/>
              </w:rPr>
              <w:instrText xml:space="preserve"> PAGEREF _Toc208699125 \h </w:instrText>
            </w:r>
            <w:r>
              <w:rPr>
                <w:noProof/>
                <w:webHidden/>
              </w:rPr>
            </w:r>
            <w:r>
              <w:rPr>
                <w:noProof/>
                <w:webHidden/>
              </w:rPr>
              <w:fldChar w:fldCharType="separate"/>
            </w:r>
            <w:r>
              <w:rPr>
                <w:noProof/>
                <w:webHidden/>
              </w:rPr>
              <w:t>8</w:t>
            </w:r>
            <w:r>
              <w:rPr>
                <w:noProof/>
                <w:webHidden/>
              </w:rPr>
              <w:fldChar w:fldCharType="end"/>
            </w:r>
          </w:hyperlink>
        </w:p>
        <w:p w14:paraId="0582F952" w14:textId="298C5BCA" w:rsidR="00765E8C" w:rsidRDefault="00765E8C">
          <w:pPr>
            <w:pStyle w:val="TOC3"/>
            <w:tabs>
              <w:tab w:val="left" w:pos="718"/>
              <w:tab w:val="right" w:leader="dot" w:pos="9350"/>
            </w:tabs>
            <w:rPr>
              <w:smallCaps w:val="0"/>
              <w:noProof/>
              <w:sz w:val="24"/>
              <w:szCs w:val="24"/>
            </w:rPr>
          </w:pPr>
          <w:hyperlink w:anchor="_Toc208699126" w:history="1">
            <w:r w:rsidRPr="00EF019C">
              <w:rPr>
                <w:rStyle w:val="Hyperlink"/>
                <w:noProof/>
              </w:rPr>
              <w:t>2.4.2</w:t>
            </w:r>
            <w:r>
              <w:rPr>
                <w:smallCaps w:val="0"/>
                <w:noProof/>
                <w:sz w:val="24"/>
                <w:szCs w:val="24"/>
              </w:rPr>
              <w:tab/>
            </w:r>
            <w:r w:rsidRPr="00EF019C">
              <w:rPr>
                <w:rStyle w:val="Hyperlink"/>
                <w:noProof/>
              </w:rPr>
              <w:t xml:space="preserve"> Philosophical Position</w:t>
            </w:r>
            <w:r>
              <w:rPr>
                <w:noProof/>
                <w:webHidden/>
              </w:rPr>
              <w:tab/>
            </w:r>
            <w:r>
              <w:rPr>
                <w:noProof/>
                <w:webHidden/>
              </w:rPr>
              <w:fldChar w:fldCharType="begin"/>
            </w:r>
            <w:r>
              <w:rPr>
                <w:noProof/>
                <w:webHidden/>
              </w:rPr>
              <w:instrText xml:space="preserve"> PAGEREF _Toc208699126 \h </w:instrText>
            </w:r>
            <w:r>
              <w:rPr>
                <w:noProof/>
                <w:webHidden/>
              </w:rPr>
            </w:r>
            <w:r>
              <w:rPr>
                <w:noProof/>
                <w:webHidden/>
              </w:rPr>
              <w:fldChar w:fldCharType="separate"/>
            </w:r>
            <w:r>
              <w:rPr>
                <w:noProof/>
                <w:webHidden/>
              </w:rPr>
              <w:t>8</w:t>
            </w:r>
            <w:r>
              <w:rPr>
                <w:noProof/>
                <w:webHidden/>
              </w:rPr>
              <w:fldChar w:fldCharType="end"/>
            </w:r>
          </w:hyperlink>
        </w:p>
        <w:p w14:paraId="0CA375DD" w14:textId="0182EBFD" w:rsidR="00765E8C" w:rsidRDefault="00765E8C">
          <w:pPr>
            <w:pStyle w:val="TOC2"/>
            <w:tabs>
              <w:tab w:val="left" w:pos="578"/>
              <w:tab w:val="right" w:leader="dot" w:pos="9350"/>
            </w:tabs>
            <w:rPr>
              <w:b w:val="0"/>
              <w:bCs w:val="0"/>
              <w:smallCaps w:val="0"/>
              <w:noProof/>
              <w:sz w:val="24"/>
              <w:szCs w:val="24"/>
            </w:rPr>
          </w:pPr>
          <w:hyperlink w:anchor="_Toc208699127" w:history="1">
            <w:r w:rsidRPr="00EF019C">
              <w:rPr>
                <w:rStyle w:val="Hyperlink"/>
                <w:noProof/>
              </w:rPr>
              <w:t xml:space="preserve">2.5 </w:t>
            </w:r>
            <w:r>
              <w:rPr>
                <w:b w:val="0"/>
                <w:bCs w:val="0"/>
                <w:smallCaps w:val="0"/>
                <w:noProof/>
                <w:sz w:val="24"/>
                <w:szCs w:val="24"/>
              </w:rPr>
              <w:tab/>
            </w:r>
            <w:r w:rsidRPr="00EF019C">
              <w:rPr>
                <w:rStyle w:val="Hyperlink"/>
                <w:noProof/>
              </w:rPr>
              <w:t>Anticipate Contributions</w:t>
            </w:r>
            <w:r>
              <w:rPr>
                <w:noProof/>
                <w:webHidden/>
              </w:rPr>
              <w:tab/>
            </w:r>
            <w:r>
              <w:rPr>
                <w:noProof/>
                <w:webHidden/>
              </w:rPr>
              <w:fldChar w:fldCharType="begin"/>
            </w:r>
            <w:r>
              <w:rPr>
                <w:noProof/>
                <w:webHidden/>
              </w:rPr>
              <w:instrText xml:space="preserve"> PAGEREF _Toc208699127 \h </w:instrText>
            </w:r>
            <w:r>
              <w:rPr>
                <w:noProof/>
                <w:webHidden/>
              </w:rPr>
            </w:r>
            <w:r>
              <w:rPr>
                <w:noProof/>
                <w:webHidden/>
              </w:rPr>
              <w:fldChar w:fldCharType="separate"/>
            </w:r>
            <w:r>
              <w:rPr>
                <w:noProof/>
                <w:webHidden/>
              </w:rPr>
              <w:t>9</w:t>
            </w:r>
            <w:r>
              <w:rPr>
                <w:noProof/>
                <w:webHidden/>
              </w:rPr>
              <w:fldChar w:fldCharType="end"/>
            </w:r>
          </w:hyperlink>
        </w:p>
        <w:p w14:paraId="75ED662A" w14:textId="2D91A291" w:rsidR="00765E8C" w:rsidRDefault="00765E8C">
          <w:pPr>
            <w:pStyle w:val="TOC1"/>
            <w:tabs>
              <w:tab w:val="left" w:pos="408"/>
              <w:tab w:val="right" w:leader="dot" w:pos="9350"/>
            </w:tabs>
            <w:rPr>
              <w:b w:val="0"/>
              <w:bCs w:val="0"/>
              <w:caps w:val="0"/>
              <w:noProof/>
              <w:sz w:val="24"/>
              <w:szCs w:val="24"/>
              <w:u w:val="none"/>
            </w:rPr>
          </w:pPr>
          <w:hyperlink w:anchor="_Toc208699128" w:history="1">
            <w:r w:rsidRPr="00EF019C">
              <w:rPr>
                <w:rStyle w:val="Hyperlink"/>
                <w:noProof/>
              </w:rPr>
              <w:t>3.</w:t>
            </w:r>
            <w:r>
              <w:rPr>
                <w:b w:val="0"/>
                <w:bCs w:val="0"/>
                <w:caps w:val="0"/>
                <w:noProof/>
                <w:sz w:val="24"/>
                <w:szCs w:val="24"/>
                <w:u w:val="none"/>
              </w:rPr>
              <w:tab/>
            </w:r>
            <w:r w:rsidRPr="00EF019C">
              <w:rPr>
                <w:rStyle w:val="Hyperlink"/>
                <w:noProof/>
              </w:rPr>
              <w:t>Theoretical Framework</w:t>
            </w:r>
            <w:r>
              <w:rPr>
                <w:noProof/>
                <w:webHidden/>
              </w:rPr>
              <w:tab/>
            </w:r>
            <w:r>
              <w:rPr>
                <w:noProof/>
                <w:webHidden/>
              </w:rPr>
              <w:fldChar w:fldCharType="begin"/>
            </w:r>
            <w:r>
              <w:rPr>
                <w:noProof/>
                <w:webHidden/>
              </w:rPr>
              <w:instrText xml:space="preserve"> PAGEREF _Toc208699128 \h </w:instrText>
            </w:r>
            <w:r>
              <w:rPr>
                <w:noProof/>
                <w:webHidden/>
              </w:rPr>
            </w:r>
            <w:r>
              <w:rPr>
                <w:noProof/>
                <w:webHidden/>
              </w:rPr>
              <w:fldChar w:fldCharType="separate"/>
            </w:r>
            <w:r>
              <w:rPr>
                <w:noProof/>
                <w:webHidden/>
              </w:rPr>
              <w:t>10</w:t>
            </w:r>
            <w:r>
              <w:rPr>
                <w:noProof/>
                <w:webHidden/>
              </w:rPr>
              <w:fldChar w:fldCharType="end"/>
            </w:r>
          </w:hyperlink>
        </w:p>
        <w:p w14:paraId="2F755305" w14:textId="433A1873" w:rsidR="00765E8C" w:rsidRDefault="00765E8C">
          <w:pPr>
            <w:pStyle w:val="TOC2"/>
            <w:tabs>
              <w:tab w:val="left" w:pos="541"/>
              <w:tab w:val="right" w:leader="dot" w:pos="9350"/>
            </w:tabs>
            <w:rPr>
              <w:b w:val="0"/>
              <w:bCs w:val="0"/>
              <w:smallCaps w:val="0"/>
              <w:noProof/>
              <w:sz w:val="24"/>
              <w:szCs w:val="24"/>
            </w:rPr>
          </w:pPr>
          <w:hyperlink w:anchor="_Toc208699129" w:history="1">
            <w:r w:rsidRPr="00EF019C">
              <w:rPr>
                <w:rStyle w:val="Hyperlink"/>
                <w:noProof/>
              </w:rPr>
              <w:t>3.1</w:t>
            </w:r>
            <w:r>
              <w:rPr>
                <w:b w:val="0"/>
                <w:bCs w:val="0"/>
                <w:smallCaps w:val="0"/>
                <w:noProof/>
                <w:sz w:val="24"/>
                <w:szCs w:val="24"/>
              </w:rPr>
              <w:tab/>
            </w:r>
            <w:r w:rsidRPr="00EF019C">
              <w:rPr>
                <w:rStyle w:val="Hyperlink"/>
                <w:noProof/>
              </w:rPr>
              <w:t>TOE Lens</w:t>
            </w:r>
            <w:r>
              <w:rPr>
                <w:noProof/>
                <w:webHidden/>
              </w:rPr>
              <w:tab/>
            </w:r>
            <w:r>
              <w:rPr>
                <w:noProof/>
                <w:webHidden/>
              </w:rPr>
              <w:fldChar w:fldCharType="begin"/>
            </w:r>
            <w:r>
              <w:rPr>
                <w:noProof/>
                <w:webHidden/>
              </w:rPr>
              <w:instrText xml:space="preserve"> PAGEREF _Toc208699129 \h </w:instrText>
            </w:r>
            <w:r>
              <w:rPr>
                <w:noProof/>
                <w:webHidden/>
              </w:rPr>
            </w:r>
            <w:r>
              <w:rPr>
                <w:noProof/>
                <w:webHidden/>
              </w:rPr>
              <w:fldChar w:fldCharType="separate"/>
            </w:r>
            <w:r>
              <w:rPr>
                <w:noProof/>
                <w:webHidden/>
              </w:rPr>
              <w:t>10</w:t>
            </w:r>
            <w:r>
              <w:rPr>
                <w:noProof/>
                <w:webHidden/>
              </w:rPr>
              <w:fldChar w:fldCharType="end"/>
            </w:r>
          </w:hyperlink>
        </w:p>
        <w:p w14:paraId="42FEA0BC" w14:textId="7DCD575D" w:rsidR="00765E8C" w:rsidRDefault="00765E8C">
          <w:pPr>
            <w:pStyle w:val="TOC2"/>
            <w:tabs>
              <w:tab w:val="left" w:pos="578"/>
              <w:tab w:val="right" w:leader="dot" w:pos="9350"/>
            </w:tabs>
            <w:rPr>
              <w:b w:val="0"/>
              <w:bCs w:val="0"/>
              <w:smallCaps w:val="0"/>
              <w:noProof/>
              <w:sz w:val="24"/>
              <w:szCs w:val="24"/>
            </w:rPr>
          </w:pPr>
          <w:hyperlink w:anchor="_Toc208699130" w:history="1">
            <w:r w:rsidRPr="00EF019C">
              <w:rPr>
                <w:rStyle w:val="Hyperlink"/>
                <w:noProof/>
              </w:rPr>
              <w:t xml:space="preserve">3.2 </w:t>
            </w:r>
            <w:r>
              <w:rPr>
                <w:b w:val="0"/>
                <w:bCs w:val="0"/>
                <w:smallCaps w:val="0"/>
                <w:noProof/>
                <w:sz w:val="24"/>
                <w:szCs w:val="24"/>
              </w:rPr>
              <w:tab/>
            </w:r>
            <w:r w:rsidRPr="00EF019C">
              <w:rPr>
                <w:rStyle w:val="Hyperlink"/>
                <w:noProof/>
              </w:rPr>
              <w:t>SDL and Value Co-Creation</w:t>
            </w:r>
            <w:r>
              <w:rPr>
                <w:noProof/>
                <w:webHidden/>
              </w:rPr>
              <w:tab/>
            </w:r>
            <w:r>
              <w:rPr>
                <w:noProof/>
                <w:webHidden/>
              </w:rPr>
              <w:fldChar w:fldCharType="begin"/>
            </w:r>
            <w:r>
              <w:rPr>
                <w:noProof/>
                <w:webHidden/>
              </w:rPr>
              <w:instrText xml:space="preserve"> PAGEREF _Toc208699130 \h </w:instrText>
            </w:r>
            <w:r>
              <w:rPr>
                <w:noProof/>
                <w:webHidden/>
              </w:rPr>
            </w:r>
            <w:r>
              <w:rPr>
                <w:noProof/>
                <w:webHidden/>
              </w:rPr>
              <w:fldChar w:fldCharType="separate"/>
            </w:r>
            <w:r>
              <w:rPr>
                <w:noProof/>
                <w:webHidden/>
              </w:rPr>
              <w:t>11</w:t>
            </w:r>
            <w:r>
              <w:rPr>
                <w:noProof/>
                <w:webHidden/>
              </w:rPr>
              <w:fldChar w:fldCharType="end"/>
            </w:r>
          </w:hyperlink>
        </w:p>
        <w:p w14:paraId="3D6935CC" w14:textId="3BD2DEB1" w:rsidR="00765E8C" w:rsidRDefault="00765E8C">
          <w:pPr>
            <w:pStyle w:val="TOC2"/>
            <w:tabs>
              <w:tab w:val="left" w:pos="541"/>
              <w:tab w:val="right" w:leader="dot" w:pos="9350"/>
            </w:tabs>
            <w:rPr>
              <w:b w:val="0"/>
              <w:bCs w:val="0"/>
              <w:smallCaps w:val="0"/>
              <w:noProof/>
              <w:sz w:val="24"/>
              <w:szCs w:val="24"/>
            </w:rPr>
          </w:pPr>
          <w:hyperlink w:anchor="_Toc208699131" w:history="1">
            <w:r w:rsidRPr="00EF019C">
              <w:rPr>
                <w:rStyle w:val="Hyperlink"/>
                <w:noProof/>
              </w:rPr>
              <w:t>3.3</w:t>
            </w:r>
            <w:r>
              <w:rPr>
                <w:b w:val="0"/>
                <w:bCs w:val="0"/>
                <w:smallCaps w:val="0"/>
                <w:noProof/>
                <w:sz w:val="24"/>
                <w:szCs w:val="24"/>
              </w:rPr>
              <w:tab/>
            </w:r>
            <w:r w:rsidRPr="00EF019C">
              <w:rPr>
                <w:rStyle w:val="Hyperlink"/>
                <w:noProof/>
              </w:rPr>
              <w:t>Integrating Risk – Talent Nexus into TOE and SDL</w:t>
            </w:r>
            <w:r>
              <w:rPr>
                <w:noProof/>
                <w:webHidden/>
              </w:rPr>
              <w:tab/>
            </w:r>
            <w:r>
              <w:rPr>
                <w:noProof/>
                <w:webHidden/>
              </w:rPr>
              <w:fldChar w:fldCharType="begin"/>
            </w:r>
            <w:r>
              <w:rPr>
                <w:noProof/>
                <w:webHidden/>
              </w:rPr>
              <w:instrText xml:space="preserve"> PAGEREF _Toc208699131 \h </w:instrText>
            </w:r>
            <w:r>
              <w:rPr>
                <w:noProof/>
                <w:webHidden/>
              </w:rPr>
            </w:r>
            <w:r>
              <w:rPr>
                <w:noProof/>
                <w:webHidden/>
              </w:rPr>
              <w:fldChar w:fldCharType="separate"/>
            </w:r>
            <w:r>
              <w:rPr>
                <w:noProof/>
                <w:webHidden/>
              </w:rPr>
              <w:t>11</w:t>
            </w:r>
            <w:r>
              <w:rPr>
                <w:noProof/>
                <w:webHidden/>
              </w:rPr>
              <w:fldChar w:fldCharType="end"/>
            </w:r>
          </w:hyperlink>
        </w:p>
        <w:p w14:paraId="0841A35C" w14:textId="194182D0" w:rsidR="00765E8C" w:rsidRDefault="00765E8C">
          <w:pPr>
            <w:pStyle w:val="TOC2"/>
            <w:tabs>
              <w:tab w:val="left" w:pos="541"/>
              <w:tab w:val="right" w:leader="dot" w:pos="9350"/>
            </w:tabs>
            <w:rPr>
              <w:b w:val="0"/>
              <w:bCs w:val="0"/>
              <w:smallCaps w:val="0"/>
              <w:noProof/>
              <w:sz w:val="24"/>
              <w:szCs w:val="24"/>
            </w:rPr>
          </w:pPr>
          <w:hyperlink w:anchor="_Toc208699132" w:history="1">
            <w:r w:rsidRPr="00EF019C">
              <w:rPr>
                <w:rStyle w:val="Hyperlink"/>
                <w:noProof/>
              </w:rPr>
              <w:t>3.4</w:t>
            </w:r>
            <w:r>
              <w:rPr>
                <w:b w:val="0"/>
                <w:bCs w:val="0"/>
                <w:smallCaps w:val="0"/>
                <w:noProof/>
                <w:sz w:val="24"/>
                <w:szCs w:val="24"/>
              </w:rPr>
              <w:tab/>
            </w:r>
            <w:r w:rsidRPr="00EF019C">
              <w:rPr>
                <w:rStyle w:val="Hyperlink"/>
                <w:noProof/>
              </w:rPr>
              <w:t>Adoption of Monetisation Hypotheses Model</w:t>
            </w:r>
            <w:r>
              <w:rPr>
                <w:noProof/>
                <w:webHidden/>
              </w:rPr>
              <w:tab/>
            </w:r>
            <w:r>
              <w:rPr>
                <w:noProof/>
                <w:webHidden/>
              </w:rPr>
              <w:fldChar w:fldCharType="begin"/>
            </w:r>
            <w:r>
              <w:rPr>
                <w:noProof/>
                <w:webHidden/>
              </w:rPr>
              <w:instrText xml:space="preserve"> PAGEREF _Toc208699132 \h </w:instrText>
            </w:r>
            <w:r>
              <w:rPr>
                <w:noProof/>
                <w:webHidden/>
              </w:rPr>
            </w:r>
            <w:r>
              <w:rPr>
                <w:noProof/>
                <w:webHidden/>
              </w:rPr>
              <w:fldChar w:fldCharType="separate"/>
            </w:r>
            <w:r>
              <w:rPr>
                <w:noProof/>
                <w:webHidden/>
              </w:rPr>
              <w:t>12</w:t>
            </w:r>
            <w:r>
              <w:rPr>
                <w:noProof/>
                <w:webHidden/>
              </w:rPr>
              <w:fldChar w:fldCharType="end"/>
            </w:r>
          </w:hyperlink>
        </w:p>
        <w:p w14:paraId="5924C880" w14:textId="2EAC2D59" w:rsidR="00765E8C" w:rsidRDefault="00765E8C">
          <w:pPr>
            <w:pStyle w:val="TOC3"/>
            <w:tabs>
              <w:tab w:val="left" w:pos="755"/>
              <w:tab w:val="right" w:leader="dot" w:pos="9350"/>
            </w:tabs>
            <w:rPr>
              <w:smallCaps w:val="0"/>
              <w:noProof/>
              <w:sz w:val="24"/>
              <w:szCs w:val="24"/>
            </w:rPr>
          </w:pPr>
          <w:hyperlink w:anchor="_Toc208699133" w:history="1">
            <w:r w:rsidRPr="00EF019C">
              <w:rPr>
                <w:rStyle w:val="Hyperlink"/>
                <w:noProof/>
              </w:rPr>
              <w:t xml:space="preserve">3.4.1 </w:t>
            </w:r>
            <w:r>
              <w:rPr>
                <w:smallCaps w:val="0"/>
                <w:noProof/>
                <w:sz w:val="24"/>
                <w:szCs w:val="24"/>
              </w:rPr>
              <w:tab/>
            </w:r>
            <w:r w:rsidRPr="00EF019C">
              <w:rPr>
                <w:rStyle w:val="Hyperlink"/>
                <w:noProof/>
              </w:rPr>
              <w:t>The Risk–Talent Nexus</w:t>
            </w:r>
            <w:r>
              <w:rPr>
                <w:noProof/>
                <w:webHidden/>
              </w:rPr>
              <w:tab/>
            </w:r>
            <w:r>
              <w:rPr>
                <w:noProof/>
                <w:webHidden/>
              </w:rPr>
              <w:fldChar w:fldCharType="begin"/>
            </w:r>
            <w:r>
              <w:rPr>
                <w:noProof/>
                <w:webHidden/>
              </w:rPr>
              <w:instrText xml:space="preserve"> PAGEREF _Toc208699133 \h </w:instrText>
            </w:r>
            <w:r>
              <w:rPr>
                <w:noProof/>
                <w:webHidden/>
              </w:rPr>
            </w:r>
            <w:r>
              <w:rPr>
                <w:noProof/>
                <w:webHidden/>
              </w:rPr>
              <w:fldChar w:fldCharType="separate"/>
            </w:r>
            <w:r>
              <w:rPr>
                <w:noProof/>
                <w:webHidden/>
              </w:rPr>
              <w:t>12</w:t>
            </w:r>
            <w:r>
              <w:rPr>
                <w:noProof/>
                <w:webHidden/>
              </w:rPr>
              <w:fldChar w:fldCharType="end"/>
            </w:r>
          </w:hyperlink>
        </w:p>
        <w:p w14:paraId="732CCCA9" w14:textId="27D80B6F" w:rsidR="00765E8C" w:rsidRDefault="00765E8C">
          <w:pPr>
            <w:pStyle w:val="TOC2"/>
            <w:tabs>
              <w:tab w:val="left" w:pos="541"/>
              <w:tab w:val="right" w:leader="dot" w:pos="9350"/>
            </w:tabs>
            <w:rPr>
              <w:b w:val="0"/>
              <w:bCs w:val="0"/>
              <w:smallCaps w:val="0"/>
              <w:noProof/>
              <w:sz w:val="24"/>
              <w:szCs w:val="24"/>
            </w:rPr>
          </w:pPr>
          <w:hyperlink w:anchor="_Toc208699134" w:history="1">
            <w:r w:rsidRPr="00EF019C">
              <w:rPr>
                <w:rStyle w:val="Hyperlink"/>
                <w:noProof/>
              </w:rPr>
              <w:t>3.5</w:t>
            </w:r>
            <w:r>
              <w:rPr>
                <w:b w:val="0"/>
                <w:bCs w:val="0"/>
                <w:smallCaps w:val="0"/>
                <w:noProof/>
                <w:sz w:val="24"/>
                <w:szCs w:val="24"/>
              </w:rPr>
              <w:tab/>
            </w:r>
            <w:r w:rsidRPr="00EF019C">
              <w:rPr>
                <w:rStyle w:val="Hyperlink"/>
                <w:noProof/>
              </w:rPr>
              <w:t>Philosophical Paradigms and Implications</w:t>
            </w:r>
            <w:r>
              <w:rPr>
                <w:noProof/>
                <w:webHidden/>
              </w:rPr>
              <w:tab/>
            </w:r>
            <w:r>
              <w:rPr>
                <w:noProof/>
                <w:webHidden/>
              </w:rPr>
              <w:fldChar w:fldCharType="begin"/>
            </w:r>
            <w:r>
              <w:rPr>
                <w:noProof/>
                <w:webHidden/>
              </w:rPr>
              <w:instrText xml:space="preserve"> PAGEREF _Toc208699134 \h </w:instrText>
            </w:r>
            <w:r>
              <w:rPr>
                <w:noProof/>
                <w:webHidden/>
              </w:rPr>
            </w:r>
            <w:r>
              <w:rPr>
                <w:noProof/>
                <w:webHidden/>
              </w:rPr>
              <w:fldChar w:fldCharType="separate"/>
            </w:r>
            <w:r>
              <w:rPr>
                <w:noProof/>
                <w:webHidden/>
              </w:rPr>
              <w:t>13</w:t>
            </w:r>
            <w:r>
              <w:rPr>
                <w:noProof/>
                <w:webHidden/>
              </w:rPr>
              <w:fldChar w:fldCharType="end"/>
            </w:r>
          </w:hyperlink>
        </w:p>
        <w:p w14:paraId="18B45A65" w14:textId="4EE76A6C" w:rsidR="00765E8C" w:rsidRDefault="00765E8C">
          <w:pPr>
            <w:pStyle w:val="TOC2"/>
            <w:tabs>
              <w:tab w:val="left" w:pos="541"/>
              <w:tab w:val="right" w:leader="dot" w:pos="9350"/>
            </w:tabs>
            <w:rPr>
              <w:b w:val="0"/>
              <w:bCs w:val="0"/>
              <w:smallCaps w:val="0"/>
              <w:noProof/>
              <w:sz w:val="24"/>
              <w:szCs w:val="24"/>
            </w:rPr>
          </w:pPr>
          <w:hyperlink w:anchor="_Toc208699135" w:history="1">
            <w:r w:rsidRPr="00EF019C">
              <w:rPr>
                <w:rStyle w:val="Hyperlink"/>
                <w:noProof/>
              </w:rPr>
              <w:t>3.6</w:t>
            </w:r>
            <w:r>
              <w:rPr>
                <w:b w:val="0"/>
                <w:bCs w:val="0"/>
                <w:smallCaps w:val="0"/>
                <w:noProof/>
                <w:sz w:val="24"/>
                <w:szCs w:val="24"/>
              </w:rPr>
              <w:tab/>
            </w:r>
            <w:r w:rsidRPr="00EF019C">
              <w:rPr>
                <w:rStyle w:val="Hyperlink"/>
                <w:noProof/>
              </w:rPr>
              <w:t>Identifying Research Gaps</w:t>
            </w:r>
            <w:r>
              <w:rPr>
                <w:noProof/>
                <w:webHidden/>
              </w:rPr>
              <w:tab/>
            </w:r>
            <w:r>
              <w:rPr>
                <w:noProof/>
                <w:webHidden/>
              </w:rPr>
              <w:fldChar w:fldCharType="begin"/>
            </w:r>
            <w:r>
              <w:rPr>
                <w:noProof/>
                <w:webHidden/>
              </w:rPr>
              <w:instrText xml:space="preserve"> PAGEREF _Toc208699135 \h </w:instrText>
            </w:r>
            <w:r>
              <w:rPr>
                <w:noProof/>
                <w:webHidden/>
              </w:rPr>
            </w:r>
            <w:r>
              <w:rPr>
                <w:noProof/>
                <w:webHidden/>
              </w:rPr>
              <w:fldChar w:fldCharType="separate"/>
            </w:r>
            <w:r>
              <w:rPr>
                <w:noProof/>
                <w:webHidden/>
              </w:rPr>
              <w:t>14</w:t>
            </w:r>
            <w:r>
              <w:rPr>
                <w:noProof/>
                <w:webHidden/>
              </w:rPr>
              <w:fldChar w:fldCharType="end"/>
            </w:r>
          </w:hyperlink>
        </w:p>
        <w:p w14:paraId="59FC96DA" w14:textId="2782D291" w:rsidR="00765E8C" w:rsidRDefault="00765E8C">
          <w:pPr>
            <w:pStyle w:val="TOC2"/>
            <w:tabs>
              <w:tab w:val="left" w:pos="541"/>
              <w:tab w:val="right" w:leader="dot" w:pos="9350"/>
            </w:tabs>
            <w:rPr>
              <w:b w:val="0"/>
              <w:bCs w:val="0"/>
              <w:smallCaps w:val="0"/>
              <w:noProof/>
              <w:sz w:val="24"/>
              <w:szCs w:val="24"/>
            </w:rPr>
          </w:pPr>
          <w:hyperlink w:anchor="_Toc208699136" w:history="1">
            <w:r w:rsidRPr="00EF019C">
              <w:rPr>
                <w:rStyle w:val="Hyperlink"/>
                <w:noProof/>
              </w:rPr>
              <w:t>3.7</w:t>
            </w:r>
            <w:r>
              <w:rPr>
                <w:b w:val="0"/>
                <w:bCs w:val="0"/>
                <w:smallCaps w:val="0"/>
                <w:noProof/>
                <w:sz w:val="24"/>
                <w:szCs w:val="24"/>
              </w:rPr>
              <w:tab/>
            </w:r>
            <w:r w:rsidRPr="00EF019C">
              <w:rPr>
                <w:rStyle w:val="Hyperlink"/>
                <w:noProof/>
              </w:rPr>
              <w:t>Conclusion to Section 3</w:t>
            </w:r>
            <w:r>
              <w:rPr>
                <w:noProof/>
                <w:webHidden/>
              </w:rPr>
              <w:tab/>
            </w:r>
            <w:r>
              <w:rPr>
                <w:noProof/>
                <w:webHidden/>
              </w:rPr>
              <w:fldChar w:fldCharType="begin"/>
            </w:r>
            <w:r>
              <w:rPr>
                <w:noProof/>
                <w:webHidden/>
              </w:rPr>
              <w:instrText xml:space="preserve"> PAGEREF _Toc208699136 \h </w:instrText>
            </w:r>
            <w:r>
              <w:rPr>
                <w:noProof/>
                <w:webHidden/>
              </w:rPr>
            </w:r>
            <w:r>
              <w:rPr>
                <w:noProof/>
                <w:webHidden/>
              </w:rPr>
              <w:fldChar w:fldCharType="separate"/>
            </w:r>
            <w:r>
              <w:rPr>
                <w:noProof/>
                <w:webHidden/>
              </w:rPr>
              <w:t>15</w:t>
            </w:r>
            <w:r>
              <w:rPr>
                <w:noProof/>
                <w:webHidden/>
              </w:rPr>
              <w:fldChar w:fldCharType="end"/>
            </w:r>
          </w:hyperlink>
        </w:p>
        <w:p w14:paraId="4A3411F2" w14:textId="5CF412F7" w:rsidR="00765E8C" w:rsidRDefault="00765E8C">
          <w:pPr>
            <w:pStyle w:val="TOC1"/>
            <w:tabs>
              <w:tab w:val="left" w:pos="358"/>
              <w:tab w:val="right" w:leader="dot" w:pos="9350"/>
            </w:tabs>
            <w:rPr>
              <w:b w:val="0"/>
              <w:bCs w:val="0"/>
              <w:caps w:val="0"/>
              <w:noProof/>
              <w:sz w:val="24"/>
              <w:szCs w:val="24"/>
              <w:u w:val="none"/>
            </w:rPr>
          </w:pPr>
          <w:hyperlink w:anchor="_Toc208699137" w:history="1">
            <w:r w:rsidRPr="00EF019C">
              <w:rPr>
                <w:rStyle w:val="Hyperlink"/>
                <w:noProof/>
              </w:rPr>
              <w:t>4</w:t>
            </w:r>
            <w:r>
              <w:rPr>
                <w:b w:val="0"/>
                <w:bCs w:val="0"/>
                <w:caps w:val="0"/>
                <w:noProof/>
                <w:sz w:val="24"/>
                <w:szCs w:val="24"/>
                <w:u w:val="none"/>
              </w:rPr>
              <w:tab/>
            </w:r>
            <w:r w:rsidRPr="00EF019C">
              <w:rPr>
                <w:rStyle w:val="Hyperlink"/>
                <w:noProof/>
              </w:rPr>
              <w:t>Research Methodology</w:t>
            </w:r>
            <w:r>
              <w:rPr>
                <w:noProof/>
                <w:webHidden/>
              </w:rPr>
              <w:tab/>
            </w:r>
            <w:r>
              <w:rPr>
                <w:noProof/>
                <w:webHidden/>
              </w:rPr>
              <w:fldChar w:fldCharType="begin"/>
            </w:r>
            <w:r>
              <w:rPr>
                <w:noProof/>
                <w:webHidden/>
              </w:rPr>
              <w:instrText xml:space="preserve"> PAGEREF _Toc208699137 \h </w:instrText>
            </w:r>
            <w:r>
              <w:rPr>
                <w:noProof/>
                <w:webHidden/>
              </w:rPr>
            </w:r>
            <w:r>
              <w:rPr>
                <w:noProof/>
                <w:webHidden/>
              </w:rPr>
              <w:fldChar w:fldCharType="separate"/>
            </w:r>
            <w:r>
              <w:rPr>
                <w:noProof/>
                <w:webHidden/>
              </w:rPr>
              <w:t>15</w:t>
            </w:r>
            <w:r>
              <w:rPr>
                <w:noProof/>
                <w:webHidden/>
              </w:rPr>
              <w:fldChar w:fldCharType="end"/>
            </w:r>
          </w:hyperlink>
        </w:p>
        <w:p w14:paraId="4AA14835" w14:textId="01A053AF" w:rsidR="00765E8C" w:rsidRDefault="00765E8C">
          <w:pPr>
            <w:pStyle w:val="TOC2"/>
            <w:tabs>
              <w:tab w:val="left" w:pos="541"/>
              <w:tab w:val="right" w:leader="dot" w:pos="9350"/>
            </w:tabs>
            <w:rPr>
              <w:b w:val="0"/>
              <w:bCs w:val="0"/>
              <w:smallCaps w:val="0"/>
              <w:noProof/>
              <w:sz w:val="24"/>
              <w:szCs w:val="24"/>
            </w:rPr>
          </w:pPr>
          <w:hyperlink w:anchor="_Toc208699138" w:history="1">
            <w:r w:rsidRPr="00EF019C">
              <w:rPr>
                <w:rStyle w:val="Hyperlink"/>
                <w:noProof/>
              </w:rPr>
              <w:t>4.1</w:t>
            </w:r>
            <w:r>
              <w:rPr>
                <w:b w:val="0"/>
                <w:bCs w:val="0"/>
                <w:smallCaps w:val="0"/>
                <w:noProof/>
                <w:sz w:val="24"/>
                <w:szCs w:val="24"/>
              </w:rPr>
              <w:tab/>
            </w:r>
            <w:r w:rsidRPr="00EF019C">
              <w:rPr>
                <w:rStyle w:val="Hyperlink"/>
                <w:noProof/>
              </w:rPr>
              <w:t>Justification for Qualitative Orientation</w:t>
            </w:r>
            <w:r>
              <w:rPr>
                <w:noProof/>
                <w:webHidden/>
              </w:rPr>
              <w:tab/>
            </w:r>
            <w:r>
              <w:rPr>
                <w:noProof/>
                <w:webHidden/>
              </w:rPr>
              <w:fldChar w:fldCharType="begin"/>
            </w:r>
            <w:r>
              <w:rPr>
                <w:noProof/>
                <w:webHidden/>
              </w:rPr>
              <w:instrText xml:space="preserve"> PAGEREF _Toc208699138 \h </w:instrText>
            </w:r>
            <w:r>
              <w:rPr>
                <w:noProof/>
                <w:webHidden/>
              </w:rPr>
            </w:r>
            <w:r>
              <w:rPr>
                <w:noProof/>
                <w:webHidden/>
              </w:rPr>
              <w:fldChar w:fldCharType="separate"/>
            </w:r>
            <w:r>
              <w:rPr>
                <w:noProof/>
                <w:webHidden/>
              </w:rPr>
              <w:t>15</w:t>
            </w:r>
            <w:r>
              <w:rPr>
                <w:noProof/>
                <w:webHidden/>
              </w:rPr>
              <w:fldChar w:fldCharType="end"/>
            </w:r>
          </w:hyperlink>
        </w:p>
        <w:p w14:paraId="285BE42F" w14:textId="50F9235A" w:rsidR="00765E8C" w:rsidRDefault="00765E8C">
          <w:pPr>
            <w:pStyle w:val="TOC2"/>
            <w:tabs>
              <w:tab w:val="left" w:pos="541"/>
              <w:tab w:val="right" w:leader="dot" w:pos="9350"/>
            </w:tabs>
            <w:rPr>
              <w:b w:val="0"/>
              <w:bCs w:val="0"/>
              <w:smallCaps w:val="0"/>
              <w:noProof/>
              <w:sz w:val="24"/>
              <w:szCs w:val="24"/>
            </w:rPr>
          </w:pPr>
          <w:hyperlink w:anchor="_Toc208699139" w:history="1">
            <w:r w:rsidRPr="00EF019C">
              <w:rPr>
                <w:rStyle w:val="Hyperlink"/>
                <w:noProof/>
              </w:rPr>
              <w:t>4.2</w:t>
            </w:r>
            <w:r>
              <w:rPr>
                <w:b w:val="0"/>
                <w:bCs w:val="0"/>
                <w:smallCaps w:val="0"/>
                <w:noProof/>
                <w:sz w:val="24"/>
                <w:szCs w:val="24"/>
              </w:rPr>
              <w:tab/>
            </w:r>
            <w:r w:rsidRPr="00EF019C">
              <w:rPr>
                <w:rStyle w:val="Hyperlink"/>
                <w:noProof/>
              </w:rPr>
              <w:t>Data Collection Methods</w:t>
            </w:r>
            <w:r>
              <w:rPr>
                <w:noProof/>
                <w:webHidden/>
              </w:rPr>
              <w:tab/>
            </w:r>
            <w:r>
              <w:rPr>
                <w:noProof/>
                <w:webHidden/>
              </w:rPr>
              <w:fldChar w:fldCharType="begin"/>
            </w:r>
            <w:r>
              <w:rPr>
                <w:noProof/>
                <w:webHidden/>
              </w:rPr>
              <w:instrText xml:space="preserve"> PAGEREF _Toc208699139 \h </w:instrText>
            </w:r>
            <w:r>
              <w:rPr>
                <w:noProof/>
                <w:webHidden/>
              </w:rPr>
            </w:r>
            <w:r>
              <w:rPr>
                <w:noProof/>
                <w:webHidden/>
              </w:rPr>
              <w:fldChar w:fldCharType="separate"/>
            </w:r>
            <w:r>
              <w:rPr>
                <w:noProof/>
                <w:webHidden/>
              </w:rPr>
              <w:t>16</w:t>
            </w:r>
            <w:r>
              <w:rPr>
                <w:noProof/>
                <w:webHidden/>
              </w:rPr>
              <w:fldChar w:fldCharType="end"/>
            </w:r>
          </w:hyperlink>
        </w:p>
        <w:p w14:paraId="684DAB20" w14:textId="7C79CBF9" w:rsidR="00765E8C" w:rsidRDefault="00765E8C">
          <w:pPr>
            <w:pStyle w:val="TOC2"/>
            <w:tabs>
              <w:tab w:val="left" w:pos="541"/>
              <w:tab w:val="right" w:leader="dot" w:pos="9350"/>
            </w:tabs>
            <w:rPr>
              <w:b w:val="0"/>
              <w:bCs w:val="0"/>
              <w:smallCaps w:val="0"/>
              <w:noProof/>
              <w:sz w:val="24"/>
              <w:szCs w:val="24"/>
            </w:rPr>
          </w:pPr>
          <w:hyperlink w:anchor="_Toc208699140" w:history="1">
            <w:r w:rsidRPr="00EF019C">
              <w:rPr>
                <w:rStyle w:val="Hyperlink"/>
                <w:noProof/>
              </w:rPr>
              <w:t>4.3</w:t>
            </w:r>
            <w:r>
              <w:rPr>
                <w:b w:val="0"/>
                <w:bCs w:val="0"/>
                <w:smallCaps w:val="0"/>
                <w:noProof/>
                <w:sz w:val="24"/>
                <w:szCs w:val="24"/>
              </w:rPr>
              <w:tab/>
            </w:r>
            <w:r w:rsidRPr="00EF019C">
              <w:rPr>
                <w:rStyle w:val="Hyperlink"/>
                <w:noProof/>
              </w:rPr>
              <w:t>Data Collection Procedures</w:t>
            </w:r>
            <w:r>
              <w:rPr>
                <w:noProof/>
                <w:webHidden/>
              </w:rPr>
              <w:tab/>
            </w:r>
            <w:r>
              <w:rPr>
                <w:noProof/>
                <w:webHidden/>
              </w:rPr>
              <w:fldChar w:fldCharType="begin"/>
            </w:r>
            <w:r>
              <w:rPr>
                <w:noProof/>
                <w:webHidden/>
              </w:rPr>
              <w:instrText xml:space="preserve"> PAGEREF _Toc208699140 \h </w:instrText>
            </w:r>
            <w:r>
              <w:rPr>
                <w:noProof/>
                <w:webHidden/>
              </w:rPr>
            </w:r>
            <w:r>
              <w:rPr>
                <w:noProof/>
                <w:webHidden/>
              </w:rPr>
              <w:fldChar w:fldCharType="separate"/>
            </w:r>
            <w:r>
              <w:rPr>
                <w:noProof/>
                <w:webHidden/>
              </w:rPr>
              <w:t>17</w:t>
            </w:r>
            <w:r>
              <w:rPr>
                <w:noProof/>
                <w:webHidden/>
              </w:rPr>
              <w:fldChar w:fldCharType="end"/>
            </w:r>
          </w:hyperlink>
        </w:p>
        <w:p w14:paraId="06AAD27B" w14:textId="0D993CE2" w:rsidR="00765E8C" w:rsidRDefault="00765E8C">
          <w:pPr>
            <w:pStyle w:val="TOC2"/>
            <w:tabs>
              <w:tab w:val="left" w:pos="541"/>
              <w:tab w:val="right" w:leader="dot" w:pos="9350"/>
            </w:tabs>
            <w:rPr>
              <w:b w:val="0"/>
              <w:bCs w:val="0"/>
              <w:smallCaps w:val="0"/>
              <w:noProof/>
              <w:sz w:val="24"/>
              <w:szCs w:val="24"/>
            </w:rPr>
          </w:pPr>
          <w:hyperlink w:anchor="_Toc208699141" w:history="1">
            <w:r w:rsidRPr="00EF019C">
              <w:rPr>
                <w:rStyle w:val="Hyperlink"/>
                <w:noProof/>
              </w:rPr>
              <w:t>4.4</w:t>
            </w:r>
            <w:r>
              <w:rPr>
                <w:b w:val="0"/>
                <w:bCs w:val="0"/>
                <w:smallCaps w:val="0"/>
                <w:noProof/>
                <w:sz w:val="24"/>
                <w:szCs w:val="24"/>
              </w:rPr>
              <w:tab/>
            </w:r>
            <w:r w:rsidRPr="00EF019C">
              <w:rPr>
                <w:rStyle w:val="Hyperlink"/>
                <w:noProof/>
              </w:rPr>
              <w:t>Data Analysis Procedures</w:t>
            </w:r>
            <w:r>
              <w:rPr>
                <w:noProof/>
                <w:webHidden/>
              </w:rPr>
              <w:tab/>
            </w:r>
            <w:r>
              <w:rPr>
                <w:noProof/>
                <w:webHidden/>
              </w:rPr>
              <w:fldChar w:fldCharType="begin"/>
            </w:r>
            <w:r>
              <w:rPr>
                <w:noProof/>
                <w:webHidden/>
              </w:rPr>
              <w:instrText xml:space="preserve"> PAGEREF _Toc208699141 \h </w:instrText>
            </w:r>
            <w:r>
              <w:rPr>
                <w:noProof/>
                <w:webHidden/>
              </w:rPr>
            </w:r>
            <w:r>
              <w:rPr>
                <w:noProof/>
                <w:webHidden/>
              </w:rPr>
              <w:fldChar w:fldCharType="separate"/>
            </w:r>
            <w:r>
              <w:rPr>
                <w:noProof/>
                <w:webHidden/>
              </w:rPr>
              <w:t>18</w:t>
            </w:r>
            <w:r>
              <w:rPr>
                <w:noProof/>
                <w:webHidden/>
              </w:rPr>
              <w:fldChar w:fldCharType="end"/>
            </w:r>
          </w:hyperlink>
        </w:p>
        <w:p w14:paraId="625962B7" w14:textId="763B736D" w:rsidR="00765E8C" w:rsidRDefault="00765E8C">
          <w:pPr>
            <w:pStyle w:val="TOC2"/>
            <w:tabs>
              <w:tab w:val="left" w:pos="541"/>
              <w:tab w:val="right" w:leader="dot" w:pos="9350"/>
            </w:tabs>
            <w:rPr>
              <w:b w:val="0"/>
              <w:bCs w:val="0"/>
              <w:smallCaps w:val="0"/>
              <w:noProof/>
              <w:sz w:val="24"/>
              <w:szCs w:val="24"/>
            </w:rPr>
          </w:pPr>
          <w:hyperlink w:anchor="_Toc208699142" w:history="1">
            <w:r w:rsidRPr="00EF019C">
              <w:rPr>
                <w:rStyle w:val="Hyperlink"/>
                <w:noProof/>
              </w:rPr>
              <w:t>4.5</w:t>
            </w:r>
            <w:r>
              <w:rPr>
                <w:b w:val="0"/>
                <w:bCs w:val="0"/>
                <w:smallCaps w:val="0"/>
                <w:noProof/>
                <w:sz w:val="24"/>
                <w:szCs w:val="24"/>
              </w:rPr>
              <w:tab/>
            </w:r>
            <w:r w:rsidRPr="00EF019C">
              <w:rPr>
                <w:rStyle w:val="Hyperlink"/>
                <w:noProof/>
              </w:rPr>
              <w:t>Ethical Consideration</w:t>
            </w:r>
            <w:r>
              <w:rPr>
                <w:noProof/>
                <w:webHidden/>
              </w:rPr>
              <w:tab/>
            </w:r>
            <w:r>
              <w:rPr>
                <w:noProof/>
                <w:webHidden/>
              </w:rPr>
              <w:fldChar w:fldCharType="begin"/>
            </w:r>
            <w:r>
              <w:rPr>
                <w:noProof/>
                <w:webHidden/>
              </w:rPr>
              <w:instrText xml:space="preserve"> PAGEREF _Toc208699142 \h </w:instrText>
            </w:r>
            <w:r>
              <w:rPr>
                <w:noProof/>
                <w:webHidden/>
              </w:rPr>
            </w:r>
            <w:r>
              <w:rPr>
                <w:noProof/>
                <w:webHidden/>
              </w:rPr>
              <w:fldChar w:fldCharType="separate"/>
            </w:r>
            <w:r>
              <w:rPr>
                <w:noProof/>
                <w:webHidden/>
              </w:rPr>
              <w:t>19</w:t>
            </w:r>
            <w:r>
              <w:rPr>
                <w:noProof/>
                <w:webHidden/>
              </w:rPr>
              <w:fldChar w:fldCharType="end"/>
            </w:r>
          </w:hyperlink>
        </w:p>
        <w:p w14:paraId="1A2D02DD" w14:textId="55B50E41" w:rsidR="00765E8C" w:rsidRDefault="00765E8C">
          <w:pPr>
            <w:pStyle w:val="TOC2"/>
            <w:tabs>
              <w:tab w:val="left" w:pos="541"/>
              <w:tab w:val="right" w:leader="dot" w:pos="9350"/>
            </w:tabs>
            <w:rPr>
              <w:b w:val="0"/>
              <w:bCs w:val="0"/>
              <w:smallCaps w:val="0"/>
              <w:noProof/>
              <w:sz w:val="24"/>
              <w:szCs w:val="24"/>
            </w:rPr>
          </w:pPr>
          <w:hyperlink w:anchor="_Toc208699143" w:history="1">
            <w:r w:rsidRPr="00EF019C">
              <w:rPr>
                <w:rStyle w:val="Hyperlink"/>
                <w:noProof/>
              </w:rPr>
              <w:t>4.6</w:t>
            </w:r>
            <w:r>
              <w:rPr>
                <w:b w:val="0"/>
                <w:bCs w:val="0"/>
                <w:smallCaps w:val="0"/>
                <w:noProof/>
                <w:sz w:val="24"/>
                <w:szCs w:val="24"/>
              </w:rPr>
              <w:tab/>
            </w:r>
            <w:r w:rsidRPr="00EF019C">
              <w:rPr>
                <w:rStyle w:val="Hyperlink"/>
                <w:noProof/>
              </w:rPr>
              <w:t>Qualitative Limitation</w:t>
            </w:r>
            <w:r>
              <w:rPr>
                <w:noProof/>
                <w:webHidden/>
              </w:rPr>
              <w:tab/>
            </w:r>
            <w:r>
              <w:rPr>
                <w:noProof/>
                <w:webHidden/>
              </w:rPr>
              <w:fldChar w:fldCharType="begin"/>
            </w:r>
            <w:r>
              <w:rPr>
                <w:noProof/>
                <w:webHidden/>
              </w:rPr>
              <w:instrText xml:space="preserve"> PAGEREF _Toc208699143 \h </w:instrText>
            </w:r>
            <w:r>
              <w:rPr>
                <w:noProof/>
                <w:webHidden/>
              </w:rPr>
            </w:r>
            <w:r>
              <w:rPr>
                <w:noProof/>
                <w:webHidden/>
              </w:rPr>
              <w:fldChar w:fldCharType="separate"/>
            </w:r>
            <w:r>
              <w:rPr>
                <w:noProof/>
                <w:webHidden/>
              </w:rPr>
              <w:t>19</w:t>
            </w:r>
            <w:r>
              <w:rPr>
                <w:noProof/>
                <w:webHidden/>
              </w:rPr>
              <w:fldChar w:fldCharType="end"/>
            </w:r>
          </w:hyperlink>
        </w:p>
        <w:p w14:paraId="4BD39FD7" w14:textId="37BC0FF9" w:rsidR="00765E8C" w:rsidRDefault="00765E8C">
          <w:pPr>
            <w:pStyle w:val="TOC2"/>
            <w:tabs>
              <w:tab w:val="left" w:pos="541"/>
              <w:tab w:val="right" w:leader="dot" w:pos="9350"/>
            </w:tabs>
            <w:rPr>
              <w:b w:val="0"/>
              <w:bCs w:val="0"/>
              <w:smallCaps w:val="0"/>
              <w:noProof/>
              <w:sz w:val="24"/>
              <w:szCs w:val="24"/>
            </w:rPr>
          </w:pPr>
          <w:hyperlink w:anchor="_Toc208699144" w:history="1">
            <w:r w:rsidRPr="00EF019C">
              <w:rPr>
                <w:rStyle w:val="Hyperlink"/>
                <w:noProof/>
              </w:rPr>
              <w:t>4.7</w:t>
            </w:r>
            <w:r>
              <w:rPr>
                <w:b w:val="0"/>
                <w:bCs w:val="0"/>
                <w:smallCaps w:val="0"/>
                <w:noProof/>
                <w:sz w:val="24"/>
                <w:szCs w:val="24"/>
              </w:rPr>
              <w:tab/>
            </w:r>
            <w:r w:rsidRPr="00EF019C">
              <w:rPr>
                <w:rStyle w:val="Hyperlink"/>
                <w:noProof/>
              </w:rPr>
              <w:t>Limitations of the Design</w:t>
            </w:r>
            <w:r>
              <w:rPr>
                <w:noProof/>
                <w:webHidden/>
              </w:rPr>
              <w:tab/>
            </w:r>
            <w:r>
              <w:rPr>
                <w:noProof/>
                <w:webHidden/>
              </w:rPr>
              <w:fldChar w:fldCharType="begin"/>
            </w:r>
            <w:r>
              <w:rPr>
                <w:noProof/>
                <w:webHidden/>
              </w:rPr>
              <w:instrText xml:space="preserve"> PAGEREF _Toc208699144 \h </w:instrText>
            </w:r>
            <w:r>
              <w:rPr>
                <w:noProof/>
                <w:webHidden/>
              </w:rPr>
            </w:r>
            <w:r>
              <w:rPr>
                <w:noProof/>
                <w:webHidden/>
              </w:rPr>
              <w:fldChar w:fldCharType="separate"/>
            </w:r>
            <w:r>
              <w:rPr>
                <w:noProof/>
                <w:webHidden/>
              </w:rPr>
              <w:t>20</w:t>
            </w:r>
            <w:r>
              <w:rPr>
                <w:noProof/>
                <w:webHidden/>
              </w:rPr>
              <w:fldChar w:fldCharType="end"/>
            </w:r>
          </w:hyperlink>
        </w:p>
        <w:p w14:paraId="10A7E6DB" w14:textId="39791C15" w:rsidR="00765E8C" w:rsidRDefault="00765E8C">
          <w:pPr>
            <w:pStyle w:val="TOC2"/>
            <w:tabs>
              <w:tab w:val="left" w:pos="541"/>
              <w:tab w:val="right" w:leader="dot" w:pos="9350"/>
            </w:tabs>
            <w:rPr>
              <w:b w:val="0"/>
              <w:bCs w:val="0"/>
              <w:smallCaps w:val="0"/>
              <w:noProof/>
              <w:sz w:val="24"/>
              <w:szCs w:val="24"/>
            </w:rPr>
          </w:pPr>
          <w:hyperlink w:anchor="_Toc208699145" w:history="1">
            <w:r w:rsidRPr="00EF019C">
              <w:rPr>
                <w:rStyle w:val="Hyperlink"/>
                <w:noProof/>
              </w:rPr>
              <w:t>4.8</w:t>
            </w:r>
            <w:r>
              <w:rPr>
                <w:b w:val="0"/>
                <w:bCs w:val="0"/>
                <w:smallCaps w:val="0"/>
                <w:noProof/>
                <w:sz w:val="24"/>
                <w:szCs w:val="24"/>
              </w:rPr>
              <w:tab/>
            </w:r>
            <w:r w:rsidRPr="00EF019C">
              <w:rPr>
                <w:rStyle w:val="Hyperlink"/>
                <w:noProof/>
              </w:rPr>
              <w:t>Research Timeline</w:t>
            </w:r>
            <w:r>
              <w:rPr>
                <w:noProof/>
                <w:webHidden/>
              </w:rPr>
              <w:tab/>
            </w:r>
            <w:r>
              <w:rPr>
                <w:noProof/>
                <w:webHidden/>
              </w:rPr>
              <w:fldChar w:fldCharType="begin"/>
            </w:r>
            <w:r>
              <w:rPr>
                <w:noProof/>
                <w:webHidden/>
              </w:rPr>
              <w:instrText xml:space="preserve"> PAGEREF _Toc208699145 \h </w:instrText>
            </w:r>
            <w:r>
              <w:rPr>
                <w:noProof/>
                <w:webHidden/>
              </w:rPr>
            </w:r>
            <w:r>
              <w:rPr>
                <w:noProof/>
                <w:webHidden/>
              </w:rPr>
              <w:fldChar w:fldCharType="separate"/>
            </w:r>
            <w:r>
              <w:rPr>
                <w:noProof/>
                <w:webHidden/>
              </w:rPr>
              <w:t>20</w:t>
            </w:r>
            <w:r>
              <w:rPr>
                <w:noProof/>
                <w:webHidden/>
              </w:rPr>
              <w:fldChar w:fldCharType="end"/>
            </w:r>
          </w:hyperlink>
        </w:p>
        <w:p w14:paraId="14501AAE" w14:textId="3E7A0188" w:rsidR="00765E8C" w:rsidRDefault="00765E8C">
          <w:pPr>
            <w:pStyle w:val="TOC2"/>
            <w:tabs>
              <w:tab w:val="left" w:pos="541"/>
              <w:tab w:val="right" w:leader="dot" w:pos="9350"/>
            </w:tabs>
            <w:rPr>
              <w:b w:val="0"/>
              <w:bCs w:val="0"/>
              <w:smallCaps w:val="0"/>
              <w:noProof/>
              <w:sz w:val="24"/>
              <w:szCs w:val="24"/>
            </w:rPr>
          </w:pPr>
          <w:hyperlink w:anchor="_Toc208699146" w:history="1">
            <w:r w:rsidRPr="00EF019C">
              <w:rPr>
                <w:rStyle w:val="Hyperlink"/>
                <w:noProof/>
                <w:kern w:val="0"/>
                <w14:ligatures w14:val="none"/>
              </w:rPr>
              <w:t>4.9</w:t>
            </w:r>
            <w:r>
              <w:rPr>
                <w:b w:val="0"/>
                <w:bCs w:val="0"/>
                <w:smallCaps w:val="0"/>
                <w:noProof/>
                <w:sz w:val="24"/>
                <w:szCs w:val="24"/>
              </w:rPr>
              <w:tab/>
            </w:r>
            <w:r w:rsidRPr="00EF019C">
              <w:rPr>
                <w:rStyle w:val="Hyperlink"/>
                <w:noProof/>
              </w:rPr>
              <w:t>Conclusion to Section 4</w:t>
            </w:r>
            <w:r>
              <w:rPr>
                <w:noProof/>
                <w:webHidden/>
              </w:rPr>
              <w:tab/>
            </w:r>
            <w:r>
              <w:rPr>
                <w:noProof/>
                <w:webHidden/>
              </w:rPr>
              <w:fldChar w:fldCharType="begin"/>
            </w:r>
            <w:r>
              <w:rPr>
                <w:noProof/>
                <w:webHidden/>
              </w:rPr>
              <w:instrText xml:space="preserve"> PAGEREF _Toc208699146 \h </w:instrText>
            </w:r>
            <w:r>
              <w:rPr>
                <w:noProof/>
                <w:webHidden/>
              </w:rPr>
            </w:r>
            <w:r>
              <w:rPr>
                <w:noProof/>
                <w:webHidden/>
              </w:rPr>
              <w:fldChar w:fldCharType="separate"/>
            </w:r>
            <w:r>
              <w:rPr>
                <w:noProof/>
                <w:webHidden/>
              </w:rPr>
              <w:t>21</w:t>
            </w:r>
            <w:r>
              <w:rPr>
                <w:noProof/>
                <w:webHidden/>
              </w:rPr>
              <w:fldChar w:fldCharType="end"/>
            </w:r>
          </w:hyperlink>
        </w:p>
        <w:p w14:paraId="601C44C0" w14:textId="44DFB5A5" w:rsidR="00765E8C" w:rsidRDefault="00765E8C">
          <w:pPr>
            <w:pStyle w:val="TOC1"/>
            <w:tabs>
              <w:tab w:val="left" w:pos="358"/>
              <w:tab w:val="right" w:leader="dot" w:pos="9350"/>
            </w:tabs>
            <w:rPr>
              <w:b w:val="0"/>
              <w:bCs w:val="0"/>
              <w:caps w:val="0"/>
              <w:noProof/>
              <w:sz w:val="24"/>
              <w:szCs w:val="24"/>
              <w:u w:val="none"/>
            </w:rPr>
          </w:pPr>
          <w:hyperlink w:anchor="_Toc208699147" w:history="1">
            <w:r w:rsidRPr="00EF019C">
              <w:rPr>
                <w:rStyle w:val="Hyperlink"/>
                <w:noProof/>
              </w:rPr>
              <w:t>5</w:t>
            </w:r>
            <w:r>
              <w:rPr>
                <w:b w:val="0"/>
                <w:bCs w:val="0"/>
                <w:caps w:val="0"/>
                <w:noProof/>
                <w:sz w:val="24"/>
                <w:szCs w:val="24"/>
                <w:u w:val="none"/>
              </w:rPr>
              <w:tab/>
            </w:r>
            <w:r w:rsidRPr="00EF019C">
              <w:rPr>
                <w:rStyle w:val="Hyperlink"/>
                <w:noProof/>
              </w:rPr>
              <w:t>Advance Your Philosophical Understanding of Research Approaches</w:t>
            </w:r>
            <w:r>
              <w:rPr>
                <w:noProof/>
                <w:webHidden/>
              </w:rPr>
              <w:tab/>
            </w:r>
            <w:r>
              <w:rPr>
                <w:noProof/>
                <w:webHidden/>
              </w:rPr>
              <w:fldChar w:fldCharType="begin"/>
            </w:r>
            <w:r>
              <w:rPr>
                <w:noProof/>
                <w:webHidden/>
              </w:rPr>
              <w:instrText xml:space="preserve"> PAGEREF _Toc208699147 \h </w:instrText>
            </w:r>
            <w:r>
              <w:rPr>
                <w:noProof/>
                <w:webHidden/>
              </w:rPr>
            </w:r>
            <w:r>
              <w:rPr>
                <w:noProof/>
                <w:webHidden/>
              </w:rPr>
              <w:fldChar w:fldCharType="separate"/>
            </w:r>
            <w:r>
              <w:rPr>
                <w:noProof/>
                <w:webHidden/>
              </w:rPr>
              <w:t>21</w:t>
            </w:r>
            <w:r>
              <w:rPr>
                <w:noProof/>
                <w:webHidden/>
              </w:rPr>
              <w:fldChar w:fldCharType="end"/>
            </w:r>
          </w:hyperlink>
        </w:p>
        <w:p w14:paraId="378654CA" w14:textId="525F5489" w:rsidR="00765E8C" w:rsidRDefault="00765E8C">
          <w:pPr>
            <w:pStyle w:val="TOC2"/>
            <w:tabs>
              <w:tab w:val="left" w:pos="541"/>
              <w:tab w:val="right" w:leader="dot" w:pos="9350"/>
            </w:tabs>
            <w:rPr>
              <w:b w:val="0"/>
              <w:bCs w:val="0"/>
              <w:smallCaps w:val="0"/>
              <w:noProof/>
              <w:sz w:val="24"/>
              <w:szCs w:val="24"/>
            </w:rPr>
          </w:pPr>
          <w:hyperlink w:anchor="_Toc208699148" w:history="1">
            <w:r w:rsidRPr="00EF019C">
              <w:rPr>
                <w:rStyle w:val="Hyperlink"/>
                <w:noProof/>
              </w:rPr>
              <w:t>5.1</w:t>
            </w:r>
            <w:r>
              <w:rPr>
                <w:b w:val="0"/>
                <w:bCs w:val="0"/>
                <w:smallCaps w:val="0"/>
                <w:noProof/>
                <w:sz w:val="24"/>
                <w:szCs w:val="24"/>
              </w:rPr>
              <w:tab/>
            </w:r>
            <w:r w:rsidRPr="00EF019C">
              <w:rPr>
                <w:rStyle w:val="Hyperlink"/>
                <w:noProof/>
              </w:rPr>
              <w:t>Innovation of the Research Framework</w:t>
            </w:r>
            <w:r>
              <w:rPr>
                <w:noProof/>
                <w:webHidden/>
              </w:rPr>
              <w:tab/>
            </w:r>
            <w:r>
              <w:rPr>
                <w:noProof/>
                <w:webHidden/>
              </w:rPr>
              <w:fldChar w:fldCharType="begin"/>
            </w:r>
            <w:r>
              <w:rPr>
                <w:noProof/>
                <w:webHidden/>
              </w:rPr>
              <w:instrText xml:space="preserve"> PAGEREF _Toc208699148 \h </w:instrText>
            </w:r>
            <w:r>
              <w:rPr>
                <w:noProof/>
                <w:webHidden/>
              </w:rPr>
            </w:r>
            <w:r>
              <w:rPr>
                <w:noProof/>
                <w:webHidden/>
              </w:rPr>
              <w:fldChar w:fldCharType="separate"/>
            </w:r>
            <w:r>
              <w:rPr>
                <w:noProof/>
                <w:webHidden/>
              </w:rPr>
              <w:t>21</w:t>
            </w:r>
            <w:r>
              <w:rPr>
                <w:noProof/>
                <w:webHidden/>
              </w:rPr>
              <w:fldChar w:fldCharType="end"/>
            </w:r>
          </w:hyperlink>
        </w:p>
        <w:p w14:paraId="376F9775" w14:textId="255C19C7" w:rsidR="00765E8C" w:rsidRDefault="00765E8C">
          <w:pPr>
            <w:pStyle w:val="TOC2"/>
            <w:tabs>
              <w:tab w:val="left" w:pos="541"/>
              <w:tab w:val="right" w:leader="dot" w:pos="9350"/>
            </w:tabs>
            <w:rPr>
              <w:b w:val="0"/>
              <w:bCs w:val="0"/>
              <w:smallCaps w:val="0"/>
              <w:noProof/>
              <w:sz w:val="24"/>
              <w:szCs w:val="24"/>
            </w:rPr>
          </w:pPr>
          <w:hyperlink w:anchor="_Toc208699149" w:history="1">
            <w:r w:rsidRPr="00EF019C">
              <w:rPr>
                <w:rStyle w:val="Hyperlink"/>
                <w:noProof/>
                <w:kern w:val="0"/>
                <w14:ligatures w14:val="none"/>
              </w:rPr>
              <w:t>5.2</w:t>
            </w:r>
            <w:r>
              <w:rPr>
                <w:b w:val="0"/>
                <w:bCs w:val="0"/>
                <w:smallCaps w:val="0"/>
                <w:noProof/>
                <w:sz w:val="24"/>
                <w:szCs w:val="24"/>
              </w:rPr>
              <w:tab/>
            </w:r>
            <w:r w:rsidRPr="00EF019C">
              <w:rPr>
                <w:rStyle w:val="Hyperlink"/>
                <w:noProof/>
              </w:rPr>
              <w:t>Theoretical Contributions</w:t>
            </w:r>
            <w:r>
              <w:rPr>
                <w:noProof/>
                <w:webHidden/>
              </w:rPr>
              <w:tab/>
            </w:r>
            <w:r>
              <w:rPr>
                <w:noProof/>
                <w:webHidden/>
              </w:rPr>
              <w:fldChar w:fldCharType="begin"/>
            </w:r>
            <w:r>
              <w:rPr>
                <w:noProof/>
                <w:webHidden/>
              </w:rPr>
              <w:instrText xml:space="preserve"> PAGEREF _Toc208699149 \h </w:instrText>
            </w:r>
            <w:r>
              <w:rPr>
                <w:noProof/>
                <w:webHidden/>
              </w:rPr>
            </w:r>
            <w:r>
              <w:rPr>
                <w:noProof/>
                <w:webHidden/>
              </w:rPr>
              <w:fldChar w:fldCharType="separate"/>
            </w:r>
            <w:r>
              <w:rPr>
                <w:noProof/>
                <w:webHidden/>
              </w:rPr>
              <w:t>22</w:t>
            </w:r>
            <w:r>
              <w:rPr>
                <w:noProof/>
                <w:webHidden/>
              </w:rPr>
              <w:fldChar w:fldCharType="end"/>
            </w:r>
          </w:hyperlink>
        </w:p>
        <w:p w14:paraId="4F1247AF" w14:textId="4458C6A7" w:rsidR="00765E8C" w:rsidRDefault="00765E8C">
          <w:pPr>
            <w:pStyle w:val="TOC2"/>
            <w:tabs>
              <w:tab w:val="left" w:pos="541"/>
              <w:tab w:val="right" w:leader="dot" w:pos="9350"/>
            </w:tabs>
            <w:rPr>
              <w:b w:val="0"/>
              <w:bCs w:val="0"/>
              <w:smallCaps w:val="0"/>
              <w:noProof/>
              <w:sz w:val="24"/>
              <w:szCs w:val="24"/>
            </w:rPr>
          </w:pPr>
          <w:hyperlink w:anchor="_Toc208699150" w:history="1">
            <w:r w:rsidRPr="00EF019C">
              <w:rPr>
                <w:rStyle w:val="Hyperlink"/>
                <w:noProof/>
              </w:rPr>
              <w:t>5.3</w:t>
            </w:r>
            <w:r>
              <w:rPr>
                <w:b w:val="0"/>
                <w:bCs w:val="0"/>
                <w:smallCaps w:val="0"/>
                <w:noProof/>
                <w:sz w:val="24"/>
                <w:szCs w:val="24"/>
              </w:rPr>
              <w:tab/>
            </w:r>
            <w:r w:rsidRPr="00EF019C">
              <w:rPr>
                <w:rStyle w:val="Hyperlink"/>
                <w:noProof/>
              </w:rPr>
              <w:t>Practical Contributions</w:t>
            </w:r>
            <w:r>
              <w:rPr>
                <w:noProof/>
                <w:webHidden/>
              </w:rPr>
              <w:tab/>
            </w:r>
            <w:r>
              <w:rPr>
                <w:noProof/>
                <w:webHidden/>
              </w:rPr>
              <w:fldChar w:fldCharType="begin"/>
            </w:r>
            <w:r>
              <w:rPr>
                <w:noProof/>
                <w:webHidden/>
              </w:rPr>
              <w:instrText xml:space="preserve"> PAGEREF _Toc208699150 \h </w:instrText>
            </w:r>
            <w:r>
              <w:rPr>
                <w:noProof/>
                <w:webHidden/>
              </w:rPr>
            </w:r>
            <w:r>
              <w:rPr>
                <w:noProof/>
                <w:webHidden/>
              </w:rPr>
              <w:fldChar w:fldCharType="separate"/>
            </w:r>
            <w:r>
              <w:rPr>
                <w:noProof/>
                <w:webHidden/>
              </w:rPr>
              <w:t>24</w:t>
            </w:r>
            <w:r>
              <w:rPr>
                <w:noProof/>
                <w:webHidden/>
              </w:rPr>
              <w:fldChar w:fldCharType="end"/>
            </w:r>
          </w:hyperlink>
        </w:p>
        <w:p w14:paraId="0B54D8CC" w14:textId="04186D82" w:rsidR="00765E8C" w:rsidRDefault="00765E8C">
          <w:pPr>
            <w:pStyle w:val="TOC3"/>
            <w:tabs>
              <w:tab w:val="left" w:pos="755"/>
              <w:tab w:val="right" w:leader="dot" w:pos="9350"/>
            </w:tabs>
            <w:rPr>
              <w:smallCaps w:val="0"/>
              <w:noProof/>
              <w:sz w:val="24"/>
              <w:szCs w:val="24"/>
            </w:rPr>
          </w:pPr>
          <w:hyperlink w:anchor="_Toc208699151" w:history="1">
            <w:r w:rsidRPr="00EF019C">
              <w:rPr>
                <w:rStyle w:val="Hyperlink"/>
                <w:noProof/>
              </w:rPr>
              <w:t xml:space="preserve">5.3.1 </w:t>
            </w:r>
            <w:r>
              <w:rPr>
                <w:smallCaps w:val="0"/>
                <w:noProof/>
                <w:sz w:val="24"/>
                <w:szCs w:val="24"/>
              </w:rPr>
              <w:tab/>
            </w:r>
            <w:r w:rsidRPr="00EF019C">
              <w:rPr>
                <w:rStyle w:val="Hyperlink"/>
                <w:noProof/>
              </w:rPr>
              <w:t>Managerial Implications for Banks, Regulators and Corporations</w:t>
            </w:r>
            <w:r>
              <w:rPr>
                <w:noProof/>
                <w:webHidden/>
              </w:rPr>
              <w:tab/>
            </w:r>
            <w:r>
              <w:rPr>
                <w:noProof/>
                <w:webHidden/>
              </w:rPr>
              <w:fldChar w:fldCharType="begin"/>
            </w:r>
            <w:r>
              <w:rPr>
                <w:noProof/>
                <w:webHidden/>
              </w:rPr>
              <w:instrText xml:space="preserve"> PAGEREF _Toc208699151 \h </w:instrText>
            </w:r>
            <w:r>
              <w:rPr>
                <w:noProof/>
                <w:webHidden/>
              </w:rPr>
            </w:r>
            <w:r>
              <w:rPr>
                <w:noProof/>
                <w:webHidden/>
              </w:rPr>
              <w:fldChar w:fldCharType="separate"/>
            </w:r>
            <w:r>
              <w:rPr>
                <w:noProof/>
                <w:webHidden/>
              </w:rPr>
              <w:t>24</w:t>
            </w:r>
            <w:r>
              <w:rPr>
                <w:noProof/>
                <w:webHidden/>
              </w:rPr>
              <w:fldChar w:fldCharType="end"/>
            </w:r>
          </w:hyperlink>
        </w:p>
        <w:p w14:paraId="510DC3E1" w14:textId="4E282383" w:rsidR="00765E8C" w:rsidRDefault="00765E8C">
          <w:pPr>
            <w:pStyle w:val="TOC2"/>
            <w:tabs>
              <w:tab w:val="left" w:pos="541"/>
              <w:tab w:val="right" w:leader="dot" w:pos="9350"/>
            </w:tabs>
            <w:rPr>
              <w:b w:val="0"/>
              <w:bCs w:val="0"/>
              <w:smallCaps w:val="0"/>
              <w:noProof/>
              <w:sz w:val="24"/>
              <w:szCs w:val="24"/>
            </w:rPr>
          </w:pPr>
          <w:hyperlink w:anchor="_Toc208699152" w:history="1">
            <w:r w:rsidRPr="00EF019C">
              <w:rPr>
                <w:rStyle w:val="Hyperlink"/>
                <w:noProof/>
                <w:kern w:val="0"/>
                <w14:ligatures w14:val="none"/>
              </w:rPr>
              <w:t>5.4</w:t>
            </w:r>
            <w:r>
              <w:rPr>
                <w:b w:val="0"/>
                <w:bCs w:val="0"/>
                <w:smallCaps w:val="0"/>
                <w:noProof/>
                <w:sz w:val="24"/>
                <w:szCs w:val="24"/>
              </w:rPr>
              <w:tab/>
            </w:r>
            <w:r w:rsidRPr="00EF019C">
              <w:rPr>
                <w:rStyle w:val="Hyperlink"/>
                <w:noProof/>
              </w:rPr>
              <w:t>Limitations and Directions for Future Research</w:t>
            </w:r>
            <w:r>
              <w:rPr>
                <w:noProof/>
                <w:webHidden/>
              </w:rPr>
              <w:tab/>
            </w:r>
            <w:r>
              <w:rPr>
                <w:noProof/>
                <w:webHidden/>
              </w:rPr>
              <w:fldChar w:fldCharType="begin"/>
            </w:r>
            <w:r>
              <w:rPr>
                <w:noProof/>
                <w:webHidden/>
              </w:rPr>
              <w:instrText xml:space="preserve"> PAGEREF _Toc208699152 \h </w:instrText>
            </w:r>
            <w:r>
              <w:rPr>
                <w:noProof/>
                <w:webHidden/>
              </w:rPr>
            </w:r>
            <w:r>
              <w:rPr>
                <w:noProof/>
                <w:webHidden/>
              </w:rPr>
              <w:fldChar w:fldCharType="separate"/>
            </w:r>
            <w:r>
              <w:rPr>
                <w:noProof/>
                <w:webHidden/>
              </w:rPr>
              <w:t>25</w:t>
            </w:r>
            <w:r>
              <w:rPr>
                <w:noProof/>
                <w:webHidden/>
              </w:rPr>
              <w:fldChar w:fldCharType="end"/>
            </w:r>
          </w:hyperlink>
        </w:p>
        <w:p w14:paraId="18206A4E" w14:textId="65722D07" w:rsidR="00765E8C" w:rsidRDefault="00765E8C">
          <w:pPr>
            <w:pStyle w:val="TOC2"/>
            <w:tabs>
              <w:tab w:val="left" w:pos="541"/>
              <w:tab w:val="right" w:leader="dot" w:pos="9350"/>
            </w:tabs>
            <w:rPr>
              <w:b w:val="0"/>
              <w:bCs w:val="0"/>
              <w:smallCaps w:val="0"/>
              <w:noProof/>
              <w:sz w:val="24"/>
              <w:szCs w:val="24"/>
            </w:rPr>
          </w:pPr>
          <w:hyperlink w:anchor="_Toc208699153" w:history="1">
            <w:r w:rsidRPr="00EF019C">
              <w:rPr>
                <w:rStyle w:val="Hyperlink"/>
                <w:noProof/>
                <w:kern w:val="0"/>
                <w14:ligatures w14:val="none"/>
              </w:rPr>
              <w:t>5.5</w:t>
            </w:r>
            <w:r>
              <w:rPr>
                <w:b w:val="0"/>
                <w:bCs w:val="0"/>
                <w:smallCaps w:val="0"/>
                <w:noProof/>
                <w:sz w:val="24"/>
                <w:szCs w:val="24"/>
              </w:rPr>
              <w:tab/>
            </w:r>
            <w:r w:rsidRPr="00EF019C">
              <w:rPr>
                <w:rStyle w:val="Hyperlink"/>
                <w:noProof/>
              </w:rPr>
              <w:t>Future Research Directions</w:t>
            </w:r>
            <w:r>
              <w:rPr>
                <w:noProof/>
                <w:webHidden/>
              </w:rPr>
              <w:tab/>
            </w:r>
            <w:r>
              <w:rPr>
                <w:noProof/>
                <w:webHidden/>
              </w:rPr>
              <w:fldChar w:fldCharType="begin"/>
            </w:r>
            <w:r>
              <w:rPr>
                <w:noProof/>
                <w:webHidden/>
              </w:rPr>
              <w:instrText xml:space="preserve"> PAGEREF _Toc208699153 \h </w:instrText>
            </w:r>
            <w:r>
              <w:rPr>
                <w:noProof/>
                <w:webHidden/>
              </w:rPr>
            </w:r>
            <w:r>
              <w:rPr>
                <w:noProof/>
                <w:webHidden/>
              </w:rPr>
              <w:fldChar w:fldCharType="separate"/>
            </w:r>
            <w:r>
              <w:rPr>
                <w:noProof/>
                <w:webHidden/>
              </w:rPr>
              <w:t>26</w:t>
            </w:r>
            <w:r>
              <w:rPr>
                <w:noProof/>
                <w:webHidden/>
              </w:rPr>
              <w:fldChar w:fldCharType="end"/>
            </w:r>
          </w:hyperlink>
        </w:p>
        <w:p w14:paraId="2E9AE477" w14:textId="0532D861" w:rsidR="00765E8C" w:rsidRDefault="00765E8C">
          <w:pPr>
            <w:pStyle w:val="TOC1"/>
            <w:tabs>
              <w:tab w:val="left" w:pos="358"/>
              <w:tab w:val="right" w:leader="dot" w:pos="9350"/>
            </w:tabs>
            <w:rPr>
              <w:b w:val="0"/>
              <w:bCs w:val="0"/>
              <w:caps w:val="0"/>
              <w:noProof/>
              <w:sz w:val="24"/>
              <w:szCs w:val="24"/>
              <w:u w:val="none"/>
            </w:rPr>
          </w:pPr>
          <w:hyperlink w:anchor="_Toc208699154" w:history="1">
            <w:r w:rsidRPr="00EF019C">
              <w:rPr>
                <w:rStyle w:val="Hyperlink"/>
                <w:noProof/>
              </w:rPr>
              <w:t>6</w:t>
            </w:r>
            <w:r>
              <w:rPr>
                <w:b w:val="0"/>
                <w:bCs w:val="0"/>
                <w:caps w:val="0"/>
                <w:noProof/>
                <w:sz w:val="24"/>
                <w:szCs w:val="24"/>
                <w:u w:val="none"/>
              </w:rPr>
              <w:tab/>
            </w:r>
            <w:r w:rsidRPr="00EF019C">
              <w:rPr>
                <w:rStyle w:val="Hyperlink"/>
                <w:noProof/>
              </w:rPr>
              <w:t>Conclusion – Towards Risk-Proofed and Talent-Enabled Digital Ecosystems</w:t>
            </w:r>
            <w:r>
              <w:rPr>
                <w:noProof/>
                <w:webHidden/>
              </w:rPr>
              <w:tab/>
            </w:r>
            <w:r>
              <w:rPr>
                <w:noProof/>
                <w:webHidden/>
              </w:rPr>
              <w:fldChar w:fldCharType="begin"/>
            </w:r>
            <w:r>
              <w:rPr>
                <w:noProof/>
                <w:webHidden/>
              </w:rPr>
              <w:instrText xml:space="preserve"> PAGEREF _Toc208699154 \h </w:instrText>
            </w:r>
            <w:r>
              <w:rPr>
                <w:noProof/>
                <w:webHidden/>
              </w:rPr>
            </w:r>
            <w:r>
              <w:rPr>
                <w:noProof/>
                <w:webHidden/>
              </w:rPr>
              <w:fldChar w:fldCharType="separate"/>
            </w:r>
            <w:r>
              <w:rPr>
                <w:noProof/>
                <w:webHidden/>
              </w:rPr>
              <w:t>27</w:t>
            </w:r>
            <w:r>
              <w:rPr>
                <w:noProof/>
                <w:webHidden/>
              </w:rPr>
              <w:fldChar w:fldCharType="end"/>
            </w:r>
          </w:hyperlink>
        </w:p>
        <w:p w14:paraId="073B7091" w14:textId="45F3DB2B" w:rsidR="00765E8C" w:rsidRDefault="00765E8C">
          <w:pPr>
            <w:pStyle w:val="TOC1"/>
            <w:tabs>
              <w:tab w:val="left" w:pos="358"/>
              <w:tab w:val="right" w:leader="dot" w:pos="9350"/>
            </w:tabs>
            <w:rPr>
              <w:b w:val="0"/>
              <w:bCs w:val="0"/>
              <w:caps w:val="0"/>
              <w:noProof/>
              <w:sz w:val="24"/>
              <w:szCs w:val="24"/>
              <w:u w:val="none"/>
            </w:rPr>
          </w:pPr>
          <w:hyperlink w:anchor="_Toc208699155" w:history="1">
            <w:r w:rsidRPr="00EF019C">
              <w:rPr>
                <w:rStyle w:val="Hyperlink"/>
                <w:noProof/>
              </w:rPr>
              <w:t>7</w:t>
            </w:r>
            <w:r>
              <w:rPr>
                <w:b w:val="0"/>
                <w:bCs w:val="0"/>
                <w:caps w:val="0"/>
                <w:noProof/>
                <w:sz w:val="24"/>
                <w:szCs w:val="24"/>
                <w:u w:val="none"/>
              </w:rPr>
              <w:tab/>
            </w:r>
            <w:r w:rsidRPr="00EF019C">
              <w:rPr>
                <w:rStyle w:val="Hyperlink"/>
                <w:noProof/>
              </w:rPr>
              <w:t>Annotated Bibliography</w:t>
            </w:r>
            <w:r>
              <w:rPr>
                <w:noProof/>
                <w:webHidden/>
              </w:rPr>
              <w:tab/>
            </w:r>
            <w:r>
              <w:rPr>
                <w:noProof/>
                <w:webHidden/>
              </w:rPr>
              <w:fldChar w:fldCharType="begin"/>
            </w:r>
            <w:r>
              <w:rPr>
                <w:noProof/>
                <w:webHidden/>
              </w:rPr>
              <w:instrText xml:space="preserve"> PAGEREF _Toc208699155 \h </w:instrText>
            </w:r>
            <w:r>
              <w:rPr>
                <w:noProof/>
                <w:webHidden/>
              </w:rPr>
            </w:r>
            <w:r>
              <w:rPr>
                <w:noProof/>
                <w:webHidden/>
              </w:rPr>
              <w:fldChar w:fldCharType="separate"/>
            </w:r>
            <w:r>
              <w:rPr>
                <w:noProof/>
                <w:webHidden/>
              </w:rPr>
              <w:t>28</w:t>
            </w:r>
            <w:r>
              <w:rPr>
                <w:noProof/>
                <w:webHidden/>
              </w:rPr>
              <w:fldChar w:fldCharType="end"/>
            </w:r>
          </w:hyperlink>
        </w:p>
        <w:p w14:paraId="37F0D05D" w14:textId="0E5A1B28" w:rsidR="00C934E1" w:rsidRDefault="00C934E1">
          <w:r>
            <w:rPr>
              <w:b/>
              <w:bCs/>
              <w:noProof/>
            </w:rPr>
            <w:fldChar w:fldCharType="end"/>
          </w:r>
        </w:p>
      </w:sdtContent>
    </w:sdt>
    <w:p w14:paraId="358C8848" w14:textId="77777777" w:rsidR="00C934E1" w:rsidRDefault="00C934E1" w:rsidP="00FE2725">
      <w:pPr>
        <w:spacing w:before="100" w:beforeAutospacing="1" w:after="100" w:afterAutospacing="1" w:line="360" w:lineRule="auto"/>
        <w:jc w:val="both"/>
        <w:rPr>
          <w:rFonts w:ascii="Arial" w:eastAsia="Times New Roman" w:hAnsi="Arial" w:cs="Arial"/>
          <w:b/>
          <w:bCs/>
          <w:color w:val="000000"/>
          <w:kern w:val="0"/>
          <w14:ligatures w14:val="none"/>
        </w:rPr>
      </w:pPr>
    </w:p>
    <w:p w14:paraId="6E38543B" w14:textId="77777777" w:rsidR="00C934E1" w:rsidRDefault="00C934E1">
      <w:pPr>
        <w:rPr>
          <w:rFonts w:ascii="Arial" w:eastAsia="Times New Roman" w:hAnsi="Arial" w:cs="Arial"/>
          <w:b/>
          <w:bCs/>
          <w:color w:val="000000"/>
          <w:kern w:val="0"/>
          <w14:ligatures w14:val="none"/>
        </w:rPr>
      </w:pPr>
      <w:r>
        <w:rPr>
          <w:rFonts w:ascii="Arial" w:eastAsia="Times New Roman" w:hAnsi="Arial" w:cs="Arial"/>
          <w:b/>
          <w:bCs/>
          <w:color w:val="000000"/>
          <w:kern w:val="0"/>
          <w14:ligatures w14:val="none"/>
        </w:rPr>
        <w:br w:type="page"/>
      </w:r>
    </w:p>
    <w:p w14:paraId="7379C7A5" w14:textId="77777777" w:rsidR="005B246A" w:rsidRDefault="005B246A" w:rsidP="005B246A">
      <w:pPr>
        <w:spacing w:line="360" w:lineRule="auto"/>
        <w:jc w:val="center"/>
        <w:rPr>
          <w:rStyle w:val="Strong"/>
          <w:color w:val="000000"/>
          <w:sz w:val="52"/>
          <w:szCs w:val="52"/>
        </w:rPr>
      </w:pPr>
    </w:p>
    <w:p w14:paraId="199294BB" w14:textId="77777777" w:rsidR="005B246A" w:rsidRDefault="005B246A" w:rsidP="005B246A">
      <w:pPr>
        <w:spacing w:line="360" w:lineRule="auto"/>
        <w:jc w:val="center"/>
        <w:rPr>
          <w:rStyle w:val="Strong"/>
          <w:color w:val="000000"/>
          <w:sz w:val="52"/>
          <w:szCs w:val="52"/>
        </w:rPr>
      </w:pPr>
    </w:p>
    <w:p w14:paraId="3CC34ACA" w14:textId="77777777" w:rsidR="005B246A" w:rsidRDefault="005B246A" w:rsidP="005B246A">
      <w:pPr>
        <w:spacing w:line="360" w:lineRule="auto"/>
        <w:jc w:val="center"/>
        <w:rPr>
          <w:rStyle w:val="Strong"/>
          <w:color w:val="000000"/>
          <w:sz w:val="52"/>
          <w:szCs w:val="52"/>
        </w:rPr>
      </w:pPr>
    </w:p>
    <w:p w14:paraId="43866458" w14:textId="77777777" w:rsidR="005B246A" w:rsidRDefault="005B246A" w:rsidP="005B246A">
      <w:pPr>
        <w:spacing w:line="360" w:lineRule="auto"/>
        <w:jc w:val="center"/>
        <w:rPr>
          <w:rStyle w:val="Strong"/>
          <w:color w:val="000000"/>
          <w:sz w:val="52"/>
          <w:szCs w:val="52"/>
        </w:rPr>
      </w:pPr>
    </w:p>
    <w:p w14:paraId="74231697" w14:textId="7C25F0DB" w:rsidR="0023484E" w:rsidRPr="005B246A" w:rsidRDefault="005B246A" w:rsidP="005B246A">
      <w:pPr>
        <w:spacing w:line="360" w:lineRule="auto"/>
        <w:jc w:val="center"/>
        <w:rPr>
          <w:rFonts w:eastAsia="Times New Roman" w:cs="Arial"/>
          <w:b/>
          <w:bCs/>
          <w:color w:val="000000"/>
          <w:kern w:val="0"/>
          <w:sz w:val="52"/>
          <w:szCs w:val="52"/>
          <w14:ligatures w14:val="none"/>
        </w:rPr>
      </w:pPr>
      <w:r w:rsidRPr="005B246A">
        <w:rPr>
          <w:rStyle w:val="Strong"/>
          <w:color w:val="000000"/>
          <w:sz w:val="52"/>
          <w:szCs w:val="52"/>
        </w:rPr>
        <w:t xml:space="preserve">New Way of Winning Corporate Clients: Bridging Adoption and </w:t>
      </w:r>
      <w:proofErr w:type="spellStart"/>
      <w:r w:rsidRPr="005B246A">
        <w:rPr>
          <w:rStyle w:val="Strong"/>
          <w:color w:val="000000"/>
          <w:sz w:val="52"/>
          <w:szCs w:val="52"/>
        </w:rPr>
        <w:t>Moneti</w:t>
      </w:r>
      <w:r w:rsidR="001350AC">
        <w:rPr>
          <w:rStyle w:val="Strong"/>
          <w:color w:val="000000"/>
          <w:sz w:val="52"/>
          <w:szCs w:val="52"/>
        </w:rPr>
        <w:t>s</w:t>
      </w:r>
      <w:r w:rsidRPr="005B246A">
        <w:rPr>
          <w:rStyle w:val="Strong"/>
          <w:color w:val="000000"/>
          <w:sz w:val="52"/>
          <w:szCs w:val="52"/>
        </w:rPr>
        <w:t>ation</w:t>
      </w:r>
      <w:proofErr w:type="spellEnd"/>
      <w:r w:rsidRPr="005B246A">
        <w:rPr>
          <w:rStyle w:val="Strong"/>
          <w:color w:val="000000"/>
          <w:sz w:val="52"/>
          <w:szCs w:val="52"/>
        </w:rPr>
        <w:t xml:space="preserve"> in Digital Trade Finance</w:t>
      </w:r>
      <w:r w:rsidR="0023484E" w:rsidRPr="005B246A">
        <w:rPr>
          <w:rFonts w:eastAsia="Times New Roman" w:cs="Arial"/>
          <w:b/>
          <w:bCs/>
          <w:color w:val="000000"/>
          <w:kern w:val="0"/>
          <w:sz w:val="52"/>
          <w:szCs w:val="52"/>
          <w14:ligatures w14:val="none"/>
        </w:rPr>
        <w:br w:type="page"/>
      </w:r>
    </w:p>
    <w:p w14:paraId="18D9C7F9" w14:textId="54D9BB7C" w:rsidR="00D326CE" w:rsidRPr="00B064B8" w:rsidRDefault="00D326CE" w:rsidP="00E47E6E">
      <w:pPr>
        <w:pStyle w:val="Heading1"/>
        <w:numPr>
          <w:ilvl w:val="0"/>
          <w:numId w:val="1"/>
        </w:numPr>
        <w:tabs>
          <w:tab w:val="left" w:pos="0"/>
          <w:tab w:val="left" w:pos="360"/>
        </w:tabs>
        <w:ind w:left="0" w:firstLine="0"/>
        <w:rPr>
          <w:rFonts w:asciiTheme="minorHAnsi" w:hAnsiTheme="minorHAnsi"/>
        </w:rPr>
      </w:pPr>
      <w:bookmarkStart w:id="0" w:name="_Toc206886329"/>
      <w:bookmarkStart w:id="1" w:name="_Toc208699119"/>
      <w:r w:rsidRPr="00B064B8">
        <w:rPr>
          <w:rFonts w:asciiTheme="minorHAnsi" w:hAnsiTheme="minorHAnsi"/>
        </w:rPr>
        <w:lastRenderedPageBreak/>
        <w:t>Abstract</w:t>
      </w:r>
      <w:bookmarkEnd w:id="0"/>
      <w:r w:rsidR="0023484E">
        <w:rPr>
          <w:rFonts w:asciiTheme="minorHAnsi" w:hAnsiTheme="minorHAnsi"/>
        </w:rPr>
        <w:t xml:space="preserve"> – From Adoption to </w:t>
      </w:r>
      <w:proofErr w:type="spellStart"/>
      <w:r w:rsidR="0023484E">
        <w:rPr>
          <w:rFonts w:asciiTheme="minorHAnsi" w:hAnsiTheme="minorHAnsi"/>
        </w:rPr>
        <w:t>Moneti</w:t>
      </w:r>
      <w:r w:rsidR="001350AC">
        <w:rPr>
          <w:rFonts w:asciiTheme="minorHAnsi" w:hAnsiTheme="minorHAnsi"/>
        </w:rPr>
        <w:t>s</w:t>
      </w:r>
      <w:r w:rsidR="0023484E">
        <w:rPr>
          <w:rFonts w:asciiTheme="minorHAnsi" w:hAnsiTheme="minorHAnsi"/>
        </w:rPr>
        <w:t>ation</w:t>
      </w:r>
      <w:proofErr w:type="spellEnd"/>
      <w:r w:rsidR="0023484E">
        <w:rPr>
          <w:rFonts w:asciiTheme="minorHAnsi" w:hAnsiTheme="minorHAnsi"/>
        </w:rPr>
        <w:t xml:space="preserve"> in Digital Trade Finance</w:t>
      </w:r>
      <w:bookmarkEnd w:id="1"/>
    </w:p>
    <w:p w14:paraId="0835C4FE" w14:textId="46368D4A" w:rsidR="0071647D" w:rsidRDefault="0071647D" w:rsidP="0071647D">
      <w:pPr>
        <w:pStyle w:val="NormalWeb"/>
        <w:tabs>
          <w:tab w:val="left" w:pos="0"/>
          <w:tab w:val="left" w:pos="360"/>
        </w:tabs>
        <w:spacing w:before="0" w:beforeAutospacing="0" w:after="0" w:afterAutospacing="0" w:line="360" w:lineRule="auto"/>
        <w:jc w:val="both"/>
        <w:rPr>
          <w:rFonts w:asciiTheme="minorHAnsi" w:eastAsiaTheme="minorEastAsia" w:hAnsiTheme="minorHAnsi" w:cstheme="minorBidi"/>
          <w:color w:val="000000"/>
        </w:rPr>
      </w:pPr>
      <w:r w:rsidRPr="0071647D">
        <w:rPr>
          <w:rFonts w:asciiTheme="minorHAnsi" w:hAnsiTheme="minorHAnsi" w:cs="Arial"/>
          <w:color w:val="000000"/>
        </w:rPr>
        <w:t xml:space="preserve">The Hong Kong banking sector has heavily invested in digital trade finance platforms to streamline trade procedures and cut operational costs. However, adoption among corporate treasurers remains inconsistent, and </w:t>
      </w:r>
      <w:proofErr w:type="spellStart"/>
      <w:r w:rsidRPr="0071647D">
        <w:rPr>
          <w:rFonts w:asciiTheme="minorHAnsi" w:hAnsiTheme="minorHAnsi" w:cs="Arial"/>
          <w:color w:val="000000"/>
        </w:rPr>
        <w:t>monetisation</w:t>
      </w:r>
      <w:proofErr w:type="spellEnd"/>
      <w:r w:rsidRPr="0071647D">
        <w:rPr>
          <w:rFonts w:asciiTheme="minorHAnsi" w:hAnsiTheme="minorHAnsi" w:cs="Arial"/>
          <w:color w:val="000000"/>
        </w:rPr>
        <w:t xml:space="preserve"> results are limited, as platforms are still mainly viewed as efficiency tools rather than as drivers of fee-based growth. This paper aims to </w:t>
      </w:r>
      <w:proofErr w:type="spellStart"/>
      <w:r w:rsidRPr="0071647D">
        <w:rPr>
          <w:rFonts w:asciiTheme="minorHAnsi" w:hAnsiTheme="minorHAnsi" w:cs="Arial"/>
          <w:color w:val="000000"/>
        </w:rPr>
        <w:t>analyse</w:t>
      </w:r>
      <w:proofErr w:type="spellEnd"/>
      <w:r w:rsidRPr="0071647D">
        <w:rPr>
          <w:rFonts w:asciiTheme="minorHAnsi" w:hAnsiTheme="minorHAnsi" w:cs="Arial"/>
          <w:color w:val="000000"/>
        </w:rPr>
        <w:t xml:space="preserve"> the </w:t>
      </w:r>
      <w:proofErr w:type="spellStart"/>
      <w:r w:rsidRPr="0071647D">
        <w:rPr>
          <w:rFonts w:asciiTheme="minorHAnsi" w:hAnsiTheme="minorHAnsi" w:cs="Arial"/>
          <w:color w:val="000000"/>
        </w:rPr>
        <w:t>behavioural</w:t>
      </w:r>
      <w:proofErr w:type="spellEnd"/>
      <w:r w:rsidRPr="0071647D">
        <w:rPr>
          <w:rFonts w:asciiTheme="minorHAnsi" w:hAnsiTheme="minorHAnsi" w:cs="Arial"/>
          <w:color w:val="000000"/>
        </w:rPr>
        <w:t xml:space="preserve"> and </w:t>
      </w:r>
      <w:proofErr w:type="spellStart"/>
      <w:r w:rsidRPr="0071647D">
        <w:rPr>
          <w:rFonts w:asciiTheme="minorHAnsi" w:hAnsiTheme="minorHAnsi" w:cs="Arial"/>
          <w:color w:val="000000"/>
        </w:rPr>
        <w:t>organisational</w:t>
      </w:r>
      <w:proofErr w:type="spellEnd"/>
      <w:r w:rsidRPr="0071647D">
        <w:rPr>
          <w:rFonts w:asciiTheme="minorHAnsi" w:hAnsiTheme="minorHAnsi" w:cs="Arial"/>
          <w:color w:val="000000"/>
        </w:rPr>
        <w:t xml:space="preserve"> factors that influence the adoption of digital trade finance platforms in Hong Kong and to assess how this adoption leads to </w:t>
      </w:r>
      <w:proofErr w:type="spellStart"/>
      <w:r w:rsidRPr="0071647D">
        <w:rPr>
          <w:rFonts w:asciiTheme="minorHAnsi" w:hAnsiTheme="minorHAnsi" w:cs="Arial"/>
          <w:color w:val="000000"/>
        </w:rPr>
        <w:t>monetisation</w:t>
      </w:r>
      <w:proofErr w:type="spellEnd"/>
      <w:r w:rsidRPr="0071647D">
        <w:rPr>
          <w:rFonts w:asciiTheme="minorHAnsi" w:hAnsiTheme="minorHAnsi" w:cs="Arial"/>
          <w:color w:val="000000"/>
        </w:rPr>
        <w:t>. It explores workflow compatibility, familiarity with digital channels, the balance between perceived benefits and risks</w:t>
      </w:r>
      <w:r>
        <w:rPr>
          <w:rFonts w:asciiTheme="minorHAnsi" w:hAnsiTheme="minorHAnsi" w:cs="Arial"/>
          <w:color w:val="000000"/>
        </w:rPr>
        <w:t xml:space="preserve"> </w:t>
      </w:r>
      <w:r w:rsidRPr="0071647D">
        <w:rPr>
          <w:rFonts w:asciiTheme="minorHAnsi" w:hAnsiTheme="minorHAnsi" w:cs="Arial"/>
          <w:color w:val="000000"/>
        </w:rPr>
        <w:t>including cybersecurity and regulatory uncertainty</w:t>
      </w:r>
      <w:r>
        <w:rPr>
          <w:rFonts w:asciiTheme="minorHAnsi" w:hAnsiTheme="minorHAnsi" w:cs="Arial"/>
          <w:color w:val="000000"/>
        </w:rPr>
        <w:t xml:space="preserve"> </w:t>
      </w:r>
      <w:r w:rsidRPr="0071647D">
        <w:rPr>
          <w:rFonts w:asciiTheme="minorHAnsi" w:hAnsiTheme="minorHAnsi" w:cs="Arial"/>
          <w:color w:val="000000"/>
        </w:rPr>
        <w:t xml:space="preserve">and the role of institutional trust in guiding adoption decisions. Using a qualitative case study approach, the research relies on interviews with senior trade product executives and corporate treasury managers to gather insights into how adoption decisions are made within Hong Kong’s competitive and regulatory environment. The analysis suggests that while banks promote </w:t>
      </w:r>
      <w:proofErr w:type="spellStart"/>
      <w:r w:rsidRPr="0071647D">
        <w:rPr>
          <w:rFonts w:asciiTheme="minorHAnsi" w:hAnsiTheme="minorHAnsi" w:cs="Arial"/>
          <w:color w:val="000000"/>
        </w:rPr>
        <w:t>digitalisation</w:t>
      </w:r>
      <w:proofErr w:type="spellEnd"/>
      <w:r w:rsidRPr="0071647D">
        <w:rPr>
          <w:rFonts w:asciiTheme="minorHAnsi" w:hAnsiTheme="minorHAnsi" w:cs="Arial"/>
          <w:color w:val="000000"/>
        </w:rPr>
        <w:t xml:space="preserve"> to reduce costs, </w:t>
      </w:r>
      <w:proofErr w:type="spellStart"/>
      <w:r w:rsidRPr="0071647D">
        <w:rPr>
          <w:rFonts w:asciiTheme="minorHAnsi" w:hAnsiTheme="minorHAnsi" w:cs="Arial"/>
          <w:color w:val="000000"/>
        </w:rPr>
        <w:t>monetisation</w:t>
      </w:r>
      <w:proofErr w:type="spellEnd"/>
      <w:r w:rsidRPr="0071647D">
        <w:rPr>
          <w:rFonts w:asciiTheme="minorHAnsi" w:hAnsiTheme="minorHAnsi" w:cs="Arial"/>
          <w:color w:val="000000"/>
        </w:rPr>
        <w:t xml:space="preserve"> requires a shift towards positioning platforms as value-creating ecosystems supporting premium services, cross-sell opportunities, and deeper client engagement. Theoretically, the study broadens adoption research into the underexplored area of corporate trade finance by explicitly linking adoption to </w:t>
      </w:r>
      <w:proofErr w:type="spellStart"/>
      <w:r w:rsidRPr="0071647D">
        <w:rPr>
          <w:rFonts w:asciiTheme="minorHAnsi" w:hAnsiTheme="minorHAnsi" w:cs="Arial"/>
          <w:color w:val="000000"/>
        </w:rPr>
        <w:t>monetisation</w:t>
      </w:r>
      <w:proofErr w:type="spellEnd"/>
      <w:r w:rsidRPr="0071647D">
        <w:rPr>
          <w:rFonts w:asciiTheme="minorHAnsi" w:hAnsiTheme="minorHAnsi" w:cs="Arial"/>
          <w:color w:val="000000"/>
        </w:rPr>
        <w:t>. Practically, it offers banks and regulators a framework to transform digital platforms from cost-cutting utilities into sustainable drivers of revenue growth and market competitiveness.</w:t>
      </w:r>
    </w:p>
    <w:p w14:paraId="688688BB" w14:textId="77777777" w:rsidR="0071647D" w:rsidRDefault="0071647D" w:rsidP="0071647D">
      <w:pPr>
        <w:pStyle w:val="NormalWeb"/>
        <w:tabs>
          <w:tab w:val="left" w:pos="0"/>
          <w:tab w:val="left" w:pos="360"/>
        </w:tabs>
        <w:spacing w:before="0" w:beforeAutospacing="0" w:after="0" w:afterAutospacing="0" w:line="360" w:lineRule="auto"/>
        <w:jc w:val="both"/>
        <w:rPr>
          <w:rFonts w:asciiTheme="minorHAnsi" w:hAnsiTheme="minorHAnsi" w:cs="Arial"/>
          <w:b/>
          <w:bCs/>
          <w:color w:val="000000"/>
        </w:rPr>
      </w:pPr>
    </w:p>
    <w:p w14:paraId="170D00A8" w14:textId="0330219F" w:rsidR="003776B2" w:rsidRPr="0071647D" w:rsidRDefault="003776B2" w:rsidP="0071647D">
      <w:pPr>
        <w:pStyle w:val="NormalWeb"/>
        <w:tabs>
          <w:tab w:val="left" w:pos="0"/>
          <w:tab w:val="left" w:pos="360"/>
        </w:tabs>
        <w:spacing w:before="0" w:beforeAutospacing="0" w:after="0" w:afterAutospacing="0" w:line="360" w:lineRule="auto"/>
        <w:jc w:val="both"/>
        <w:rPr>
          <w:rFonts w:asciiTheme="minorHAnsi" w:hAnsiTheme="minorHAnsi" w:cs="Arial"/>
          <w:b/>
          <w:bCs/>
          <w:color w:val="000000"/>
        </w:rPr>
      </w:pPr>
      <w:r w:rsidRPr="0071647D">
        <w:rPr>
          <w:rFonts w:asciiTheme="minorHAnsi" w:hAnsiTheme="minorHAnsi" w:cs="Arial"/>
          <w:b/>
          <w:bCs/>
          <w:color w:val="000000"/>
        </w:rPr>
        <w:t>Keywords:</w:t>
      </w:r>
    </w:p>
    <w:p w14:paraId="47075591" w14:textId="23363E56" w:rsidR="007D518F" w:rsidRPr="007C41CC" w:rsidRDefault="003776B2" w:rsidP="000C1051">
      <w:pPr>
        <w:pStyle w:val="NormalWeb"/>
        <w:spacing w:before="0" w:beforeAutospacing="0" w:after="0" w:afterAutospacing="0" w:line="360" w:lineRule="auto"/>
        <w:rPr>
          <w:rFonts w:asciiTheme="minorHAnsi" w:hAnsiTheme="minorHAnsi" w:cs="Arial"/>
          <w:color w:val="000000"/>
        </w:rPr>
      </w:pPr>
      <w:r w:rsidRPr="007C41CC">
        <w:rPr>
          <w:rFonts w:asciiTheme="minorHAnsi" w:hAnsiTheme="minorHAnsi" w:cs="Arial"/>
          <w:color w:val="000000"/>
        </w:rPr>
        <w:t>Digital Trade Finance Adoption, Corporate Client Behaviour, Technology–Organi</w:t>
      </w:r>
      <w:r w:rsidR="005C0101" w:rsidRPr="007C41CC">
        <w:rPr>
          <w:rFonts w:asciiTheme="minorHAnsi" w:hAnsiTheme="minorHAnsi" w:cs="Arial"/>
          <w:color w:val="000000"/>
        </w:rPr>
        <w:t>s</w:t>
      </w:r>
      <w:r w:rsidRPr="007C41CC">
        <w:rPr>
          <w:rFonts w:asciiTheme="minorHAnsi" w:hAnsiTheme="minorHAnsi" w:cs="Arial"/>
          <w:color w:val="000000"/>
        </w:rPr>
        <w:t>ation–Environment (TOE) Framework, Service-Dominant Logic (SDL), Trust and Risk Perception</w:t>
      </w:r>
      <w:bookmarkStart w:id="2" w:name="_Toc206886330"/>
    </w:p>
    <w:p w14:paraId="260BD2C7" w14:textId="14BBD78D" w:rsidR="00BE21A2" w:rsidRPr="00B064B8" w:rsidRDefault="007D518F" w:rsidP="00E47E6E">
      <w:pPr>
        <w:pStyle w:val="Heading1"/>
        <w:numPr>
          <w:ilvl w:val="0"/>
          <w:numId w:val="1"/>
        </w:numPr>
        <w:rPr>
          <w:rFonts w:asciiTheme="minorHAnsi" w:hAnsiTheme="minorHAnsi"/>
        </w:rPr>
      </w:pPr>
      <w:r w:rsidRPr="00B064B8">
        <w:rPr>
          <w:rFonts w:asciiTheme="minorHAnsi" w:hAnsiTheme="minorHAnsi"/>
        </w:rPr>
        <w:lastRenderedPageBreak/>
        <w:t xml:space="preserve">  </w:t>
      </w:r>
      <w:r w:rsidRPr="00B064B8">
        <w:rPr>
          <w:rFonts w:asciiTheme="minorHAnsi" w:hAnsiTheme="minorHAnsi"/>
        </w:rPr>
        <w:tab/>
      </w:r>
      <w:bookmarkStart w:id="3" w:name="_Toc208699120"/>
      <w:r w:rsidR="00BE21A2" w:rsidRPr="00B064B8">
        <w:rPr>
          <w:rFonts w:asciiTheme="minorHAnsi" w:hAnsiTheme="minorHAnsi"/>
        </w:rPr>
        <w:t>Design a Project with Clarity and Precision</w:t>
      </w:r>
      <w:bookmarkEnd w:id="2"/>
      <w:bookmarkEnd w:id="3"/>
    </w:p>
    <w:p w14:paraId="78AD9B63" w14:textId="77C07FCC" w:rsidR="0024157B" w:rsidRPr="00B064B8" w:rsidRDefault="0024157B" w:rsidP="007D518F">
      <w:pPr>
        <w:spacing w:line="360" w:lineRule="auto"/>
        <w:jc w:val="both"/>
        <w:rPr>
          <w:rFonts w:eastAsia="Times New Roman" w:cs="Arial"/>
          <w:color w:val="000000"/>
          <w:kern w:val="0"/>
          <w:sz w:val="22"/>
          <w:szCs w:val="22"/>
          <w14:ligatures w14:val="none"/>
        </w:rPr>
      </w:pPr>
      <w:bookmarkStart w:id="4" w:name="_Toc206886331"/>
      <w:r w:rsidRPr="00B064B8">
        <w:rPr>
          <w:rFonts w:eastAsia="Times New Roman" w:cs="Arial"/>
          <w:color w:val="000000"/>
          <w:kern w:val="0"/>
          <w:sz w:val="22"/>
          <w:szCs w:val="22"/>
          <w14:ligatures w14:val="none"/>
        </w:rPr>
        <w:t xml:space="preserve">The Hong Kong </w:t>
      </w:r>
      <w:r w:rsidRPr="00B064B8">
        <w:t xml:space="preserve">banking sector is recognised as one of the world’s foremost trade and financial hubs and continues to play a pivotal role in facilitating international commerce. Over the past decade, banks in Hong Kong have invested heavily in digital trade finance platforms designed to modernise paper-based processes, accelerate transaction cycles, and align with the Hong Kong Monetary Authority’s (HKMA) digitalisation agenda. </w:t>
      </w:r>
      <w:r w:rsidR="00F63318" w:rsidRPr="00B064B8">
        <w:t>Several</w:t>
      </w:r>
      <w:r w:rsidRPr="00B064B8">
        <w:t xml:space="preserve"> studies have highlighted that such platforms are positioned as enablers of international trade transactions, streamlining financing for </w:t>
      </w:r>
      <w:r w:rsidR="00DC74BD" w:rsidRPr="00B064B8">
        <w:t>exporters and importers</w:t>
      </w:r>
      <w:r w:rsidR="00A268CF" w:rsidRPr="00B064B8">
        <w:t xml:space="preserve"> b</w:t>
      </w:r>
      <w:r w:rsidR="00DC74BD" w:rsidRPr="00B064B8">
        <w:t xml:space="preserve">y reducing documentary </w:t>
      </w:r>
      <w:r w:rsidR="008F74B3">
        <w:t xml:space="preserve">bottlenecks, enhancing transparency, and increasing procedural efficiency. Additionally, </w:t>
      </w:r>
      <w:r w:rsidR="00E266F6">
        <w:t>they</w:t>
      </w:r>
      <w:r w:rsidR="00A268CF" w:rsidRPr="00B064B8">
        <w:t xml:space="preserve"> enable</w:t>
      </w:r>
      <w:r w:rsidRPr="00B064B8">
        <w:t xml:space="preserve"> AI-</w:t>
      </w:r>
      <w:r w:rsidR="00A268CF" w:rsidRPr="00B064B8">
        <w:t>assisted</w:t>
      </w:r>
      <w:r w:rsidRPr="00B064B8">
        <w:t xml:space="preserve"> risk assessment and compliance monitoring (Tanveer et al., 2025; HKMA, 2024). In line with this agenda, the HKMA’s Fintech 2025 strategy has accelerated the integration of fintech across the sector</w:t>
      </w:r>
      <w:r w:rsidR="00E266F6">
        <w:t>,</w:t>
      </w:r>
      <w:r w:rsidRPr="00B064B8">
        <w:t xml:space="preserve"> with all retail banks embedding digital tools into their operations. Initiatives such as the Generative AI Sandbox, the Fintech Connect platform, and various cross-sector collaborations have enhanced customer experience, strengthened fraud prevention, and improved risk management. At the same time, the HKMA reports record-breaking growth in RMB business, with the Real-Time Gross Settlement system processing an average daily turnover of RMB 3.1 trillion in 2024, supported by the RMB100 billion Trade Financing Liquidity </w:t>
      </w:r>
      <w:r w:rsidRPr="0099453E">
        <w:t>Facility. These developments demonstrate that effective digital adoption contributes not only to commercial growth</w:t>
      </w:r>
      <w:r w:rsidRPr="0099453E">
        <w:rPr>
          <w:rFonts w:eastAsia="Times New Roman" w:cs="Arial"/>
          <w:color w:val="000000"/>
          <w:kern w:val="0"/>
          <w14:ligatures w14:val="none"/>
        </w:rPr>
        <w:t xml:space="preserve"> but also to systemic resilience.</w:t>
      </w:r>
    </w:p>
    <w:p w14:paraId="09203D8E" w14:textId="505B7B91" w:rsidR="0024157B" w:rsidRPr="00B064B8" w:rsidRDefault="00F72705" w:rsidP="0024157B">
      <w:pPr>
        <w:pStyle w:val="Heading2"/>
        <w:tabs>
          <w:tab w:val="left" w:pos="0"/>
          <w:tab w:val="left" w:pos="360"/>
        </w:tabs>
        <w:spacing w:line="360" w:lineRule="auto"/>
        <w:rPr>
          <w:rFonts w:asciiTheme="minorHAnsi" w:eastAsia="Times New Roman" w:hAnsiTheme="minorHAnsi" w:cs="Arial"/>
          <w:color w:val="000000"/>
          <w:sz w:val="22"/>
          <w:szCs w:val="22"/>
          <w14:ligatures w14:val="none"/>
        </w:rPr>
      </w:pPr>
      <w:bookmarkStart w:id="5" w:name="_Toc208699121"/>
      <w:r w:rsidRPr="00B064B8">
        <w:rPr>
          <w:rFonts w:asciiTheme="minorHAnsi" w:hAnsiTheme="minorHAnsi"/>
        </w:rPr>
        <w:t xml:space="preserve">2.1 </w:t>
      </w:r>
      <w:r w:rsidR="00C934E1" w:rsidRPr="00B064B8">
        <w:rPr>
          <w:rFonts w:asciiTheme="minorHAnsi" w:hAnsiTheme="minorHAnsi"/>
        </w:rPr>
        <w:tab/>
      </w:r>
      <w:bookmarkStart w:id="6" w:name="_Toc206886332"/>
      <w:bookmarkEnd w:id="4"/>
      <w:r w:rsidR="0023484E">
        <w:rPr>
          <w:rFonts w:asciiTheme="minorHAnsi" w:hAnsiTheme="minorHAnsi"/>
        </w:rPr>
        <w:t xml:space="preserve">The Adoption – </w:t>
      </w:r>
      <w:proofErr w:type="spellStart"/>
      <w:r w:rsidR="0023484E">
        <w:rPr>
          <w:rFonts w:asciiTheme="minorHAnsi" w:hAnsiTheme="minorHAnsi"/>
        </w:rPr>
        <w:t>Moneti</w:t>
      </w:r>
      <w:r w:rsidR="00FE5F2B">
        <w:rPr>
          <w:rFonts w:asciiTheme="minorHAnsi" w:hAnsiTheme="minorHAnsi"/>
        </w:rPr>
        <w:t>s</w:t>
      </w:r>
      <w:r w:rsidR="0023484E">
        <w:rPr>
          <w:rFonts w:asciiTheme="minorHAnsi" w:hAnsiTheme="minorHAnsi"/>
        </w:rPr>
        <w:t>ation</w:t>
      </w:r>
      <w:proofErr w:type="spellEnd"/>
      <w:r w:rsidR="0023484E">
        <w:rPr>
          <w:rFonts w:asciiTheme="minorHAnsi" w:hAnsiTheme="minorHAnsi"/>
        </w:rPr>
        <w:t xml:space="preserve"> Gap in Digital Trade Finance</w:t>
      </w:r>
      <w:bookmarkEnd w:id="5"/>
    </w:p>
    <w:p w14:paraId="15B29A4F" w14:textId="0ECB884F" w:rsidR="001B75C1" w:rsidRPr="001B75C1" w:rsidRDefault="00D70150" w:rsidP="001B75C1">
      <w:pPr>
        <w:spacing w:line="360" w:lineRule="auto"/>
        <w:jc w:val="both"/>
        <w:rPr>
          <w:kern w:val="0"/>
          <w14:ligatures w14:val="none"/>
        </w:rPr>
      </w:pPr>
      <w:r w:rsidRPr="00D70150">
        <w:rPr>
          <w:kern w:val="0"/>
          <w14:ligatures w14:val="none"/>
        </w:rPr>
        <w:t xml:space="preserve">This study uniquely positions </w:t>
      </w:r>
      <w:proofErr w:type="spellStart"/>
      <w:r w:rsidRPr="00D70150">
        <w:rPr>
          <w:kern w:val="0"/>
          <w14:ligatures w14:val="none"/>
        </w:rPr>
        <w:t>monetisation</w:t>
      </w:r>
      <w:proofErr w:type="spellEnd"/>
      <w:r w:rsidRPr="00D70150">
        <w:rPr>
          <w:kern w:val="0"/>
          <w14:ligatures w14:val="none"/>
        </w:rPr>
        <w:t xml:space="preserve"> not as a by-product of adoption but as a distinct outcome requiring </w:t>
      </w:r>
      <w:proofErr w:type="spellStart"/>
      <w:r w:rsidRPr="00D70150">
        <w:rPr>
          <w:kern w:val="0"/>
          <w14:ligatures w14:val="none"/>
        </w:rPr>
        <w:t>behavioural</w:t>
      </w:r>
      <w:proofErr w:type="spellEnd"/>
      <w:r w:rsidRPr="00D70150">
        <w:rPr>
          <w:kern w:val="0"/>
          <w14:ligatures w14:val="none"/>
        </w:rPr>
        <w:t xml:space="preserve">, </w:t>
      </w:r>
      <w:proofErr w:type="spellStart"/>
      <w:r w:rsidRPr="00D70150">
        <w:rPr>
          <w:kern w:val="0"/>
          <w14:ligatures w14:val="none"/>
        </w:rPr>
        <w:t>organisational</w:t>
      </w:r>
      <w:proofErr w:type="spellEnd"/>
      <w:r w:rsidRPr="00D70150">
        <w:rPr>
          <w:kern w:val="0"/>
          <w14:ligatures w14:val="none"/>
        </w:rPr>
        <w:t>, and regulatory alignment.</w:t>
      </w:r>
      <w:r>
        <w:rPr>
          <w:kern w:val="0"/>
          <w14:ligatures w14:val="none"/>
        </w:rPr>
        <w:t xml:space="preserve"> </w:t>
      </w:r>
      <w:r w:rsidR="00DD2776" w:rsidRPr="00DD2776">
        <w:rPr>
          <w:kern w:val="0"/>
          <w14:ligatures w14:val="none"/>
        </w:rPr>
        <w:t xml:space="preserve">Efficiency improvements do not automatically generate revenue, as adoption studies in SME and consumer contexts show </w:t>
      </w:r>
      <w:proofErr w:type="spellStart"/>
      <w:r w:rsidR="00DD2776" w:rsidRPr="00DD2776">
        <w:rPr>
          <w:kern w:val="0"/>
          <w14:ligatures w14:val="none"/>
        </w:rPr>
        <w:t>monetisation</w:t>
      </w:r>
      <w:proofErr w:type="spellEnd"/>
      <w:r w:rsidR="00DD2776" w:rsidRPr="00DD2776">
        <w:rPr>
          <w:kern w:val="0"/>
          <w14:ligatures w14:val="none"/>
        </w:rPr>
        <w:t xml:space="preserve"> lags without pricing and trust mechanisms (Singh, 2023; Tanveer et al., 2025)</w:t>
      </w:r>
      <w:r w:rsidR="001B75C1" w:rsidRPr="001B75C1">
        <w:rPr>
          <w:kern w:val="0"/>
          <w14:ligatures w14:val="none"/>
        </w:rPr>
        <w:t xml:space="preserve">. While Curley et al. (2025) estimate cost reductions of 30–40%. This reveals a misalignment: banks view platforms as structural upgrades, whereas treasurers assess them through </w:t>
      </w:r>
      <w:proofErr w:type="spellStart"/>
      <w:r w:rsidR="001B75C1" w:rsidRPr="001B75C1">
        <w:rPr>
          <w:kern w:val="0"/>
          <w14:ligatures w14:val="none"/>
        </w:rPr>
        <w:t>behavioural</w:t>
      </w:r>
      <w:proofErr w:type="spellEnd"/>
      <w:r w:rsidR="001B75C1" w:rsidRPr="001B75C1">
        <w:rPr>
          <w:kern w:val="0"/>
          <w14:ligatures w14:val="none"/>
        </w:rPr>
        <w:t xml:space="preserve"> factors such as compatibility, trust, and </w:t>
      </w:r>
      <w:r w:rsidR="001B75C1" w:rsidRPr="001B75C1">
        <w:rPr>
          <w:kern w:val="0"/>
          <w14:ligatures w14:val="none"/>
        </w:rPr>
        <w:lastRenderedPageBreak/>
        <w:t>regulatory risk (Singh, 2023; JAFB, 2025). This adoption–</w:t>
      </w:r>
      <w:proofErr w:type="spellStart"/>
      <w:r w:rsidR="001B75C1" w:rsidRPr="001B75C1">
        <w:rPr>
          <w:kern w:val="0"/>
          <w14:ligatures w14:val="none"/>
        </w:rPr>
        <w:t>monetisation</w:t>
      </w:r>
      <w:proofErr w:type="spellEnd"/>
      <w:r w:rsidR="001B75C1" w:rsidRPr="001B75C1">
        <w:rPr>
          <w:kern w:val="0"/>
          <w14:ligatures w14:val="none"/>
        </w:rPr>
        <w:t xml:space="preserve"> gap is the central issue addressed in this study.</w:t>
      </w:r>
    </w:p>
    <w:p w14:paraId="7C5AD28A" w14:textId="1D9C3AA8" w:rsidR="001B75C1" w:rsidRDefault="001B75C1" w:rsidP="001B75C1">
      <w:pPr>
        <w:spacing w:line="360" w:lineRule="auto"/>
        <w:jc w:val="both"/>
        <w:rPr>
          <w:kern w:val="0"/>
          <w14:ligatures w14:val="none"/>
        </w:rPr>
      </w:pPr>
      <w:proofErr w:type="spellStart"/>
      <w:r w:rsidRPr="001B75C1">
        <w:rPr>
          <w:kern w:val="0"/>
          <w14:ligatures w14:val="none"/>
        </w:rPr>
        <w:t>Komgo’s</w:t>
      </w:r>
      <w:proofErr w:type="spellEnd"/>
      <w:r w:rsidRPr="001B75C1">
        <w:rPr>
          <w:kern w:val="0"/>
          <w14:ligatures w14:val="none"/>
        </w:rPr>
        <w:t xml:space="preserve"> Global Trade </w:t>
      </w:r>
      <w:r w:rsidR="00BB6AAE">
        <w:rPr>
          <w:kern w:val="0"/>
          <w14:ligatures w14:val="none"/>
        </w:rPr>
        <w:t>C</w:t>
      </w:r>
      <w:r w:rsidRPr="001B75C1">
        <w:rPr>
          <w:kern w:val="0"/>
          <w14:ligatures w14:val="none"/>
        </w:rPr>
        <w:t>onnect</w:t>
      </w:r>
      <w:r w:rsidR="00BB6AAE">
        <w:rPr>
          <w:kern w:val="0"/>
          <w14:ligatures w14:val="none"/>
        </w:rPr>
        <w:t xml:space="preserve"> </w:t>
      </w:r>
      <w:r w:rsidRPr="001B75C1">
        <w:rPr>
          <w:kern w:val="0"/>
          <w14:ligatures w14:val="none"/>
        </w:rPr>
        <w:t xml:space="preserve">illustrates how platforms can bridge this gap. By consolidating issuance, compliance, reporting, and document verification, GTK reduces guarantee or LC processing from a week to a single day. This acceleration </w:t>
      </w:r>
      <w:r>
        <w:rPr>
          <w:kern w:val="0"/>
          <w14:ligatures w14:val="none"/>
        </w:rPr>
        <w:t xml:space="preserve">demonstrates how operational efficiency can evolve into </w:t>
      </w:r>
      <w:proofErr w:type="spellStart"/>
      <w:r>
        <w:rPr>
          <w:kern w:val="0"/>
          <w14:ligatures w14:val="none"/>
        </w:rPr>
        <w:t>monetisation</w:t>
      </w:r>
      <w:proofErr w:type="spellEnd"/>
      <w:r>
        <w:rPr>
          <w:kern w:val="0"/>
          <w14:ligatures w14:val="none"/>
        </w:rPr>
        <w:t xml:space="preserve"> opportunities through premium services, such as AI-assisted drafting and automated fee calculation (</w:t>
      </w:r>
      <w:proofErr w:type="spellStart"/>
      <w:r>
        <w:rPr>
          <w:kern w:val="0"/>
          <w14:ligatures w14:val="none"/>
        </w:rPr>
        <w:t>Komgo</w:t>
      </w:r>
      <w:proofErr w:type="spellEnd"/>
      <w:r>
        <w:rPr>
          <w:kern w:val="0"/>
          <w14:ligatures w14:val="none"/>
        </w:rPr>
        <w:t>, n.d.).</w:t>
      </w:r>
      <w:r w:rsidR="00306101">
        <w:rPr>
          <w:kern w:val="0"/>
          <w14:ligatures w14:val="none"/>
        </w:rPr>
        <w:t xml:space="preserve"> </w:t>
      </w:r>
      <w:r w:rsidR="00306101" w:rsidRPr="00306101">
        <w:rPr>
          <w:kern w:val="0"/>
          <w14:ligatures w14:val="none"/>
        </w:rPr>
        <w:t xml:space="preserve">This study uniquely positions </w:t>
      </w:r>
      <w:proofErr w:type="spellStart"/>
      <w:r w:rsidR="00306101" w:rsidRPr="00306101">
        <w:rPr>
          <w:kern w:val="0"/>
          <w14:ligatures w14:val="none"/>
        </w:rPr>
        <w:t>monetisation</w:t>
      </w:r>
      <w:proofErr w:type="spellEnd"/>
      <w:r w:rsidR="00306101" w:rsidRPr="00306101">
        <w:rPr>
          <w:kern w:val="0"/>
          <w14:ligatures w14:val="none"/>
        </w:rPr>
        <w:t xml:space="preserve"> not as a by-product of adoption but as a distinct outcome requiring </w:t>
      </w:r>
      <w:proofErr w:type="spellStart"/>
      <w:r w:rsidR="00306101" w:rsidRPr="00306101">
        <w:rPr>
          <w:kern w:val="0"/>
          <w14:ligatures w14:val="none"/>
        </w:rPr>
        <w:t>behavioural</w:t>
      </w:r>
      <w:proofErr w:type="spellEnd"/>
      <w:r w:rsidR="00306101" w:rsidRPr="00306101">
        <w:rPr>
          <w:kern w:val="0"/>
          <w14:ligatures w14:val="none"/>
        </w:rPr>
        <w:t xml:space="preserve">, </w:t>
      </w:r>
      <w:proofErr w:type="spellStart"/>
      <w:r w:rsidR="00306101" w:rsidRPr="00306101">
        <w:rPr>
          <w:kern w:val="0"/>
          <w14:ligatures w14:val="none"/>
        </w:rPr>
        <w:t>organisational</w:t>
      </w:r>
      <w:proofErr w:type="spellEnd"/>
      <w:r w:rsidR="00306101" w:rsidRPr="00306101">
        <w:rPr>
          <w:kern w:val="0"/>
          <w14:ligatures w14:val="none"/>
        </w:rPr>
        <w:t>, and regulatory alignment.</w:t>
      </w:r>
    </w:p>
    <w:p w14:paraId="2383A0AF" w14:textId="29327468" w:rsidR="00F72705" w:rsidRPr="00B064B8" w:rsidRDefault="00C934E1" w:rsidP="00E47E6E">
      <w:pPr>
        <w:pStyle w:val="Heading2"/>
        <w:numPr>
          <w:ilvl w:val="1"/>
          <w:numId w:val="1"/>
        </w:numPr>
        <w:tabs>
          <w:tab w:val="left" w:pos="0"/>
          <w:tab w:val="left" w:pos="360"/>
        </w:tabs>
        <w:rPr>
          <w:rFonts w:asciiTheme="minorHAnsi" w:hAnsiTheme="minorHAnsi"/>
        </w:rPr>
      </w:pPr>
      <w:r w:rsidRPr="00B064B8">
        <w:rPr>
          <w:rFonts w:asciiTheme="minorHAnsi" w:hAnsiTheme="minorHAnsi"/>
        </w:rPr>
        <w:tab/>
      </w:r>
      <w:bookmarkStart w:id="7" w:name="_Toc208699122"/>
      <w:r w:rsidR="0024157B" w:rsidRPr="00B064B8">
        <w:rPr>
          <w:rFonts w:asciiTheme="minorHAnsi" w:hAnsiTheme="minorHAnsi"/>
        </w:rPr>
        <w:t xml:space="preserve">Aim and </w:t>
      </w:r>
      <w:r w:rsidR="00F72705" w:rsidRPr="00B064B8">
        <w:rPr>
          <w:rFonts w:asciiTheme="minorHAnsi" w:hAnsiTheme="minorHAnsi"/>
        </w:rPr>
        <w:t>Objective</w:t>
      </w:r>
      <w:bookmarkEnd w:id="7"/>
      <w:r w:rsidR="00F72705" w:rsidRPr="00B064B8">
        <w:rPr>
          <w:rFonts w:asciiTheme="minorHAnsi" w:hAnsiTheme="minorHAnsi"/>
        </w:rPr>
        <w:t xml:space="preserve"> </w:t>
      </w:r>
      <w:bookmarkEnd w:id="6"/>
    </w:p>
    <w:p w14:paraId="2A014752" w14:textId="780A453B" w:rsidR="0024157B" w:rsidRPr="00B064B8" w:rsidRDefault="00B430C3" w:rsidP="00A268CF">
      <w:pPr>
        <w:spacing w:line="360" w:lineRule="auto"/>
        <w:jc w:val="both"/>
      </w:pPr>
      <w:bookmarkStart w:id="8" w:name="_Toc206886333"/>
      <w:r w:rsidRPr="00B430C3">
        <w:rPr>
          <w:kern w:val="0"/>
          <w14:ligatures w14:val="none"/>
        </w:rPr>
        <w:t xml:space="preserve">This study </w:t>
      </w:r>
      <w:r w:rsidR="00A6464D">
        <w:rPr>
          <w:kern w:val="0"/>
          <w14:ligatures w14:val="none"/>
        </w:rPr>
        <w:t>aim</w:t>
      </w:r>
      <w:r w:rsidRPr="00B430C3">
        <w:rPr>
          <w:kern w:val="0"/>
          <w14:ligatures w14:val="none"/>
        </w:rPr>
        <w:t xml:space="preserve">s to investigate the </w:t>
      </w:r>
      <w:proofErr w:type="spellStart"/>
      <w:r w:rsidRPr="00B430C3">
        <w:rPr>
          <w:kern w:val="0"/>
          <w14:ligatures w14:val="none"/>
        </w:rPr>
        <w:t>behavioural</w:t>
      </w:r>
      <w:proofErr w:type="spellEnd"/>
      <w:r w:rsidRPr="00B430C3">
        <w:rPr>
          <w:kern w:val="0"/>
          <w14:ligatures w14:val="none"/>
        </w:rPr>
        <w:t xml:space="preserve"> factors that influence corporate clients in Hong Kong to adopt digital trade finance platforms and to assess how such adoption results in </w:t>
      </w:r>
      <w:proofErr w:type="spellStart"/>
      <w:r w:rsidRPr="00B430C3">
        <w:rPr>
          <w:kern w:val="0"/>
          <w14:ligatures w14:val="none"/>
        </w:rPr>
        <w:t>monetisation</w:t>
      </w:r>
      <w:proofErr w:type="spellEnd"/>
      <w:r w:rsidRPr="00B430C3">
        <w:rPr>
          <w:kern w:val="0"/>
          <w14:ligatures w14:val="none"/>
        </w:rPr>
        <w:t xml:space="preserve"> outcomes</w:t>
      </w:r>
      <w:r w:rsidR="008F74B3">
        <w:rPr>
          <w:kern w:val="0"/>
          <w14:ligatures w14:val="none"/>
        </w:rPr>
        <w:t xml:space="preserve">. This will be achieved through four objectives: First, to </w:t>
      </w:r>
      <w:proofErr w:type="spellStart"/>
      <w:r w:rsidR="008F74B3">
        <w:rPr>
          <w:kern w:val="0"/>
          <w14:ligatures w14:val="none"/>
        </w:rPr>
        <w:t>analyse</w:t>
      </w:r>
      <w:proofErr w:type="spellEnd"/>
      <w:r w:rsidR="008F74B3">
        <w:rPr>
          <w:kern w:val="0"/>
          <w14:ligatures w14:val="none"/>
        </w:rPr>
        <w:t xml:space="preserve"> how perceived compatibility between digital trade platforms and corporate treasury workflows affects adoption decisions. Second, to evaluate how familiarity with digital banking channels impacts treasurers’ confidence in using these platforms. Third, to investigate how perceived benefits, such as operational efficiency, regulatory compliance, and AI-powered insights, interact with perceived risks like cybersecurity and regulatory uncertainty, in shaping adoption </w:t>
      </w:r>
      <w:proofErr w:type="spellStart"/>
      <w:r w:rsidR="008F74B3">
        <w:rPr>
          <w:kern w:val="0"/>
          <w14:ligatures w14:val="none"/>
        </w:rPr>
        <w:t>behaviour</w:t>
      </w:r>
      <w:proofErr w:type="spellEnd"/>
      <w:r w:rsidR="008F74B3">
        <w:rPr>
          <w:kern w:val="0"/>
          <w14:ligatures w14:val="none"/>
        </w:rPr>
        <w:t xml:space="preserve">. Fourth, to ascertain how initial trust in institutional credibility and platform reliability moderates the relationship between benefits, risks, and the intention to adopt, and how these pathways ultimately influence </w:t>
      </w:r>
      <w:proofErr w:type="spellStart"/>
      <w:r w:rsidR="008F74B3">
        <w:rPr>
          <w:kern w:val="0"/>
          <w14:ligatures w14:val="none"/>
        </w:rPr>
        <w:t>monetisation</w:t>
      </w:r>
      <w:proofErr w:type="spellEnd"/>
      <w:r w:rsidR="008F74B3">
        <w:rPr>
          <w:kern w:val="0"/>
          <w14:ligatures w14:val="none"/>
        </w:rPr>
        <w:t xml:space="preserve"> outcomes.</w:t>
      </w:r>
    </w:p>
    <w:p w14:paraId="54EE682A" w14:textId="01F83476" w:rsidR="00F72705" w:rsidRPr="00B064B8" w:rsidRDefault="00F72705" w:rsidP="0024157B">
      <w:pPr>
        <w:pStyle w:val="Heading2"/>
        <w:tabs>
          <w:tab w:val="left" w:pos="0"/>
          <w:tab w:val="left" w:pos="360"/>
        </w:tabs>
        <w:rPr>
          <w:rFonts w:asciiTheme="minorHAnsi" w:hAnsiTheme="minorHAnsi"/>
        </w:rPr>
      </w:pPr>
      <w:bookmarkStart w:id="9" w:name="_Toc208699123"/>
      <w:r w:rsidRPr="00B064B8">
        <w:rPr>
          <w:rFonts w:asciiTheme="minorHAnsi" w:hAnsiTheme="minorHAnsi"/>
        </w:rPr>
        <w:t xml:space="preserve">2.3 </w:t>
      </w:r>
      <w:r w:rsidR="00C934E1" w:rsidRPr="00B064B8">
        <w:rPr>
          <w:rFonts w:asciiTheme="minorHAnsi" w:hAnsiTheme="minorHAnsi"/>
        </w:rPr>
        <w:tab/>
      </w:r>
      <w:r w:rsidRPr="00B064B8">
        <w:rPr>
          <w:rFonts w:asciiTheme="minorHAnsi" w:hAnsiTheme="minorHAnsi"/>
        </w:rPr>
        <w:t>Research Question</w:t>
      </w:r>
      <w:bookmarkEnd w:id="8"/>
      <w:r w:rsidR="00C21C38" w:rsidRPr="00B064B8">
        <w:rPr>
          <w:rFonts w:asciiTheme="minorHAnsi" w:hAnsiTheme="minorHAnsi"/>
        </w:rPr>
        <w:t>s</w:t>
      </w:r>
      <w:bookmarkEnd w:id="9"/>
      <w:r w:rsidRPr="00B064B8">
        <w:rPr>
          <w:rFonts w:asciiTheme="minorHAnsi" w:hAnsiTheme="minorHAnsi"/>
        </w:rPr>
        <w:t xml:space="preserve"> </w:t>
      </w:r>
    </w:p>
    <w:p w14:paraId="4A4F1E73" w14:textId="02DFD7E7" w:rsidR="0024157B" w:rsidRPr="00B064B8" w:rsidRDefault="0024157B" w:rsidP="00E47E6E">
      <w:pPr>
        <w:pStyle w:val="NormalWeb"/>
        <w:numPr>
          <w:ilvl w:val="0"/>
          <w:numId w:val="5"/>
        </w:numPr>
        <w:spacing w:line="360" w:lineRule="auto"/>
        <w:jc w:val="both"/>
        <w:rPr>
          <w:rFonts w:asciiTheme="minorHAnsi" w:hAnsiTheme="minorHAnsi" w:cs="Arial"/>
        </w:rPr>
      </w:pPr>
      <w:bookmarkStart w:id="10" w:name="_Toc206886334"/>
      <w:r w:rsidRPr="00B064B8">
        <w:rPr>
          <w:rFonts w:asciiTheme="minorHAnsi" w:hAnsiTheme="minorHAnsi" w:cs="Arial"/>
        </w:rPr>
        <w:t xml:space="preserve">How does perceived compatibility with treasury and trade workflows influence </w:t>
      </w:r>
      <w:r w:rsidR="00F63318" w:rsidRPr="00B064B8">
        <w:rPr>
          <w:rFonts w:asciiTheme="minorHAnsi" w:hAnsiTheme="minorHAnsi" w:cs="Arial"/>
        </w:rPr>
        <w:t xml:space="preserve">the </w:t>
      </w:r>
      <w:r w:rsidRPr="00B064B8">
        <w:rPr>
          <w:rFonts w:asciiTheme="minorHAnsi" w:hAnsiTheme="minorHAnsi" w:cs="Arial"/>
        </w:rPr>
        <w:t>adoption of digital trade finance platforms?</w:t>
      </w:r>
    </w:p>
    <w:p w14:paraId="584FEC7B" w14:textId="142456A0" w:rsidR="0024157B" w:rsidRPr="00B064B8" w:rsidRDefault="00DC74BD" w:rsidP="00E47E6E">
      <w:pPr>
        <w:pStyle w:val="NormalWeb"/>
        <w:numPr>
          <w:ilvl w:val="0"/>
          <w:numId w:val="5"/>
        </w:numPr>
        <w:spacing w:line="360" w:lineRule="auto"/>
        <w:jc w:val="both"/>
        <w:rPr>
          <w:rFonts w:asciiTheme="minorHAnsi" w:hAnsiTheme="minorHAnsi" w:cs="Arial"/>
        </w:rPr>
      </w:pPr>
      <w:r w:rsidRPr="00B064B8">
        <w:rPr>
          <w:rFonts w:asciiTheme="minorHAnsi" w:hAnsiTheme="minorHAnsi" w:cs="Arial"/>
        </w:rPr>
        <w:t>How does familiarity with digital banking channels enhance confidence in adopting them within the corporate trade finance sector?</w:t>
      </w:r>
    </w:p>
    <w:p w14:paraId="0D300833" w14:textId="1514AC36" w:rsidR="0024157B" w:rsidRPr="00B064B8" w:rsidRDefault="0024157B" w:rsidP="00E47E6E">
      <w:pPr>
        <w:pStyle w:val="NormalWeb"/>
        <w:numPr>
          <w:ilvl w:val="0"/>
          <w:numId w:val="5"/>
        </w:numPr>
        <w:spacing w:line="360" w:lineRule="auto"/>
        <w:jc w:val="both"/>
        <w:rPr>
          <w:rFonts w:asciiTheme="minorHAnsi" w:hAnsiTheme="minorHAnsi" w:cs="Arial"/>
        </w:rPr>
      </w:pPr>
      <w:r w:rsidRPr="00B064B8">
        <w:rPr>
          <w:rFonts w:asciiTheme="minorHAnsi" w:hAnsiTheme="minorHAnsi" w:cs="Arial"/>
        </w:rPr>
        <w:lastRenderedPageBreak/>
        <w:t>How do perceived relative benefits and risks interact in shaping adoption behaviour?</w:t>
      </w:r>
    </w:p>
    <w:p w14:paraId="06B73405" w14:textId="551F5494" w:rsidR="0024157B" w:rsidRPr="00B064B8" w:rsidRDefault="0024157B" w:rsidP="00E47E6E">
      <w:pPr>
        <w:pStyle w:val="NormalWeb"/>
        <w:numPr>
          <w:ilvl w:val="0"/>
          <w:numId w:val="5"/>
        </w:numPr>
        <w:spacing w:line="360" w:lineRule="auto"/>
        <w:jc w:val="both"/>
        <w:rPr>
          <w:rFonts w:asciiTheme="minorHAnsi" w:hAnsiTheme="minorHAnsi" w:cs="Arial"/>
        </w:rPr>
      </w:pPr>
      <w:r w:rsidRPr="00B064B8">
        <w:rPr>
          <w:rFonts w:asciiTheme="minorHAnsi" w:hAnsiTheme="minorHAnsi" w:cs="Arial"/>
        </w:rPr>
        <w:t>To what extent does initial trust mediate the relationship between adoption constructs and monetisation outcomes in Hong Kong’s banking sector?</w:t>
      </w:r>
    </w:p>
    <w:p w14:paraId="5D0FC317" w14:textId="036C73B9" w:rsidR="00F72705" w:rsidRPr="00B064B8" w:rsidRDefault="00F72705" w:rsidP="00612F21">
      <w:pPr>
        <w:pStyle w:val="Heading2"/>
        <w:tabs>
          <w:tab w:val="left" w:pos="0"/>
          <w:tab w:val="left" w:pos="360"/>
        </w:tabs>
        <w:spacing w:line="360" w:lineRule="auto"/>
        <w:rPr>
          <w:rFonts w:asciiTheme="minorHAnsi" w:hAnsiTheme="minorHAnsi"/>
        </w:rPr>
      </w:pPr>
      <w:bookmarkStart w:id="11" w:name="_Toc208699124"/>
      <w:r w:rsidRPr="00B064B8">
        <w:rPr>
          <w:rFonts w:asciiTheme="minorHAnsi" w:hAnsiTheme="minorHAnsi"/>
        </w:rPr>
        <w:t xml:space="preserve">2.4 </w:t>
      </w:r>
      <w:r w:rsidR="00C934E1" w:rsidRPr="00B064B8">
        <w:rPr>
          <w:rFonts w:asciiTheme="minorHAnsi" w:hAnsiTheme="minorHAnsi"/>
        </w:rPr>
        <w:tab/>
      </w:r>
      <w:r w:rsidRPr="00B064B8">
        <w:rPr>
          <w:rFonts w:asciiTheme="minorHAnsi" w:hAnsiTheme="minorHAnsi"/>
        </w:rPr>
        <w:t xml:space="preserve">Theoretical </w:t>
      </w:r>
      <w:bookmarkEnd w:id="10"/>
      <w:r w:rsidR="0024157B" w:rsidRPr="00B064B8">
        <w:rPr>
          <w:rFonts w:asciiTheme="minorHAnsi" w:hAnsiTheme="minorHAnsi"/>
        </w:rPr>
        <w:t>Framework and Philosophical Position</w:t>
      </w:r>
      <w:bookmarkEnd w:id="11"/>
      <w:r w:rsidRPr="00B064B8">
        <w:rPr>
          <w:rFonts w:asciiTheme="minorHAnsi" w:hAnsiTheme="minorHAnsi"/>
        </w:rPr>
        <w:t xml:space="preserve"> </w:t>
      </w:r>
    </w:p>
    <w:p w14:paraId="4AAAEC21" w14:textId="4CD0613D" w:rsidR="001C7952" w:rsidRPr="00B064B8" w:rsidRDefault="001C7952" w:rsidP="004F2797">
      <w:pPr>
        <w:pStyle w:val="Heading3"/>
      </w:pPr>
      <w:bookmarkStart w:id="12" w:name="_Toc206886335"/>
      <w:bookmarkStart w:id="13" w:name="_Toc208699125"/>
      <w:r w:rsidRPr="00B064B8">
        <w:t xml:space="preserve">2.4.1 </w:t>
      </w:r>
      <w:r w:rsidR="004F2797">
        <w:tab/>
      </w:r>
      <w:r w:rsidRPr="00B064B8">
        <w:t>Theoretical Framework</w:t>
      </w:r>
      <w:bookmarkEnd w:id="13"/>
      <w:r w:rsidRPr="00B064B8">
        <w:t xml:space="preserve"> </w:t>
      </w:r>
    </w:p>
    <w:p w14:paraId="4A89D7D2" w14:textId="68E80913" w:rsidR="00D84674" w:rsidRDefault="00AB2901" w:rsidP="00D00C32">
      <w:pPr>
        <w:spacing w:line="360" w:lineRule="auto"/>
        <w:jc w:val="both"/>
      </w:pPr>
      <w:r>
        <w:t>This study combines the Technology–</w:t>
      </w:r>
      <w:proofErr w:type="spellStart"/>
      <w:r>
        <w:t>Organisation</w:t>
      </w:r>
      <w:proofErr w:type="spellEnd"/>
      <w:r>
        <w:t xml:space="preserve">–Environment (TOE) framework with Service-Dominant Logic (SDL). TOE explains adoption through three factors: technological readiness, </w:t>
      </w:r>
      <w:proofErr w:type="spellStart"/>
      <w:r>
        <w:t>organisational</w:t>
      </w:r>
      <w:proofErr w:type="spellEnd"/>
      <w:r>
        <w:t xml:space="preserve"> capacity, and environmental pressures (Zhang et al., 2020). In Hong Kong, these relate to system integration, cybersecurity resilience, and compliance with HKMA mandates (Yin &amp; Wang, 2025; HKMA, 2024). However, TOE often neglects the relational aspect. SDL addresses this by </w:t>
      </w:r>
      <w:proofErr w:type="spellStart"/>
      <w:r>
        <w:t>emphasising</w:t>
      </w:r>
      <w:proofErr w:type="spellEnd"/>
      <w:r>
        <w:t xml:space="preserve"> how trust, fairness, and the credibility of client-facing staff influence value co-creation (Hossain, 2024). By integrating SDL into TOE, this study offers a dual perspective that links structural enablers to </w:t>
      </w:r>
      <w:proofErr w:type="spellStart"/>
      <w:r>
        <w:t>behavioural</w:t>
      </w:r>
      <w:proofErr w:type="spellEnd"/>
      <w:r>
        <w:t xml:space="preserve"> drivers, positioning adoption as a precursor to </w:t>
      </w:r>
      <w:proofErr w:type="spellStart"/>
      <w:r>
        <w:t>monetisation</w:t>
      </w:r>
      <w:proofErr w:type="spellEnd"/>
      <w:r>
        <w:t>.</w:t>
      </w:r>
      <w:r w:rsidR="00687F8F">
        <w:t xml:space="preserve"> </w:t>
      </w:r>
      <w:r w:rsidR="00D84674" w:rsidRPr="00D84674">
        <w:t xml:space="preserve">While TOE </w:t>
      </w:r>
      <w:proofErr w:type="spellStart"/>
      <w:r w:rsidR="00D84674" w:rsidRPr="00D84674">
        <w:t>emphasises</w:t>
      </w:r>
      <w:proofErr w:type="spellEnd"/>
      <w:r w:rsidR="00D84674" w:rsidRPr="00D84674">
        <w:t xml:space="preserve"> readiness, adoption in corporate banking is increasingly driven by cybersecurity resilience, regulatory compliance, and workforce capability. </w:t>
      </w:r>
      <w:r w:rsidR="00D70150" w:rsidRPr="00D70150">
        <w:t xml:space="preserve">This framework is extended by embedding risk governance and talent readiness, creating a Risk–Talent Nexus that links adoption to </w:t>
      </w:r>
      <w:proofErr w:type="spellStart"/>
      <w:r w:rsidR="00D70150" w:rsidRPr="00D70150">
        <w:t>monetisation</w:t>
      </w:r>
      <w:proofErr w:type="spellEnd"/>
      <w:r w:rsidR="00D70150" w:rsidRPr="00D70150">
        <w:t xml:space="preserve"> outcomes.</w:t>
      </w:r>
    </w:p>
    <w:p w14:paraId="5D8FB68F" w14:textId="097437B5" w:rsidR="004F2797" w:rsidRDefault="001C7952" w:rsidP="004F2797">
      <w:pPr>
        <w:pStyle w:val="Heading3"/>
      </w:pPr>
      <w:bookmarkStart w:id="14" w:name="_Toc208699126"/>
      <w:r w:rsidRPr="00B064B8">
        <w:t>2.4.2</w:t>
      </w:r>
      <w:r w:rsidRPr="00B064B8">
        <w:tab/>
        <w:t xml:space="preserve"> Philosophical Position</w:t>
      </w:r>
      <w:bookmarkEnd w:id="14"/>
      <w:r w:rsidRPr="00B064B8">
        <w:t xml:space="preserve"> </w:t>
      </w:r>
    </w:p>
    <w:p w14:paraId="0AE4E243" w14:textId="006C628A" w:rsidR="00A333D5" w:rsidRDefault="001060A9" w:rsidP="004F2797">
      <w:pPr>
        <w:spacing w:line="360" w:lineRule="auto"/>
        <w:jc w:val="both"/>
      </w:pPr>
      <w:r w:rsidRPr="00B064B8">
        <w:t xml:space="preserve">Philosophically, the research engages three paradigms. </w:t>
      </w:r>
      <w:r w:rsidR="00A268CF" w:rsidRPr="00B064B8">
        <w:t xml:space="preserve">(1) </w:t>
      </w:r>
      <w:r w:rsidRPr="00B064B8">
        <w:t>Positivism, which dominates adoption studies in c</w:t>
      </w:r>
      <w:r w:rsidR="00A268CF" w:rsidRPr="00B064B8">
        <w:t>orporate</w:t>
      </w:r>
      <w:r w:rsidRPr="00B064B8">
        <w:t xml:space="preserve"> banking, treats constructs such as risk, trust, and compatibility as quantifiable variables to be tested statistically (Susanty et al., 2025). While producing generalisable models, this approach risks reductionism by overlooking the relational and talent-based dynamics of corporate treasuries. </w:t>
      </w:r>
      <w:r w:rsidR="00A268CF" w:rsidRPr="00B064B8">
        <w:t xml:space="preserve">(2) </w:t>
      </w:r>
      <w:r w:rsidRPr="00B064B8">
        <w:t>Interpretivism, by contrast, views adoption as socially constructed and best understood through the lived experiences of treasurers, particularly in how they interpret risks such as compliance, cybersecurity, and model risk</w:t>
      </w:r>
      <w:r w:rsidR="00E266F6">
        <w:t>,</w:t>
      </w:r>
      <w:r w:rsidRPr="00B064B8">
        <w:t xml:space="preserve"> </w:t>
      </w:r>
      <w:r w:rsidR="00AA1AEA" w:rsidRPr="00B064B8">
        <w:t>considering</w:t>
      </w:r>
      <w:r w:rsidRPr="00B064B8">
        <w:t xml:space="preserve"> institutional support. </w:t>
      </w:r>
      <w:r w:rsidR="001E016A">
        <w:t xml:space="preserve">However, </w:t>
      </w:r>
      <w:r w:rsidRPr="00B064B8">
        <w:t xml:space="preserve">interpretivism alone neglects </w:t>
      </w:r>
      <w:r w:rsidRPr="00B064B8">
        <w:lastRenderedPageBreak/>
        <w:t xml:space="preserve">systemic constraints imposed by regulatory requirements or competitive pressures. </w:t>
      </w:r>
      <w:r w:rsidR="0099453E" w:rsidRPr="0099453E">
        <w:rPr>
          <w:color w:val="000000"/>
        </w:rPr>
        <w:t>(Abdurrahman et al., 2024)</w:t>
      </w:r>
      <w:r w:rsidR="0099453E" w:rsidRPr="00B064B8">
        <w:t xml:space="preserve"> </w:t>
      </w:r>
      <w:r w:rsidR="00A268CF" w:rsidRPr="00B064B8">
        <w:t xml:space="preserve">(3) </w:t>
      </w:r>
      <w:r w:rsidRPr="00B064B8">
        <w:t>Critical realism provides the synthesis: it accepts that perceptions of trust and risk are real and consequential but shaped by deeper institutional structures such as regulatory oversight, industry-wide risk management practices, and the preparedness of banking talent (Abdurrahman et al., 2024).</w:t>
      </w:r>
      <w:r w:rsidR="004F2797">
        <w:t xml:space="preserve"> </w:t>
      </w:r>
      <w:r w:rsidR="00A333D5" w:rsidRPr="00A333D5">
        <w:t xml:space="preserve">In the absence of assurance frameworks, adoption and </w:t>
      </w:r>
      <w:proofErr w:type="spellStart"/>
      <w:r w:rsidR="00A333D5" w:rsidRPr="00A333D5">
        <w:t>monetisation</w:t>
      </w:r>
      <w:proofErr w:type="spellEnd"/>
      <w:r w:rsidR="00A333D5" w:rsidRPr="00A333D5">
        <w:t xml:space="preserve"> remain constrained. Banks must invest in </w:t>
      </w:r>
      <w:r w:rsidR="00FE5F2B">
        <w:t xml:space="preserve">both </w:t>
      </w:r>
      <w:r w:rsidR="00A333D5" w:rsidRPr="00A333D5">
        <w:t xml:space="preserve">technical expertise and relational skills to reinforce trust, </w:t>
      </w:r>
      <w:r w:rsidR="00FE5F2B">
        <w:t>demonstrat</w:t>
      </w:r>
      <w:r w:rsidR="00A333D5" w:rsidRPr="00A333D5">
        <w:t xml:space="preserve">ing that both depend on </w:t>
      </w:r>
      <w:r w:rsidR="00FE5F2B">
        <w:t xml:space="preserve">effective </w:t>
      </w:r>
      <w:r w:rsidR="00A333D5" w:rsidRPr="00A333D5">
        <w:t>risk governance and human capital</w:t>
      </w:r>
      <w:r w:rsidR="00A6464D">
        <w:t xml:space="preserve"> management</w:t>
      </w:r>
      <w:r w:rsidR="00A333D5" w:rsidRPr="00A333D5">
        <w:t>.</w:t>
      </w:r>
      <w:r w:rsidR="00D70150" w:rsidRPr="00D70150">
        <w:t xml:space="preserve"> By connecting SDL with TOE, this study </w:t>
      </w:r>
      <w:r w:rsidR="00D70150">
        <w:t>extend</w:t>
      </w:r>
      <w:r w:rsidR="00D70150" w:rsidRPr="00D70150">
        <w:t xml:space="preserve">s beyond value co-creation to </w:t>
      </w:r>
      <w:r w:rsidR="00D70150">
        <w:t>show</w:t>
      </w:r>
      <w:r w:rsidR="00D70150" w:rsidRPr="00D70150">
        <w:t xml:space="preserve"> how institutional risk and talent capabilities </w:t>
      </w:r>
      <w:r w:rsidR="00D70150">
        <w:t>influence</w:t>
      </w:r>
      <w:r w:rsidR="00D70150" w:rsidRPr="00D70150">
        <w:t xml:space="preserve"> </w:t>
      </w:r>
      <w:proofErr w:type="spellStart"/>
      <w:r w:rsidR="00D70150" w:rsidRPr="00D70150">
        <w:t>monetisation</w:t>
      </w:r>
      <w:proofErr w:type="spellEnd"/>
      <w:r w:rsidR="00D70150" w:rsidRPr="00D70150">
        <w:t xml:space="preserve"> outcomes.</w:t>
      </w:r>
    </w:p>
    <w:p w14:paraId="31DDB53B" w14:textId="3507E4E5" w:rsidR="00F72705" w:rsidRPr="00B064B8" w:rsidRDefault="0024157B" w:rsidP="0024157B">
      <w:pPr>
        <w:pStyle w:val="Heading2"/>
        <w:tabs>
          <w:tab w:val="left" w:pos="0"/>
          <w:tab w:val="left" w:pos="360"/>
        </w:tabs>
        <w:rPr>
          <w:rFonts w:asciiTheme="minorHAnsi" w:hAnsiTheme="minorHAnsi"/>
        </w:rPr>
      </w:pPr>
      <w:bookmarkStart w:id="15" w:name="_Toc208699127"/>
      <w:r w:rsidRPr="00B064B8">
        <w:rPr>
          <w:rFonts w:asciiTheme="minorHAnsi" w:hAnsiTheme="minorHAnsi"/>
        </w:rPr>
        <w:t xml:space="preserve">2.5 </w:t>
      </w:r>
      <w:r w:rsidR="003A2D1D" w:rsidRPr="00B064B8">
        <w:rPr>
          <w:rFonts w:asciiTheme="minorHAnsi" w:hAnsiTheme="minorHAnsi"/>
        </w:rPr>
        <w:tab/>
      </w:r>
      <w:r w:rsidR="00F72705" w:rsidRPr="00B064B8">
        <w:rPr>
          <w:rFonts w:asciiTheme="minorHAnsi" w:hAnsiTheme="minorHAnsi"/>
        </w:rPr>
        <w:t>Anticipate Contributions</w:t>
      </w:r>
      <w:bookmarkEnd w:id="12"/>
      <w:bookmarkEnd w:id="15"/>
      <w:r w:rsidR="00F72705" w:rsidRPr="00B064B8">
        <w:rPr>
          <w:rFonts w:asciiTheme="minorHAnsi" w:hAnsiTheme="minorHAnsi"/>
        </w:rPr>
        <w:t xml:space="preserve"> </w:t>
      </w:r>
    </w:p>
    <w:p w14:paraId="1DCA9EC5" w14:textId="138F6675" w:rsidR="00D84674" w:rsidRPr="004D2B08" w:rsidRDefault="004D2B08" w:rsidP="00D84674">
      <w:pPr>
        <w:pStyle w:val="NormalWeb"/>
        <w:spacing w:line="360" w:lineRule="auto"/>
        <w:jc w:val="both"/>
        <w:rPr>
          <w:rFonts w:asciiTheme="minorHAnsi" w:hAnsiTheme="minorHAnsi" w:cs="Arial"/>
          <w:color w:val="000000"/>
        </w:rPr>
      </w:pPr>
      <w:r w:rsidRPr="004D2B08">
        <w:rPr>
          <w:rFonts w:asciiTheme="minorHAnsi" w:hAnsiTheme="minorHAnsi" w:cs="Arial"/>
          <w:color w:val="000000"/>
        </w:rPr>
        <w:t>Therefore, this study makes a significant contribution to the literature on digital trade finance by expanding adoption constructs validated in retail and SME banking into the corporate trade finance sector.</w:t>
      </w:r>
      <w:r w:rsidRPr="004D2B08">
        <w:rPr>
          <w:rFonts w:asciiTheme="minorHAnsi" w:hAnsiTheme="minorHAnsi"/>
        </w:rPr>
        <w:t xml:space="preserve"> </w:t>
      </w:r>
      <w:r w:rsidRPr="004D2B08">
        <w:rPr>
          <w:rFonts w:asciiTheme="minorHAnsi" w:hAnsiTheme="minorHAnsi" w:cs="Arial"/>
          <w:color w:val="000000"/>
        </w:rPr>
        <w:t xml:space="preserve">Unlike previous adoption studies, this research explicitly links adoption constructs to </w:t>
      </w:r>
      <w:proofErr w:type="spellStart"/>
      <w:r w:rsidRPr="004D2B08">
        <w:rPr>
          <w:rFonts w:asciiTheme="minorHAnsi" w:hAnsiTheme="minorHAnsi" w:cs="Arial"/>
          <w:color w:val="000000"/>
        </w:rPr>
        <w:t>monetisation</w:t>
      </w:r>
      <w:proofErr w:type="spellEnd"/>
      <w:r w:rsidRPr="004D2B08">
        <w:rPr>
          <w:rFonts w:asciiTheme="minorHAnsi" w:hAnsiTheme="minorHAnsi" w:cs="Arial"/>
          <w:color w:val="000000"/>
        </w:rPr>
        <w:t>, providing banks with actionable strategies and regulators with guidance on AI governance and workforce readiness. Practically, it offers strategies for banks to reposition platforms as trust-based ecosystems, where risk management and workforce investment turn features into credible value propositions.</w:t>
      </w:r>
    </w:p>
    <w:p w14:paraId="76A9C437" w14:textId="2A6F8D56" w:rsidR="00D84674" w:rsidRDefault="002F0A01" w:rsidP="00D84674">
      <w:pPr>
        <w:pStyle w:val="NormalWeb"/>
        <w:spacing w:line="360" w:lineRule="auto"/>
        <w:jc w:val="both"/>
        <w:rPr>
          <w:rFonts w:asciiTheme="minorHAnsi" w:hAnsiTheme="minorHAnsi" w:cs="Arial"/>
          <w:color w:val="000000"/>
        </w:rPr>
      </w:pPr>
      <w:r w:rsidRPr="002F0A01">
        <w:rPr>
          <w:rFonts w:asciiTheme="minorHAnsi" w:hAnsiTheme="minorHAnsi" w:cs="Arial"/>
          <w:color w:val="000000"/>
        </w:rPr>
        <w:t xml:space="preserve">The study also identifies </w:t>
      </w:r>
      <w:proofErr w:type="spellStart"/>
      <w:r w:rsidRPr="002F0A01">
        <w:rPr>
          <w:rFonts w:asciiTheme="minorHAnsi" w:hAnsiTheme="minorHAnsi" w:cs="Arial"/>
          <w:color w:val="000000"/>
        </w:rPr>
        <w:t>monetisation</w:t>
      </w:r>
      <w:proofErr w:type="spellEnd"/>
      <w:r w:rsidRPr="002F0A01">
        <w:rPr>
          <w:rFonts w:asciiTheme="minorHAnsi" w:hAnsiTheme="minorHAnsi" w:cs="Arial"/>
          <w:color w:val="000000"/>
        </w:rPr>
        <w:t xml:space="preserve"> pathways such as tiered fees, AI-enabled compliance services, and cross-sell opportunities, supported by measurable KPIs including adoption rate, fee-per-transaction uplift, cross-sell ratio, and client lifetime value. This is reinforced by prior research showing that trust, compliance, and </w:t>
      </w:r>
      <w:proofErr w:type="spellStart"/>
      <w:r w:rsidRPr="002F0A01">
        <w:rPr>
          <w:rFonts w:asciiTheme="minorHAnsi" w:hAnsiTheme="minorHAnsi" w:cs="Arial"/>
          <w:color w:val="000000"/>
        </w:rPr>
        <w:t>organisational</w:t>
      </w:r>
      <w:proofErr w:type="spellEnd"/>
      <w:r w:rsidRPr="002F0A01">
        <w:rPr>
          <w:rFonts w:asciiTheme="minorHAnsi" w:hAnsiTheme="minorHAnsi" w:cs="Arial"/>
          <w:color w:val="000000"/>
        </w:rPr>
        <w:t xml:space="preserve"> capability remain central barriers in financial </w:t>
      </w:r>
      <w:proofErr w:type="spellStart"/>
      <w:r w:rsidRPr="002F0A01">
        <w:rPr>
          <w:rFonts w:asciiTheme="minorHAnsi" w:hAnsiTheme="minorHAnsi" w:cs="Arial"/>
          <w:color w:val="000000"/>
        </w:rPr>
        <w:t>digitalisation</w:t>
      </w:r>
      <w:proofErr w:type="spellEnd"/>
      <w:r w:rsidRPr="002F0A01">
        <w:rPr>
          <w:rFonts w:asciiTheme="minorHAnsi" w:hAnsiTheme="minorHAnsi" w:cs="Arial"/>
          <w:color w:val="000000"/>
        </w:rPr>
        <w:t xml:space="preserve"> (</w:t>
      </w:r>
      <w:proofErr w:type="spellStart"/>
      <w:r w:rsidRPr="002F0A01">
        <w:rPr>
          <w:rFonts w:asciiTheme="minorHAnsi" w:hAnsiTheme="minorHAnsi" w:cs="Arial"/>
          <w:color w:val="000000"/>
        </w:rPr>
        <w:t>Montazemi</w:t>
      </w:r>
      <w:proofErr w:type="spellEnd"/>
      <w:r w:rsidRPr="002F0A01">
        <w:rPr>
          <w:rFonts w:asciiTheme="minorHAnsi" w:hAnsiTheme="minorHAnsi" w:cs="Arial"/>
          <w:color w:val="000000"/>
        </w:rPr>
        <w:t xml:space="preserve"> &amp; </w:t>
      </w:r>
      <w:proofErr w:type="spellStart"/>
      <w:r w:rsidRPr="002F0A01">
        <w:rPr>
          <w:rFonts w:asciiTheme="minorHAnsi" w:hAnsiTheme="minorHAnsi" w:cs="Arial"/>
          <w:color w:val="000000"/>
        </w:rPr>
        <w:t>Qahri</w:t>
      </w:r>
      <w:proofErr w:type="spellEnd"/>
      <w:r w:rsidRPr="002F0A01">
        <w:rPr>
          <w:rFonts w:asciiTheme="minorHAnsi" w:hAnsiTheme="minorHAnsi" w:cs="Arial"/>
          <w:color w:val="000000"/>
        </w:rPr>
        <w:t xml:space="preserve">-Saremi, 2015; Zhou &amp; Li, 2023), underscoring that adoption and </w:t>
      </w:r>
      <w:proofErr w:type="spellStart"/>
      <w:r w:rsidRPr="002F0A01">
        <w:rPr>
          <w:rFonts w:asciiTheme="minorHAnsi" w:hAnsiTheme="minorHAnsi" w:cs="Arial"/>
          <w:color w:val="000000"/>
        </w:rPr>
        <w:t>monetisation</w:t>
      </w:r>
      <w:proofErr w:type="spellEnd"/>
      <w:r w:rsidRPr="002F0A01">
        <w:rPr>
          <w:rFonts w:asciiTheme="minorHAnsi" w:hAnsiTheme="minorHAnsi" w:cs="Arial"/>
          <w:color w:val="000000"/>
        </w:rPr>
        <w:t xml:space="preserve"> depend on more than just efficiency. For regulators, the findings clarify how adoption factors</w:t>
      </w:r>
      <w:r w:rsidR="004D2B08">
        <w:rPr>
          <w:rFonts w:asciiTheme="minorHAnsi" w:hAnsiTheme="minorHAnsi" w:cs="Arial"/>
          <w:color w:val="000000"/>
        </w:rPr>
        <w:t xml:space="preserve"> </w:t>
      </w:r>
      <w:r w:rsidRPr="002F0A01">
        <w:rPr>
          <w:rFonts w:asciiTheme="minorHAnsi" w:hAnsiTheme="minorHAnsi" w:cs="Arial"/>
          <w:color w:val="000000"/>
        </w:rPr>
        <w:t>trust, risk perception, and talent credibility</w:t>
      </w:r>
      <w:r w:rsidR="004D2B08">
        <w:rPr>
          <w:rFonts w:asciiTheme="minorHAnsi" w:hAnsiTheme="minorHAnsi" w:cs="Arial"/>
          <w:color w:val="000000"/>
        </w:rPr>
        <w:t xml:space="preserve"> </w:t>
      </w:r>
      <w:r w:rsidRPr="002F0A01">
        <w:rPr>
          <w:rFonts w:asciiTheme="minorHAnsi" w:hAnsiTheme="minorHAnsi" w:cs="Arial"/>
          <w:color w:val="000000"/>
        </w:rPr>
        <w:t>interact with systemic goals, such as financial stability and responsible AI adoption, aligning with the HKMA’s Fintech 2025 agenda</w:t>
      </w:r>
      <w:r>
        <w:rPr>
          <w:rFonts w:cs="Arial"/>
          <w:color w:val="000000"/>
        </w:rPr>
        <w:t>.</w:t>
      </w:r>
    </w:p>
    <w:p w14:paraId="6A6C6108" w14:textId="77777777" w:rsidR="0023484E" w:rsidRDefault="0023484E" w:rsidP="00E47E6E">
      <w:pPr>
        <w:pStyle w:val="Heading1"/>
        <w:numPr>
          <w:ilvl w:val="0"/>
          <w:numId w:val="1"/>
        </w:numPr>
        <w:tabs>
          <w:tab w:val="left" w:pos="0"/>
          <w:tab w:val="left" w:pos="360"/>
        </w:tabs>
        <w:ind w:left="0" w:firstLine="0"/>
        <w:rPr>
          <w:rFonts w:asciiTheme="minorHAnsi" w:hAnsiTheme="minorHAnsi"/>
        </w:rPr>
      </w:pPr>
      <w:bookmarkStart w:id="16" w:name="_Toc208699128"/>
      <w:r>
        <w:rPr>
          <w:rFonts w:asciiTheme="minorHAnsi" w:hAnsiTheme="minorHAnsi"/>
        </w:rPr>
        <w:lastRenderedPageBreak/>
        <w:t>Theoretical Framework</w:t>
      </w:r>
      <w:bookmarkEnd w:id="16"/>
      <w:r>
        <w:rPr>
          <w:rFonts w:asciiTheme="minorHAnsi" w:hAnsiTheme="minorHAnsi"/>
        </w:rPr>
        <w:t xml:space="preserve"> </w:t>
      </w:r>
    </w:p>
    <w:p w14:paraId="2CA28678" w14:textId="35065563" w:rsidR="00F72705" w:rsidRPr="00B064B8" w:rsidRDefault="008F74B3" w:rsidP="003E36A3">
      <w:pPr>
        <w:tabs>
          <w:tab w:val="left" w:pos="0"/>
          <w:tab w:val="left" w:pos="360"/>
        </w:tabs>
        <w:spacing w:before="100" w:beforeAutospacing="1" w:after="100" w:afterAutospacing="1" w:line="360" w:lineRule="auto"/>
        <w:jc w:val="both"/>
        <w:rPr>
          <w:rFonts w:eastAsia="Times New Roman" w:cs="Arial"/>
          <w:color w:val="000000"/>
          <w:kern w:val="0"/>
          <w:sz w:val="22"/>
          <w:szCs w:val="22"/>
          <w14:ligatures w14:val="none"/>
        </w:rPr>
      </w:pPr>
      <w:r>
        <w:rPr>
          <w:rFonts w:eastAsia="Times New Roman" w:cs="Arial"/>
          <w:color w:val="000000"/>
          <w:kern w:val="0"/>
          <w:sz w:val="22"/>
          <w:szCs w:val="22"/>
          <w14:ligatures w14:val="none"/>
        </w:rPr>
        <w:t xml:space="preserve">The </w:t>
      </w:r>
      <w:r>
        <w:rPr>
          <w:kern w:val="0"/>
          <w14:ligatures w14:val="none"/>
        </w:rPr>
        <w:t xml:space="preserve">literature on digital trade finance adoption uncovers a consistent tension between technological potential and real-world implementation. A significant body of research </w:t>
      </w:r>
      <w:proofErr w:type="spellStart"/>
      <w:r>
        <w:rPr>
          <w:kern w:val="0"/>
          <w14:ligatures w14:val="none"/>
        </w:rPr>
        <w:t>emphasises</w:t>
      </w:r>
      <w:proofErr w:type="spellEnd"/>
      <w:r>
        <w:rPr>
          <w:kern w:val="0"/>
          <w14:ligatures w14:val="none"/>
        </w:rPr>
        <w:t xml:space="preserve"> </w:t>
      </w:r>
      <w:proofErr w:type="spellStart"/>
      <w:r>
        <w:rPr>
          <w:kern w:val="0"/>
          <w14:ligatures w14:val="none"/>
        </w:rPr>
        <w:t>digitalisation's</w:t>
      </w:r>
      <w:proofErr w:type="spellEnd"/>
      <w:r>
        <w:rPr>
          <w:kern w:val="0"/>
          <w14:ligatures w14:val="none"/>
        </w:rPr>
        <w:t xml:space="preserve"> ability to accelerate documentation processes, reduce compliance obstacles, and improve transparency in international trade (Tanveer et al., 2025). However, the belief that efficiency improvements alone are enough to encourage adoption has not been supported by practice. Corporate treasurers adopt unevenly, and </w:t>
      </w:r>
      <w:proofErr w:type="spellStart"/>
      <w:r>
        <w:rPr>
          <w:kern w:val="0"/>
          <w14:ligatures w14:val="none"/>
        </w:rPr>
        <w:t>monetisation</w:t>
      </w:r>
      <w:proofErr w:type="spellEnd"/>
      <w:r>
        <w:rPr>
          <w:kern w:val="0"/>
          <w14:ligatures w14:val="none"/>
        </w:rPr>
        <w:t xml:space="preserve"> remains </w:t>
      </w:r>
      <w:r w:rsidR="00FE5F2B">
        <w:rPr>
          <w:kern w:val="0"/>
          <w14:ligatures w14:val="none"/>
        </w:rPr>
        <w:t>challenging</w:t>
      </w:r>
      <w:r>
        <w:rPr>
          <w:kern w:val="0"/>
          <w14:ligatures w14:val="none"/>
        </w:rPr>
        <w:t xml:space="preserve"> to achieve. This paradox indicates that adoption cannot be explained solely by structural efficiency, and that the common assumption</w:t>
      </w:r>
      <w:r w:rsidR="004D2B08">
        <w:rPr>
          <w:kern w:val="0"/>
          <w14:ligatures w14:val="none"/>
        </w:rPr>
        <w:t xml:space="preserve"> </w:t>
      </w:r>
      <w:r>
        <w:rPr>
          <w:kern w:val="0"/>
          <w14:ligatures w14:val="none"/>
        </w:rPr>
        <w:t>namely, that readiness and efficiency lead to adoption</w:t>
      </w:r>
      <w:r w:rsidR="004D2B08">
        <w:rPr>
          <w:kern w:val="0"/>
          <w14:ligatures w14:val="none"/>
        </w:rPr>
        <w:t xml:space="preserve"> </w:t>
      </w:r>
      <w:r>
        <w:rPr>
          <w:kern w:val="0"/>
          <w14:ligatures w14:val="none"/>
        </w:rPr>
        <w:t>needs to be critically re-evaluated</w:t>
      </w:r>
      <w:r>
        <w:rPr>
          <w:rFonts w:eastAsia="Times New Roman" w:cs="Arial"/>
          <w:color w:val="000000"/>
          <w:kern w:val="0"/>
          <w:sz w:val="22"/>
          <w:szCs w:val="22"/>
          <w14:ligatures w14:val="none"/>
        </w:rPr>
        <w:t>.</w:t>
      </w:r>
    </w:p>
    <w:p w14:paraId="4931095C" w14:textId="6F33C27B" w:rsidR="007779A3" w:rsidRPr="00B064B8" w:rsidRDefault="0023484E" w:rsidP="00E47E6E">
      <w:pPr>
        <w:pStyle w:val="Heading2"/>
        <w:numPr>
          <w:ilvl w:val="1"/>
          <w:numId w:val="4"/>
        </w:numPr>
        <w:tabs>
          <w:tab w:val="left" w:pos="0"/>
          <w:tab w:val="left" w:pos="360"/>
        </w:tabs>
        <w:ind w:left="0" w:firstLine="0"/>
        <w:rPr>
          <w:rFonts w:asciiTheme="minorHAnsi" w:hAnsiTheme="minorHAnsi"/>
        </w:rPr>
      </w:pPr>
      <w:bookmarkStart w:id="17" w:name="_Toc208699129"/>
      <w:r>
        <w:rPr>
          <w:rFonts w:asciiTheme="minorHAnsi" w:hAnsiTheme="minorHAnsi"/>
        </w:rPr>
        <w:t>TOE Lens</w:t>
      </w:r>
      <w:bookmarkEnd w:id="17"/>
    </w:p>
    <w:p w14:paraId="3DC44003" w14:textId="096EDC5E" w:rsidR="0034731E" w:rsidRPr="004F2797" w:rsidRDefault="008F74B3" w:rsidP="003E36A3">
      <w:pPr>
        <w:pStyle w:val="NormalWeb"/>
        <w:spacing w:line="360" w:lineRule="auto"/>
        <w:jc w:val="both"/>
        <w:rPr>
          <w:rFonts w:asciiTheme="minorHAnsi" w:eastAsiaTheme="minorEastAsia" w:hAnsiTheme="minorHAnsi" w:cstheme="minorBidi"/>
        </w:rPr>
      </w:pPr>
      <w:bookmarkStart w:id="18" w:name="_Toc206886338"/>
      <w:r w:rsidRPr="004F2797">
        <w:rPr>
          <w:rFonts w:asciiTheme="minorHAnsi" w:hAnsiTheme="minorHAnsi"/>
        </w:rPr>
        <w:t xml:space="preserve">The TOE framework has been widely used to explain </w:t>
      </w:r>
      <w:proofErr w:type="spellStart"/>
      <w:r w:rsidRPr="004F2797">
        <w:rPr>
          <w:rFonts w:asciiTheme="minorHAnsi" w:hAnsiTheme="minorHAnsi"/>
        </w:rPr>
        <w:t>organisational</w:t>
      </w:r>
      <w:proofErr w:type="spellEnd"/>
      <w:r w:rsidRPr="004F2797">
        <w:rPr>
          <w:rFonts w:asciiTheme="minorHAnsi" w:hAnsiTheme="minorHAnsi"/>
        </w:rPr>
        <w:t xml:space="preserve"> adoption of innovation. Its strength lies in identifying technological readiness, </w:t>
      </w:r>
      <w:proofErr w:type="spellStart"/>
      <w:r w:rsidRPr="004F2797">
        <w:rPr>
          <w:rFonts w:asciiTheme="minorHAnsi" w:hAnsiTheme="minorHAnsi"/>
        </w:rPr>
        <w:t>organisational</w:t>
      </w:r>
      <w:proofErr w:type="spellEnd"/>
      <w:r w:rsidRPr="004F2797">
        <w:rPr>
          <w:rFonts w:asciiTheme="minorHAnsi" w:hAnsiTheme="minorHAnsi"/>
        </w:rPr>
        <w:t xml:space="preserve"> capacity, and environmental pressures (Zhang et al., 2020). Recent research confirms its relevance in banking, where dynamic capabilities embedded within the TOE framework are shown to improve digital transformation and performance outcomes (Abdurrahman et al., 2024). TOE is especially relevant given banks’ significant investments in treasury system integration, the availability of onboarding resources, and the strong influence of HKMA’s </w:t>
      </w:r>
      <w:proofErr w:type="spellStart"/>
      <w:r w:rsidRPr="004F2797">
        <w:rPr>
          <w:rFonts w:asciiTheme="minorHAnsi" w:hAnsiTheme="minorHAnsi"/>
        </w:rPr>
        <w:t>digitalisation</w:t>
      </w:r>
      <w:proofErr w:type="spellEnd"/>
      <w:r w:rsidRPr="004F2797">
        <w:rPr>
          <w:rFonts w:asciiTheme="minorHAnsi" w:hAnsiTheme="minorHAnsi"/>
        </w:rPr>
        <w:t xml:space="preserve"> agenda (HKMA, 2024). From this perspective, TOE offers a structured explanation of adoption conditions.</w:t>
      </w:r>
    </w:p>
    <w:bookmarkEnd w:id="18"/>
    <w:p w14:paraId="74A08880" w14:textId="3C88506A" w:rsidR="00D84674" w:rsidRDefault="00D84674" w:rsidP="00D84674">
      <w:pPr>
        <w:spacing w:line="360" w:lineRule="auto"/>
        <w:jc w:val="both"/>
      </w:pPr>
      <w:r>
        <w:t xml:space="preserve">However, TOE assumes that readiness directly leads to adoption, overlooking </w:t>
      </w:r>
      <w:proofErr w:type="spellStart"/>
      <w:r>
        <w:t>behavioural</w:t>
      </w:r>
      <w:proofErr w:type="spellEnd"/>
      <w:r>
        <w:t xml:space="preserve"> and compliance-driven factors. Evidence shows that compatibility, trust, and perceived risk often outweigh structural capacity (Singh, 2023; JAFB, 2025). Treasuries may have the capability for integration</w:t>
      </w:r>
      <w:r w:rsidR="00810AD7">
        <w:t>,</w:t>
      </w:r>
      <w:r>
        <w:t xml:space="preserve"> but </w:t>
      </w:r>
      <w:r w:rsidR="00810AD7">
        <w:t xml:space="preserve">they often </w:t>
      </w:r>
      <w:r>
        <w:t xml:space="preserve">delay adoption due to regulatory uncertainty or </w:t>
      </w:r>
      <w:r w:rsidR="00810AD7">
        <w:t xml:space="preserve">a </w:t>
      </w:r>
      <w:r>
        <w:t xml:space="preserve">lack of trust. Thus, while TOE clarifies the conditions for adoption, it does not explain why </w:t>
      </w:r>
      <w:proofErr w:type="spellStart"/>
      <w:r>
        <w:t>monetisation</w:t>
      </w:r>
      <w:proofErr w:type="spellEnd"/>
      <w:r>
        <w:t xml:space="preserve"> lags, since treasurers </w:t>
      </w:r>
      <w:proofErr w:type="spellStart"/>
      <w:r>
        <w:t>prioritise</w:t>
      </w:r>
      <w:proofErr w:type="spellEnd"/>
      <w:r>
        <w:t xml:space="preserve"> </w:t>
      </w:r>
      <w:proofErr w:type="spellStart"/>
      <w:r>
        <w:t>behavioural</w:t>
      </w:r>
      <w:proofErr w:type="spellEnd"/>
      <w:r>
        <w:t xml:space="preserve"> perceptions over efficiency gains.</w:t>
      </w:r>
    </w:p>
    <w:p w14:paraId="74DE65F0" w14:textId="42D80765" w:rsidR="00FE2725" w:rsidRPr="00B064B8" w:rsidRDefault="0034731E" w:rsidP="0034731E">
      <w:pPr>
        <w:pStyle w:val="Heading2"/>
        <w:spacing w:line="360" w:lineRule="auto"/>
        <w:rPr>
          <w:rFonts w:asciiTheme="minorHAnsi" w:hAnsiTheme="minorHAnsi"/>
        </w:rPr>
      </w:pPr>
      <w:bookmarkStart w:id="19" w:name="_Toc208699130"/>
      <w:r w:rsidRPr="00B064B8">
        <w:rPr>
          <w:rFonts w:asciiTheme="minorHAnsi" w:hAnsiTheme="minorHAnsi"/>
        </w:rPr>
        <w:lastRenderedPageBreak/>
        <w:t>3.2</w:t>
      </w:r>
      <w:r w:rsidR="00FC351E" w:rsidRPr="00B064B8">
        <w:rPr>
          <w:rFonts w:asciiTheme="minorHAnsi" w:hAnsiTheme="minorHAnsi"/>
        </w:rPr>
        <w:t xml:space="preserve"> </w:t>
      </w:r>
      <w:r w:rsidR="00FC351E" w:rsidRPr="00B064B8">
        <w:rPr>
          <w:rFonts w:asciiTheme="minorHAnsi" w:hAnsiTheme="minorHAnsi"/>
        </w:rPr>
        <w:tab/>
      </w:r>
      <w:r w:rsidRPr="00B064B8">
        <w:rPr>
          <w:rFonts w:asciiTheme="minorHAnsi" w:hAnsiTheme="minorHAnsi"/>
        </w:rPr>
        <w:t xml:space="preserve">SDL </w:t>
      </w:r>
      <w:r w:rsidR="0023484E">
        <w:rPr>
          <w:rFonts w:asciiTheme="minorHAnsi" w:hAnsiTheme="minorHAnsi"/>
        </w:rPr>
        <w:t>and Value Co-Creation</w:t>
      </w:r>
      <w:bookmarkEnd w:id="19"/>
    </w:p>
    <w:p w14:paraId="58C0A6AF" w14:textId="4227EAC6" w:rsidR="00AB2901" w:rsidRPr="00AB2901" w:rsidRDefault="00AB2901" w:rsidP="000573F5">
      <w:pPr>
        <w:spacing w:line="360" w:lineRule="auto"/>
        <w:jc w:val="both"/>
        <w:rPr>
          <w:rStyle w:val="Strong"/>
          <w:rFonts w:eastAsiaTheme="majorEastAsia" w:cs="Arial"/>
          <w:b w:val="0"/>
          <w:bCs w:val="0"/>
          <w:color w:val="000000"/>
        </w:rPr>
      </w:pPr>
      <w:r>
        <w:rPr>
          <w:rStyle w:val="Strong"/>
          <w:rFonts w:cs="Arial"/>
          <w:b w:val="0"/>
          <w:bCs w:val="0"/>
          <w:color w:val="000000"/>
          <w:kern w:val="0"/>
          <w14:ligatures w14:val="none"/>
        </w:rPr>
        <w:t xml:space="preserve">SDL redefines adoption as value co-creation, highlighting trust, compliance assurance, and transparency (Hossain, 2024). Adoption is thus more likely when platforms are viewed as ecosystems rather than just utilities. However, SDL overestimates client agency: treasurers face scrutiny from boards and risk committees, leading them to make cautious and risk-averse innovation decisions. Zhou and Li (2023) confirm that adoption relies less on willingness to co-create and more on reliability, institutional endorsement, and workflow compatibility. This limitation shows that SDL alone cannot explain why adoption seldom results in </w:t>
      </w:r>
      <w:proofErr w:type="spellStart"/>
      <w:r>
        <w:rPr>
          <w:rStyle w:val="Strong"/>
          <w:rFonts w:cs="Arial"/>
          <w:b w:val="0"/>
          <w:bCs w:val="0"/>
          <w:color w:val="000000"/>
          <w:kern w:val="0"/>
          <w14:ligatures w14:val="none"/>
        </w:rPr>
        <w:t>moneti</w:t>
      </w:r>
      <w:r w:rsidR="00A6464D">
        <w:rPr>
          <w:rStyle w:val="Strong"/>
          <w:rFonts w:cs="Arial"/>
          <w:b w:val="0"/>
          <w:bCs w:val="0"/>
          <w:color w:val="000000"/>
          <w:kern w:val="0"/>
          <w14:ligatures w14:val="none"/>
        </w:rPr>
        <w:t>sation</w:t>
      </w:r>
      <w:proofErr w:type="spellEnd"/>
      <w:r w:rsidR="00A6464D">
        <w:rPr>
          <w:rStyle w:val="Strong"/>
          <w:rFonts w:cs="Arial"/>
          <w:b w:val="0"/>
          <w:bCs w:val="0"/>
          <w:color w:val="000000"/>
          <w:kern w:val="0"/>
          <w14:ligatures w14:val="none"/>
        </w:rPr>
        <w:t>,</w:t>
      </w:r>
      <w:r>
        <w:rPr>
          <w:rStyle w:val="Strong"/>
          <w:rFonts w:cs="Arial"/>
          <w:b w:val="0"/>
          <w:bCs w:val="0"/>
          <w:color w:val="000000"/>
          <w:kern w:val="0"/>
          <w14:ligatures w14:val="none"/>
        </w:rPr>
        <w:t xml:space="preserve"> a gap this study aims to bridge.</w:t>
      </w:r>
      <w:r w:rsidR="00DD2776" w:rsidRPr="00DD2776">
        <w:t xml:space="preserve"> </w:t>
      </w:r>
      <w:r w:rsidR="00DD2776" w:rsidRPr="00DD2776">
        <w:rPr>
          <w:rStyle w:val="Strong"/>
          <w:rFonts w:cs="Arial"/>
          <w:b w:val="0"/>
          <w:bCs w:val="0"/>
          <w:color w:val="000000"/>
          <w:kern w:val="0"/>
          <w14:ligatures w14:val="none"/>
        </w:rPr>
        <w:t xml:space="preserve">Accordingly, we position SDL not only as co-creation of value but as a precondition for </w:t>
      </w:r>
      <w:proofErr w:type="spellStart"/>
      <w:r w:rsidR="00DD2776" w:rsidRPr="00DD2776">
        <w:rPr>
          <w:rStyle w:val="Strong"/>
          <w:rFonts w:cs="Arial"/>
          <w:b w:val="0"/>
          <w:bCs w:val="0"/>
          <w:color w:val="000000"/>
          <w:kern w:val="0"/>
          <w14:ligatures w14:val="none"/>
        </w:rPr>
        <w:t>monetisation</w:t>
      </w:r>
      <w:proofErr w:type="spellEnd"/>
      <w:r w:rsidR="00DD2776" w:rsidRPr="00DD2776">
        <w:rPr>
          <w:rStyle w:val="Strong"/>
          <w:rFonts w:cs="Arial"/>
          <w:b w:val="0"/>
          <w:bCs w:val="0"/>
          <w:color w:val="000000"/>
          <w:kern w:val="0"/>
          <w14:ligatures w14:val="none"/>
        </w:rPr>
        <w:t xml:space="preserve"> under institutional constraints of compliance and risk oversight.</w:t>
      </w:r>
    </w:p>
    <w:p w14:paraId="0870F2BE" w14:textId="314926B6" w:rsidR="003E36A3" w:rsidRPr="00B064B8" w:rsidRDefault="003E36A3" w:rsidP="00AB2901">
      <w:pPr>
        <w:pStyle w:val="Heading2"/>
        <w:spacing w:before="0" w:after="0" w:line="360" w:lineRule="auto"/>
        <w:rPr>
          <w:rFonts w:asciiTheme="minorHAnsi" w:hAnsiTheme="minorHAnsi"/>
        </w:rPr>
      </w:pPr>
      <w:bookmarkStart w:id="20" w:name="_Toc208699131"/>
      <w:r w:rsidRPr="00B064B8">
        <w:rPr>
          <w:rFonts w:asciiTheme="minorHAnsi" w:hAnsiTheme="minorHAnsi"/>
        </w:rPr>
        <w:t>3.3</w:t>
      </w:r>
      <w:r w:rsidRPr="00B064B8">
        <w:rPr>
          <w:rFonts w:asciiTheme="minorHAnsi" w:hAnsiTheme="minorHAnsi"/>
        </w:rPr>
        <w:tab/>
      </w:r>
      <w:r w:rsidR="0023484E">
        <w:rPr>
          <w:rFonts w:asciiTheme="minorHAnsi" w:hAnsiTheme="minorHAnsi"/>
        </w:rPr>
        <w:t>Integrating Risk – Talent Nexus into TOE and SDL</w:t>
      </w:r>
      <w:bookmarkEnd w:id="20"/>
    </w:p>
    <w:p w14:paraId="77658295" w14:textId="739F5CE4" w:rsidR="001B75C1" w:rsidRDefault="001B75C1" w:rsidP="003E36A3">
      <w:pPr>
        <w:pStyle w:val="NormalWeb"/>
        <w:spacing w:line="360" w:lineRule="auto"/>
        <w:jc w:val="both"/>
        <w:rPr>
          <w:rFonts w:asciiTheme="minorHAnsi" w:hAnsiTheme="minorHAnsi"/>
        </w:rPr>
      </w:pPr>
      <w:r w:rsidRPr="001B75C1">
        <w:rPr>
          <w:rFonts w:asciiTheme="minorHAnsi" w:hAnsiTheme="minorHAnsi"/>
        </w:rPr>
        <w:t xml:space="preserve">While TOE and SDL explain adoption conditions and relational value, they overlook </w:t>
      </w:r>
      <w:proofErr w:type="spellStart"/>
      <w:r w:rsidRPr="001B75C1">
        <w:rPr>
          <w:rFonts w:asciiTheme="minorHAnsi" w:hAnsiTheme="minorHAnsi"/>
        </w:rPr>
        <w:t>behavioural</w:t>
      </w:r>
      <w:proofErr w:type="spellEnd"/>
      <w:r w:rsidRPr="001B75C1">
        <w:rPr>
          <w:rFonts w:asciiTheme="minorHAnsi" w:hAnsiTheme="minorHAnsi"/>
        </w:rPr>
        <w:t xml:space="preserve"> drivers validated in consumer and SME banking, such as compatibility, trust, and risk. In the corporate treasury context, these drivers interact with regulatory and competitive pressures. By integrating them into TOE–SDL, this study develops a more comprehensive model where adoption </w:t>
      </w:r>
      <w:r>
        <w:rPr>
          <w:rFonts w:asciiTheme="minorHAnsi" w:hAnsiTheme="minorHAnsi"/>
        </w:rPr>
        <w:t>serve</w:t>
      </w:r>
      <w:r w:rsidRPr="001B75C1">
        <w:rPr>
          <w:rFonts w:asciiTheme="minorHAnsi" w:hAnsiTheme="minorHAnsi"/>
        </w:rPr>
        <w:t xml:space="preserve">s as a pathway to </w:t>
      </w:r>
      <w:proofErr w:type="spellStart"/>
      <w:r w:rsidRPr="001B75C1">
        <w:rPr>
          <w:rFonts w:asciiTheme="minorHAnsi" w:hAnsiTheme="minorHAnsi"/>
        </w:rPr>
        <w:t>monetisation</w:t>
      </w:r>
      <w:proofErr w:type="spellEnd"/>
      <w:r w:rsidRPr="001B75C1">
        <w:rPr>
          <w:rFonts w:asciiTheme="minorHAnsi" w:hAnsiTheme="minorHAnsi"/>
        </w:rPr>
        <w:t xml:space="preserve"> through measurable outcomes</w:t>
      </w:r>
      <w:r>
        <w:rPr>
          <w:rFonts w:asciiTheme="minorHAnsi" w:hAnsiTheme="minorHAnsi"/>
        </w:rPr>
        <w:t>,</w:t>
      </w:r>
      <w:r w:rsidRPr="001B75C1">
        <w:rPr>
          <w:rFonts w:asciiTheme="minorHAnsi" w:hAnsiTheme="minorHAnsi"/>
        </w:rPr>
        <w:t xml:space="preserve"> </w:t>
      </w:r>
      <w:r>
        <w:rPr>
          <w:rFonts w:asciiTheme="minorHAnsi" w:hAnsiTheme="minorHAnsi"/>
        </w:rPr>
        <w:t>such as</w:t>
      </w:r>
      <w:r w:rsidRPr="001B75C1">
        <w:rPr>
          <w:rFonts w:asciiTheme="minorHAnsi" w:hAnsiTheme="minorHAnsi"/>
        </w:rPr>
        <w:t xml:space="preserve"> fee income, cross-selling, and </w:t>
      </w:r>
      <w:r>
        <w:rPr>
          <w:rFonts w:asciiTheme="minorHAnsi" w:hAnsiTheme="minorHAnsi"/>
        </w:rPr>
        <w:t>enhanced</w:t>
      </w:r>
      <w:r w:rsidRPr="001B75C1">
        <w:rPr>
          <w:rFonts w:asciiTheme="minorHAnsi" w:hAnsiTheme="minorHAnsi"/>
        </w:rPr>
        <w:t xml:space="preserve"> client relationships</w:t>
      </w:r>
      <w:r w:rsidR="00BB6AAE">
        <w:rPr>
          <w:rFonts w:asciiTheme="minorHAnsi" w:hAnsiTheme="minorHAnsi"/>
        </w:rPr>
        <w:t xml:space="preserve"> </w:t>
      </w:r>
      <w:r w:rsidRPr="001B75C1">
        <w:rPr>
          <w:rFonts w:asciiTheme="minorHAnsi" w:hAnsiTheme="minorHAnsi"/>
        </w:rPr>
        <w:t xml:space="preserve">addressing a gap in </w:t>
      </w:r>
      <w:r>
        <w:rPr>
          <w:rFonts w:asciiTheme="minorHAnsi" w:hAnsiTheme="minorHAnsi"/>
        </w:rPr>
        <w:t xml:space="preserve">the </w:t>
      </w:r>
      <w:r w:rsidRPr="001B75C1">
        <w:rPr>
          <w:rFonts w:asciiTheme="minorHAnsi" w:hAnsiTheme="minorHAnsi"/>
        </w:rPr>
        <w:t xml:space="preserve">literature that often </w:t>
      </w:r>
      <w:proofErr w:type="spellStart"/>
      <w:r w:rsidRPr="001B75C1">
        <w:rPr>
          <w:rFonts w:asciiTheme="minorHAnsi" w:hAnsiTheme="minorHAnsi"/>
        </w:rPr>
        <w:t>prioritises</w:t>
      </w:r>
      <w:proofErr w:type="spellEnd"/>
      <w:r w:rsidRPr="001B75C1">
        <w:rPr>
          <w:rFonts w:asciiTheme="minorHAnsi" w:hAnsiTheme="minorHAnsi"/>
        </w:rPr>
        <w:t xml:space="preserve"> efficiency over value </w:t>
      </w:r>
      <w:r w:rsidRPr="00BB6AAE">
        <w:rPr>
          <w:rFonts w:asciiTheme="minorHAnsi" w:hAnsiTheme="minorHAnsi"/>
        </w:rPr>
        <w:t>creation.</w:t>
      </w:r>
      <w:r w:rsidR="00BB6AAE" w:rsidRPr="00BB6AAE">
        <w:rPr>
          <w:rFonts w:asciiTheme="minorHAnsi" w:hAnsiTheme="minorHAnsi"/>
        </w:rPr>
        <w:t xml:space="preserve"> </w:t>
      </w:r>
      <w:r w:rsidR="00BB6AAE" w:rsidRPr="00BB6AAE">
        <w:rPr>
          <w:rFonts w:asciiTheme="minorHAnsi" w:hAnsiTheme="minorHAnsi"/>
        </w:rPr>
        <w:t xml:space="preserve">This link from usage to fee-based value creation also aligns with platform economics, where adoption effects translate into </w:t>
      </w:r>
      <w:proofErr w:type="spellStart"/>
      <w:r w:rsidR="00BB6AAE" w:rsidRPr="00BB6AAE">
        <w:rPr>
          <w:rFonts w:asciiTheme="minorHAnsi" w:hAnsiTheme="minorHAnsi"/>
        </w:rPr>
        <w:t>monetisation</w:t>
      </w:r>
      <w:proofErr w:type="spellEnd"/>
      <w:r w:rsidR="00BB6AAE" w:rsidRPr="00BB6AAE">
        <w:rPr>
          <w:rFonts w:asciiTheme="minorHAnsi" w:hAnsiTheme="minorHAnsi"/>
        </w:rPr>
        <w:t xml:space="preserve"> through volume and premium services (Rochet &amp; </w:t>
      </w:r>
      <w:proofErr w:type="spellStart"/>
      <w:r w:rsidR="00BB6AAE" w:rsidRPr="00BB6AAE">
        <w:rPr>
          <w:rFonts w:asciiTheme="minorHAnsi" w:hAnsiTheme="minorHAnsi"/>
        </w:rPr>
        <w:t>Tirole</w:t>
      </w:r>
      <w:proofErr w:type="spellEnd"/>
      <w:r w:rsidR="00BB6AAE" w:rsidRPr="00BB6AAE">
        <w:rPr>
          <w:rFonts w:asciiTheme="minorHAnsi" w:hAnsiTheme="minorHAnsi"/>
        </w:rPr>
        <w:t>, 2003).</w:t>
      </w:r>
    </w:p>
    <w:p w14:paraId="540DF997" w14:textId="5D56C3DA" w:rsidR="00A6464D" w:rsidRPr="00AB2901" w:rsidRDefault="00BB6AAE" w:rsidP="003E36A3">
      <w:pPr>
        <w:pStyle w:val="NormalWeb"/>
        <w:spacing w:line="360" w:lineRule="auto"/>
        <w:jc w:val="both"/>
        <w:rPr>
          <w:rFonts w:asciiTheme="minorHAnsi" w:eastAsiaTheme="minorEastAsia" w:hAnsiTheme="minorHAnsi" w:cstheme="minorBidi"/>
        </w:rPr>
      </w:pPr>
      <w:r>
        <w:rPr>
          <w:rFonts w:asciiTheme="minorHAnsi" w:eastAsiaTheme="minorEastAsia" w:hAnsiTheme="minorHAnsi" w:cstheme="minorBidi"/>
        </w:rPr>
        <w:t xml:space="preserve">The </w:t>
      </w:r>
      <w:proofErr w:type="spellStart"/>
      <w:r w:rsidR="00A6464D" w:rsidRPr="00A6464D">
        <w:rPr>
          <w:rFonts w:asciiTheme="minorHAnsi" w:eastAsiaTheme="minorEastAsia" w:hAnsiTheme="minorHAnsi" w:cstheme="minorBidi"/>
        </w:rPr>
        <w:t>Komgo</w:t>
      </w:r>
      <w:proofErr w:type="spellEnd"/>
      <w:r>
        <w:rPr>
          <w:rFonts w:asciiTheme="minorHAnsi" w:eastAsiaTheme="minorEastAsia" w:hAnsiTheme="minorHAnsi" w:cstheme="minorBidi"/>
        </w:rPr>
        <w:t xml:space="preserve"> </w:t>
      </w:r>
      <w:r w:rsidR="00A6464D" w:rsidRPr="00A6464D">
        <w:rPr>
          <w:rFonts w:asciiTheme="minorHAnsi" w:eastAsiaTheme="minorEastAsia" w:hAnsiTheme="minorHAnsi" w:cstheme="minorBidi"/>
        </w:rPr>
        <w:t xml:space="preserve">module shows how digital ecosystems can mitigate risk perceptions that constrain adoption. By embedding blockchain verification for trade documents, </w:t>
      </w:r>
      <w:r>
        <w:rPr>
          <w:rFonts w:asciiTheme="minorHAnsi" w:eastAsiaTheme="minorEastAsia" w:hAnsiTheme="minorHAnsi" w:cstheme="minorBidi"/>
        </w:rPr>
        <w:t xml:space="preserve">it </w:t>
      </w:r>
      <w:r w:rsidR="00A6464D" w:rsidRPr="00A6464D">
        <w:rPr>
          <w:rFonts w:asciiTheme="minorHAnsi" w:eastAsiaTheme="minorEastAsia" w:hAnsiTheme="minorHAnsi" w:cstheme="minorBidi"/>
        </w:rPr>
        <w:t xml:space="preserve">provides tamper-proof authenticity and auditability, strengthening institutional trust and reducing compliance risk. At the same time, </w:t>
      </w:r>
      <w:proofErr w:type="spellStart"/>
      <w:r w:rsidR="00A6464D" w:rsidRPr="00A6464D">
        <w:rPr>
          <w:rFonts w:asciiTheme="minorHAnsi" w:eastAsiaTheme="minorEastAsia" w:hAnsiTheme="minorHAnsi" w:cstheme="minorBidi"/>
        </w:rPr>
        <w:t>Komgo</w:t>
      </w:r>
      <w:proofErr w:type="spellEnd"/>
      <w:r w:rsidR="00A6464D" w:rsidRPr="00A6464D">
        <w:rPr>
          <w:rFonts w:asciiTheme="minorHAnsi" w:eastAsiaTheme="minorEastAsia" w:hAnsiTheme="minorHAnsi" w:cstheme="minorBidi"/>
        </w:rPr>
        <w:t xml:space="preserve"> integrates AI-enabled clause extraction and policy alignment checks, which reduce dependence on manual expertise. This illustrates </w:t>
      </w:r>
      <w:r w:rsidR="00A6464D" w:rsidRPr="00A6464D">
        <w:rPr>
          <w:rFonts w:asciiTheme="minorHAnsi" w:eastAsiaTheme="minorEastAsia" w:hAnsiTheme="minorHAnsi" w:cstheme="minorBidi"/>
        </w:rPr>
        <w:lastRenderedPageBreak/>
        <w:t xml:space="preserve">the Risk–Talent Nexus in practice: adoption depends not only on digital tools but also on banks’ ability to reskill staff to interpret AI outputs and reinforce client confidence. </w:t>
      </w:r>
      <w:r w:rsidR="00A6464D" w:rsidRPr="00A6464D">
        <w:rPr>
          <w:rFonts w:asciiTheme="minorHAnsi" w:hAnsiTheme="minorHAnsi"/>
          <w:color w:val="000000"/>
        </w:rPr>
        <w:t>(</w:t>
      </w:r>
      <w:proofErr w:type="spellStart"/>
      <w:r w:rsidR="00A6464D" w:rsidRPr="00A6464D">
        <w:rPr>
          <w:rFonts w:asciiTheme="minorHAnsi" w:hAnsiTheme="minorHAnsi"/>
          <w:color w:val="000000"/>
        </w:rPr>
        <w:t>Komgo</w:t>
      </w:r>
      <w:proofErr w:type="spellEnd"/>
      <w:r w:rsidR="00A6464D" w:rsidRPr="00A6464D">
        <w:rPr>
          <w:rFonts w:asciiTheme="minorHAnsi" w:hAnsiTheme="minorHAnsi"/>
          <w:color w:val="000000"/>
        </w:rPr>
        <w:t>, n.d.)</w:t>
      </w:r>
      <w:r w:rsidR="00306101">
        <w:rPr>
          <w:rFonts w:asciiTheme="minorHAnsi" w:hAnsiTheme="minorHAnsi"/>
          <w:color w:val="000000"/>
        </w:rPr>
        <w:t xml:space="preserve">. </w:t>
      </w:r>
      <w:r w:rsidR="00306101" w:rsidRPr="00306101">
        <w:rPr>
          <w:rFonts w:asciiTheme="minorHAnsi" w:eastAsiaTheme="minorEastAsia" w:hAnsiTheme="minorHAnsi" w:cstheme="minorBidi"/>
        </w:rPr>
        <w:t xml:space="preserve">By embedding the Risk–Talent Nexus into TOE–SDL, this framework shifts the focus from efficiency-driven adoption to value-generating </w:t>
      </w:r>
      <w:proofErr w:type="spellStart"/>
      <w:r w:rsidR="00306101" w:rsidRPr="00306101">
        <w:rPr>
          <w:rFonts w:asciiTheme="minorHAnsi" w:eastAsiaTheme="minorEastAsia" w:hAnsiTheme="minorHAnsi" w:cstheme="minorBidi"/>
        </w:rPr>
        <w:t>monetisation</w:t>
      </w:r>
      <w:proofErr w:type="spellEnd"/>
      <w:r w:rsidR="00306101" w:rsidRPr="00306101">
        <w:rPr>
          <w:rFonts w:asciiTheme="minorHAnsi" w:eastAsiaTheme="minorEastAsia" w:hAnsiTheme="minorHAnsi" w:cstheme="minorBidi"/>
        </w:rPr>
        <w:t>.</w:t>
      </w:r>
    </w:p>
    <w:p w14:paraId="5FF7FE4C" w14:textId="1E7AD30A" w:rsidR="007779A3" w:rsidRPr="00B064B8" w:rsidRDefault="00C21C38" w:rsidP="00E47E6E">
      <w:pPr>
        <w:pStyle w:val="Heading2"/>
        <w:numPr>
          <w:ilvl w:val="1"/>
          <w:numId w:val="6"/>
        </w:numPr>
        <w:tabs>
          <w:tab w:val="left" w:pos="0"/>
          <w:tab w:val="left" w:pos="360"/>
        </w:tabs>
        <w:spacing w:line="360" w:lineRule="auto"/>
        <w:rPr>
          <w:rFonts w:asciiTheme="minorHAnsi" w:hAnsiTheme="minorHAnsi"/>
        </w:rPr>
      </w:pPr>
      <w:bookmarkStart w:id="21" w:name="_Toc208699132"/>
      <w:r w:rsidRPr="00B064B8">
        <w:rPr>
          <w:rFonts w:asciiTheme="minorHAnsi" w:hAnsiTheme="minorHAnsi"/>
        </w:rPr>
        <w:t xml:space="preserve">Adoption </w:t>
      </w:r>
      <w:r w:rsidR="00F63318" w:rsidRPr="00B064B8">
        <w:rPr>
          <w:rFonts w:asciiTheme="minorHAnsi" w:hAnsiTheme="minorHAnsi"/>
        </w:rPr>
        <w:t>of</w:t>
      </w:r>
      <w:r w:rsidRPr="00B064B8">
        <w:rPr>
          <w:rFonts w:asciiTheme="minorHAnsi" w:hAnsiTheme="minorHAnsi"/>
        </w:rPr>
        <w:t xml:space="preserve"> </w:t>
      </w:r>
      <w:proofErr w:type="spellStart"/>
      <w:r w:rsidRPr="00B064B8">
        <w:rPr>
          <w:rFonts w:asciiTheme="minorHAnsi" w:hAnsiTheme="minorHAnsi"/>
        </w:rPr>
        <w:t>Moneti</w:t>
      </w:r>
      <w:r w:rsidR="00F63318" w:rsidRPr="00B064B8">
        <w:rPr>
          <w:rFonts w:asciiTheme="minorHAnsi" w:hAnsiTheme="minorHAnsi"/>
        </w:rPr>
        <w:t>s</w:t>
      </w:r>
      <w:r w:rsidRPr="00B064B8">
        <w:rPr>
          <w:rFonts w:asciiTheme="minorHAnsi" w:hAnsiTheme="minorHAnsi"/>
        </w:rPr>
        <w:t>ation</w:t>
      </w:r>
      <w:proofErr w:type="spellEnd"/>
      <w:r w:rsidRPr="00B064B8">
        <w:rPr>
          <w:rFonts w:asciiTheme="minorHAnsi" w:hAnsiTheme="minorHAnsi"/>
        </w:rPr>
        <w:t xml:space="preserve"> Hypotheses Model</w:t>
      </w:r>
      <w:bookmarkEnd w:id="21"/>
    </w:p>
    <w:p w14:paraId="79070C78" w14:textId="0E3B57DB" w:rsidR="00BB6AAE" w:rsidRDefault="0077086E" w:rsidP="00193739">
      <w:pPr>
        <w:spacing w:line="360" w:lineRule="auto"/>
        <w:jc w:val="both"/>
      </w:pPr>
      <w:r w:rsidRPr="0077086E">
        <w:t xml:space="preserve">The proposed model links individual perceptions and systemic conditions to adoption and </w:t>
      </w:r>
      <w:proofErr w:type="spellStart"/>
      <w:r w:rsidRPr="0077086E">
        <w:t>monetisation</w:t>
      </w:r>
      <w:proofErr w:type="spellEnd"/>
      <w:r w:rsidRPr="0077086E">
        <w:t xml:space="preserve">. </w:t>
      </w:r>
      <w:r w:rsidR="00BB6AAE" w:rsidRPr="00BB6AAE">
        <w:t xml:space="preserve">Compatibility (H1), familiarity (H2), and perceived benefits (H3) strengthen trust, whereas perceived risk (H4) undermines it (Singh, 2023; </w:t>
      </w:r>
      <w:proofErr w:type="spellStart"/>
      <w:r w:rsidR="00BB6AAE" w:rsidRPr="00BB6AAE">
        <w:t>Montazemi</w:t>
      </w:r>
      <w:proofErr w:type="spellEnd"/>
      <w:r w:rsidR="00BB6AAE" w:rsidRPr="00BB6AAE">
        <w:t xml:space="preserve"> &amp; </w:t>
      </w:r>
      <w:proofErr w:type="spellStart"/>
      <w:r w:rsidR="00BB6AAE" w:rsidRPr="00BB6AAE">
        <w:t>Qahri</w:t>
      </w:r>
      <w:proofErr w:type="spellEnd"/>
      <w:r w:rsidR="00BB6AAE" w:rsidRPr="00BB6AAE">
        <w:t xml:space="preserve">-Saremi, 2015). Trust (H5) acts as a </w:t>
      </w:r>
      <w:proofErr w:type="spellStart"/>
      <w:r w:rsidR="00BB6AAE" w:rsidRPr="00BB6AAE">
        <w:t>behavioural</w:t>
      </w:r>
      <w:proofErr w:type="spellEnd"/>
      <w:r w:rsidR="00BB6AAE" w:rsidRPr="00BB6AAE">
        <w:t xml:space="preserve"> anchor shaping adoption intention. External drivers</w:t>
      </w:r>
      <w:r w:rsidR="00BB6AAE">
        <w:t xml:space="preserve"> </w:t>
      </w:r>
      <w:r w:rsidR="00BB6AAE" w:rsidRPr="00BB6AAE">
        <w:t>social influence, competitive pressure, and government support</w:t>
      </w:r>
      <w:r w:rsidR="00BB6AAE">
        <w:t xml:space="preserve"> </w:t>
      </w:r>
      <w:r w:rsidR="00BB6AAE" w:rsidRPr="00BB6AAE">
        <w:t xml:space="preserve">reinforce intention (H6–H10) (Venkatesh et al., 2003; Hu et al., 2024), leading to actual usage (H11). Usage predicts </w:t>
      </w:r>
      <w:proofErr w:type="spellStart"/>
      <w:r w:rsidR="00BB6AAE" w:rsidRPr="00BB6AAE">
        <w:t>monetisation</w:t>
      </w:r>
      <w:proofErr w:type="spellEnd"/>
      <w:r w:rsidR="00BB6AAE" w:rsidRPr="00BB6AAE">
        <w:t xml:space="preserve"> outcomes</w:t>
      </w:r>
      <w:r w:rsidR="00BB6AAE">
        <w:t xml:space="preserve"> </w:t>
      </w:r>
      <w:r w:rsidR="00BB6AAE" w:rsidRPr="00BB6AAE">
        <w:t>higher volume and uptake of premium services (H12–H14)</w:t>
      </w:r>
      <w:r w:rsidR="00BB6AAE">
        <w:t xml:space="preserve"> </w:t>
      </w:r>
      <w:r w:rsidR="00BB6AAE" w:rsidRPr="00BB6AAE">
        <w:t xml:space="preserve">consistent with platform </w:t>
      </w:r>
      <w:proofErr w:type="spellStart"/>
      <w:r w:rsidR="00BB6AAE" w:rsidRPr="00BB6AAE">
        <w:t>monetisation</w:t>
      </w:r>
      <w:proofErr w:type="spellEnd"/>
      <w:r w:rsidR="00BB6AAE" w:rsidRPr="00BB6AAE">
        <w:t xml:space="preserve"> logic (Rochet &amp; </w:t>
      </w:r>
      <w:proofErr w:type="spellStart"/>
      <w:r w:rsidR="00BB6AAE" w:rsidRPr="00BB6AAE">
        <w:t>Tirole</w:t>
      </w:r>
      <w:proofErr w:type="spellEnd"/>
      <w:r w:rsidR="00BB6AAE" w:rsidRPr="00BB6AAE">
        <w:t>, 2003; Tanveer et al., 2025).</w:t>
      </w:r>
    </w:p>
    <w:p w14:paraId="2BBDCA4F" w14:textId="6249FAB4" w:rsidR="00ED2D81" w:rsidRPr="004F2797" w:rsidRDefault="00ED2D81" w:rsidP="004F2797">
      <w:pPr>
        <w:pStyle w:val="Heading3"/>
      </w:pPr>
      <w:bookmarkStart w:id="22" w:name="_Toc208699133"/>
      <w:r w:rsidRPr="004F2797">
        <w:t xml:space="preserve">3.4.1 </w:t>
      </w:r>
      <w:r w:rsidR="004F2797">
        <w:tab/>
      </w:r>
      <w:r w:rsidRPr="004F2797">
        <w:t>The Risk–Talent Nexus</w:t>
      </w:r>
      <w:bookmarkEnd w:id="22"/>
    </w:p>
    <w:p w14:paraId="595460E1" w14:textId="4384FBCF" w:rsidR="00B064B8" w:rsidRPr="0023484E" w:rsidRDefault="008F74B3" w:rsidP="0023484E">
      <w:pPr>
        <w:spacing w:line="360" w:lineRule="auto"/>
        <w:jc w:val="both"/>
        <w:rPr>
          <w:rStyle w:val="Strong"/>
          <w:b w:val="0"/>
          <w:bCs w:val="0"/>
        </w:rPr>
      </w:pPr>
      <w:r>
        <w:rPr>
          <w:kern w:val="0"/>
          <w14:ligatures w14:val="none"/>
        </w:rPr>
        <w:t xml:space="preserve">Recent studies have shown that adoption in corporate banking is influenced not only by technological readiness but also by the interaction between risk governance and workforce capabilities. This study </w:t>
      </w:r>
      <w:proofErr w:type="spellStart"/>
      <w:r>
        <w:rPr>
          <w:kern w:val="0"/>
          <w14:ligatures w14:val="none"/>
        </w:rPr>
        <w:t>conceptualises</w:t>
      </w:r>
      <w:proofErr w:type="spellEnd"/>
      <w:r>
        <w:rPr>
          <w:kern w:val="0"/>
          <w14:ligatures w14:val="none"/>
        </w:rPr>
        <w:t xml:space="preserve"> these interdependencies as a Risk–Talent Nexus, where cybersecurity, regulatory, and model risks intersect with staff capability, training, and relational credibility. Incorporating this construct into the TOE framework ensures that adoption depends on both governance safeguards and human capital readiness.</w:t>
      </w:r>
    </w:p>
    <w:p w14:paraId="169FEA29" w14:textId="77777777" w:rsidR="0071647D" w:rsidRDefault="0071647D">
      <w:pPr>
        <w:rPr>
          <w:rStyle w:val="Strong"/>
          <w:rFonts w:eastAsiaTheme="majorEastAsia" w:cs="Arial"/>
          <w:color w:val="000000"/>
          <w:kern w:val="0"/>
          <w:sz w:val="22"/>
          <w:szCs w:val="22"/>
          <w14:ligatures w14:val="none"/>
        </w:rPr>
      </w:pPr>
      <w:r>
        <w:rPr>
          <w:rStyle w:val="Strong"/>
          <w:rFonts w:eastAsiaTheme="majorEastAsia" w:cs="Arial"/>
          <w:color w:val="000000"/>
          <w:sz w:val="22"/>
          <w:szCs w:val="22"/>
        </w:rPr>
        <w:br w:type="page"/>
      </w:r>
    </w:p>
    <w:p w14:paraId="36145E35" w14:textId="02D73F31" w:rsidR="00B73319" w:rsidRPr="00B73319" w:rsidRDefault="00322C06" w:rsidP="00B73319">
      <w:pPr>
        <w:pStyle w:val="NormalWeb"/>
        <w:tabs>
          <w:tab w:val="left" w:pos="0"/>
          <w:tab w:val="left" w:pos="360"/>
        </w:tabs>
        <w:spacing w:after="0" w:afterAutospacing="0" w:line="360" w:lineRule="auto"/>
        <w:jc w:val="center"/>
        <w:rPr>
          <w:rFonts w:asciiTheme="minorHAnsi" w:eastAsiaTheme="majorEastAsia" w:hAnsiTheme="minorHAnsi" w:cs="Arial"/>
          <w:b/>
          <w:bCs/>
          <w:color w:val="000000"/>
          <w:sz w:val="22"/>
          <w:szCs w:val="22"/>
        </w:rPr>
      </w:pPr>
      <w:r w:rsidRPr="00B064B8">
        <w:rPr>
          <w:rStyle w:val="Strong"/>
          <w:rFonts w:asciiTheme="minorHAnsi" w:eastAsiaTheme="majorEastAsia" w:hAnsiTheme="minorHAnsi" w:cs="Arial"/>
          <w:color w:val="000000"/>
          <w:sz w:val="22"/>
          <w:szCs w:val="22"/>
        </w:rPr>
        <w:lastRenderedPageBreak/>
        <w:t>Diagram</w:t>
      </w:r>
      <w:r w:rsidR="007779A3" w:rsidRPr="00B064B8">
        <w:rPr>
          <w:rStyle w:val="Strong"/>
          <w:rFonts w:asciiTheme="minorHAnsi" w:eastAsiaTheme="majorEastAsia" w:hAnsiTheme="minorHAnsi" w:cs="Arial"/>
          <w:color w:val="000000"/>
          <w:sz w:val="22"/>
          <w:szCs w:val="22"/>
        </w:rPr>
        <w:t xml:space="preserve"> 1. Conceptual model of corporate client adoption of trade finance platforms</w:t>
      </w:r>
    </w:p>
    <w:p w14:paraId="6BCE9BF8" w14:textId="1960D443" w:rsidR="007779A3" w:rsidRPr="00B064B8" w:rsidRDefault="004F2797" w:rsidP="004858D3">
      <w:pPr>
        <w:tabs>
          <w:tab w:val="left" w:pos="0"/>
          <w:tab w:val="left" w:pos="360"/>
        </w:tabs>
        <w:spacing w:after="0" w:line="240" w:lineRule="auto"/>
        <w:jc w:val="both"/>
        <w:rPr>
          <w:rFonts w:eastAsia="Times New Roman" w:cs="Arial"/>
          <w:color w:val="000000"/>
          <w:kern w:val="0"/>
          <w:sz w:val="22"/>
          <w:szCs w:val="22"/>
          <w14:ligatures w14:val="none"/>
        </w:rPr>
      </w:pPr>
      <w:r>
        <w:rPr>
          <w:noProof/>
        </w:rPr>
        <w:drawing>
          <wp:inline distT="0" distB="0" distL="0" distR="0" wp14:anchorId="32BBDB24" wp14:editId="3FDCF644">
            <wp:extent cx="5943600" cy="3072130"/>
            <wp:effectExtent l="0" t="0" r="0" b="0"/>
            <wp:docPr id="17407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7183" name=""/>
                    <pic:cNvPicPr/>
                  </pic:nvPicPr>
                  <pic:blipFill>
                    <a:blip r:embed="rId11"/>
                    <a:stretch>
                      <a:fillRect/>
                    </a:stretch>
                  </pic:blipFill>
                  <pic:spPr>
                    <a:xfrm>
                      <a:off x="0" y="0"/>
                      <a:ext cx="5943600" cy="3072130"/>
                    </a:xfrm>
                    <a:prstGeom prst="rect">
                      <a:avLst/>
                    </a:prstGeom>
                  </pic:spPr>
                </pic:pic>
              </a:graphicData>
            </a:graphic>
          </wp:inline>
        </w:drawing>
      </w:r>
    </w:p>
    <w:p w14:paraId="47751F10" w14:textId="707DD194" w:rsidR="007779A3" w:rsidRPr="00B064B8" w:rsidRDefault="00AE734E" w:rsidP="00F72705">
      <w:pPr>
        <w:tabs>
          <w:tab w:val="left" w:pos="0"/>
          <w:tab w:val="left" w:pos="360"/>
        </w:tabs>
        <w:spacing w:before="100" w:beforeAutospacing="1" w:after="100" w:afterAutospacing="1" w:line="360" w:lineRule="auto"/>
        <w:jc w:val="both"/>
        <w:rPr>
          <w:rFonts w:eastAsia="Times New Roman" w:cs="Arial"/>
          <w:color w:val="000000"/>
          <w:kern w:val="0"/>
          <w:sz w:val="22"/>
          <w:szCs w:val="22"/>
          <w14:ligatures w14:val="none"/>
        </w:rPr>
      </w:pPr>
      <w:r w:rsidRPr="00B064B8">
        <w:rPr>
          <w:rFonts w:eastAsia="Times New Roman" w:cs="Arial"/>
          <w:noProof/>
          <w:color w:val="000000"/>
          <w:kern w:val="0"/>
          <w:sz w:val="22"/>
          <w:szCs w:val="22"/>
          <w14:ligatures w14:val="none"/>
        </w:rPr>
        <w:drawing>
          <wp:inline distT="0" distB="0" distL="0" distR="0" wp14:anchorId="25DE20BD" wp14:editId="5EA2F265">
            <wp:extent cx="5589146" cy="2666365"/>
            <wp:effectExtent l="0" t="0" r="0" b="0"/>
            <wp:docPr id="1447568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568424" name=""/>
                    <pic:cNvPicPr/>
                  </pic:nvPicPr>
                  <pic:blipFill rotWithShape="1">
                    <a:blip r:embed="rId12"/>
                    <a:srcRect l="5941"/>
                    <a:stretch>
                      <a:fillRect/>
                    </a:stretch>
                  </pic:blipFill>
                  <pic:spPr bwMode="auto">
                    <a:xfrm>
                      <a:off x="0" y="0"/>
                      <a:ext cx="5589146" cy="2666365"/>
                    </a:xfrm>
                    <a:prstGeom prst="rect">
                      <a:avLst/>
                    </a:prstGeom>
                    <a:ln>
                      <a:noFill/>
                    </a:ln>
                    <a:extLst>
                      <a:ext uri="{53640926-AAD7-44D8-BBD7-CCE9431645EC}">
                        <a14:shadowObscured xmlns:a14="http://schemas.microsoft.com/office/drawing/2010/main"/>
                      </a:ext>
                    </a:extLst>
                  </pic:spPr>
                </pic:pic>
              </a:graphicData>
            </a:graphic>
          </wp:inline>
        </w:drawing>
      </w:r>
    </w:p>
    <w:p w14:paraId="458DE3E1" w14:textId="2C4A1ABA" w:rsidR="007779A3" w:rsidRPr="00B064B8" w:rsidRDefault="007779A3" w:rsidP="00E47E6E">
      <w:pPr>
        <w:pStyle w:val="Heading2"/>
        <w:numPr>
          <w:ilvl w:val="1"/>
          <w:numId w:val="6"/>
        </w:numPr>
        <w:tabs>
          <w:tab w:val="left" w:pos="0"/>
          <w:tab w:val="left" w:pos="360"/>
        </w:tabs>
        <w:ind w:left="0" w:firstLine="0"/>
        <w:rPr>
          <w:rFonts w:asciiTheme="minorHAnsi" w:hAnsiTheme="minorHAnsi"/>
        </w:rPr>
      </w:pPr>
      <w:bookmarkStart w:id="23" w:name="_Toc206886340"/>
      <w:bookmarkStart w:id="24" w:name="_Toc208699134"/>
      <w:r w:rsidRPr="00B064B8">
        <w:rPr>
          <w:rFonts w:asciiTheme="minorHAnsi" w:hAnsiTheme="minorHAnsi"/>
        </w:rPr>
        <w:t xml:space="preserve">Philosophical </w:t>
      </w:r>
      <w:r w:rsidR="002A4A96">
        <w:rPr>
          <w:rFonts w:asciiTheme="minorHAnsi" w:hAnsiTheme="minorHAnsi"/>
        </w:rPr>
        <w:t>P</w:t>
      </w:r>
      <w:r w:rsidRPr="00B064B8">
        <w:rPr>
          <w:rFonts w:asciiTheme="minorHAnsi" w:hAnsiTheme="minorHAnsi"/>
        </w:rPr>
        <w:t xml:space="preserve">aradigms and </w:t>
      </w:r>
      <w:r w:rsidR="002A4A96">
        <w:rPr>
          <w:rFonts w:asciiTheme="minorHAnsi" w:hAnsiTheme="minorHAnsi"/>
        </w:rPr>
        <w:t>I</w:t>
      </w:r>
      <w:r w:rsidRPr="00B064B8">
        <w:rPr>
          <w:rFonts w:asciiTheme="minorHAnsi" w:hAnsiTheme="minorHAnsi"/>
        </w:rPr>
        <w:t>mplications</w:t>
      </w:r>
      <w:bookmarkEnd w:id="23"/>
      <w:bookmarkEnd w:id="24"/>
    </w:p>
    <w:p w14:paraId="4194293B" w14:textId="4A89CB6B" w:rsidR="0034731E" w:rsidRPr="00B064B8" w:rsidRDefault="0034731E" w:rsidP="0034731E">
      <w:pPr>
        <w:pStyle w:val="NormalWeb"/>
        <w:spacing w:line="360" w:lineRule="auto"/>
        <w:jc w:val="both"/>
        <w:rPr>
          <w:rFonts w:asciiTheme="minorHAnsi" w:eastAsiaTheme="minorEastAsia" w:hAnsiTheme="minorHAnsi" w:cstheme="minorBidi"/>
        </w:rPr>
      </w:pPr>
      <w:r w:rsidRPr="00B064B8">
        <w:rPr>
          <w:rFonts w:asciiTheme="minorHAnsi" w:eastAsiaTheme="minorEastAsia" w:hAnsiTheme="minorHAnsi" w:cstheme="minorBidi"/>
        </w:rPr>
        <w:t>The debate between TOE and SDL reflects deeper philosophical orientations. </w:t>
      </w:r>
      <w:r w:rsidR="00ED2D81" w:rsidRPr="00ED2D81">
        <w:rPr>
          <w:rFonts w:asciiTheme="minorHAnsi" w:eastAsiaTheme="minorEastAsia" w:hAnsiTheme="minorHAnsi" w:cstheme="minorBidi"/>
        </w:rPr>
        <w:t xml:space="preserve">While positivism has provided valuable generalisable insights in consumer and SME contexts, this study adopts an interpretivist–critical realist stance to capture meaning and structure. Positivist methods, such as SEM, are </w:t>
      </w:r>
      <w:proofErr w:type="spellStart"/>
      <w:r w:rsidR="008F74B3">
        <w:rPr>
          <w:rFonts w:asciiTheme="minorHAnsi" w:eastAsiaTheme="minorEastAsia" w:hAnsiTheme="minorHAnsi" w:cstheme="minorBidi"/>
        </w:rPr>
        <w:t>recognis</w:t>
      </w:r>
      <w:r w:rsidR="00ED2D81" w:rsidRPr="00ED2D81">
        <w:rPr>
          <w:rFonts w:asciiTheme="minorHAnsi" w:eastAsiaTheme="minorEastAsia" w:hAnsiTheme="minorHAnsi" w:cstheme="minorBidi"/>
        </w:rPr>
        <w:t>ed</w:t>
      </w:r>
      <w:proofErr w:type="spellEnd"/>
      <w:r w:rsidR="00ED2D81" w:rsidRPr="00ED2D81">
        <w:rPr>
          <w:rFonts w:asciiTheme="minorHAnsi" w:eastAsiaTheme="minorEastAsia" w:hAnsiTheme="minorHAnsi" w:cstheme="minorBidi"/>
        </w:rPr>
        <w:t xml:space="preserve"> only as potential complements for future large-scale validation.</w:t>
      </w:r>
      <w:r w:rsidR="00566B6E" w:rsidRPr="00566B6E">
        <w:t xml:space="preserve"> </w:t>
      </w:r>
      <w:r w:rsidR="00566B6E" w:rsidRPr="00566B6E">
        <w:rPr>
          <w:rFonts w:asciiTheme="minorHAnsi" w:eastAsiaTheme="minorEastAsia" w:hAnsiTheme="minorHAnsi" w:cstheme="minorBidi"/>
        </w:rPr>
        <w:t>Susanty et al. (2025)</w:t>
      </w:r>
      <w:r w:rsidR="00566B6E">
        <w:rPr>
          <w:rFonts w:asciiTheme="minorHAnsi" w:eastAsiaTheme="minorEastAsia" w:hAnsiTheme="minorHAnsi" w:cstheme="minorBidi"/>
        </w:rPr>
        <w:t>.</w:t>
      </w:r>
    </w:p>
    <w:p w14:paraId="6BFE9D17" w14:textId="64294D7F" w:rsidR="0034731E" w:rsidRPr="00B064B8" w:rsidRDefault="00975C7B" w:rsidP="0034731E">
      <w:pPr>
        <w:pStyle w:val="NormalWeb"/>
        <w:spacing w:line="360" w:lineRule="auto"/>
        <w:jc w:val="both"/>
        <w:rPr>
          <w:rFonts w:asciiTheme="minorHAnsi" w:eastAsiaTheme="minorEastAsia" w:hAnsiTheme="minorHAnsi" w:cstheme="minorBidi"/>
        </w:rPr>
      </w:pPr>
      <w:r w:rsidRPr="00B064B8">
        <w:rPr>
          <w:rFonts w:asciiTheme="minorHAnsi" w:eastAsiaTheme="minorEastAsia" w:hAnsiTheme="minorHAnsi" w:cstheme="minorBidi"/>
        </w:rPr>
        <w:lastRenderedPageBreak/>
        <w:t xml:space="preserve">Interpretivist approaches emphasise subjective meaning, illustrating how adoption is shaped by prior experience. </w:t>
      </w:r>
      <w:r w:rsidR="00672EE4" w:rsidRPr="00672EE4">
        <w:rPr>
          <w:rFonts w:asciiTheme="minorHAnsi" w:eastAsiaTheme="minorEastAsia" w:hAnsiTheme="minorHAnsi" w:cstheme="minorBidi"/>
        </w:rPr>
        <w:t>Singh (2023) highlight</w:t>
      </w:r>
      <w:r w:rsidR="008F74B3">
        <w:rPr>
          <w:rFonts w:asciiTheme="minorHAnsi" w:eastAsiaTheme="minorEastAsia" w:hAnsiTheme="minorHAnsi" w:cstheme="minorBidi"/>
        </w:rPr>
        <w:t>s</w:t>
      </w:r>
      <w:r w:rsidR="00672EE4" w:rsidRPr="00672EE4">
        <w:rPr>
          <w:rFonts w:asciiTheme="minorHAnsi" w:eastAsiaTheme="minorEastAsia" w:hAnsiTheme="minorHAnsi" w:cstheme="minorBidi"/>
        </w:rPr>
        <w:t xml:space="preserve"> </w:t>
      </w:r>
      <w:proofErr w:type="spellStart"/>
      <w:r w:rsidR="00672EE4" w:rsidRPr="00672EE4">
        <w:rPr>
          <w:rFonts w:asciiTheme="minorHAnsi" w:eastAsiaTheme="minorEastAsia" w:hAnsiTheme="minorHAnsi" w:cstheme="minorBidi"/>
        </w:rPr>
        <w:t>behavioural</w:t>
      </w:r>
      <w:proofErr w:type="spellEnd"/>
      <w:r w:rsidR="00672EE4" w:rsidRPr="00672EE4">
        <w:rPr>
          <w:rFonts w:asciiTheme="minorHAnsi" w:eastAsiaTheme="minorEastAsia" w:hAnsiTheme="minorHAnsi" w:cstheme="minorBidi"/>
        </w:rPr>
        <w:t xml:space="preserve"> adoption constructs (trust, risk, familiarity, </w:t>
      </w:r>
      <w:r w:rsidR="00672EE4">
        <w:rPr>
          <w:rFonts w:asciiTheme="minorHAnsi" w:eastAsiaTheme="minorEastAsia" w:hAnsiTheme="minorHAnsi" w:cstheme="minorBidi"/>
        </w:rPr>
        <w:t xml:space="preserve">and </w:t>
      </w:r>
      <w:r w:rsidR="00672EE4" w:rsidRPr="00672EE4">
        <w:rPr>
          <w:rFonts w:asciiTheme="minorHAnsi" w:eastAsiaTheme="minorEastAsia" w:hAnsiTheme="minorHAnsi" w:cstheme="minorBidi"/>
        </w:rPr>
        <w:t>compatibility)</w:t>
      </w:r>
      <w:r w:rsidR="00672EE4">
        <w:rPr>
          <w:rFonts w:asciiTheme="minorHAnsi" w:eastAsiaTheme="minorEastAsia" w:hAnsiTheme="minorHAnsi" w:cstheme="minorBidi"/>
        </w:rPr>
        <w:t>, which are</w:t>
      </w:r>
      <w:r w:rsidR="00672EE4" w:rsidRPr="00672EE4">
        <w:rPr>
          <w:rFonts w:asciiTheme="minorHAnsi" w:eastAsiaTheme="minorEastAsia" w:hAnsiTheme="minorHAnsi" w:cstheme="minorBidi"/>
        </w:rPr>
        <w:t xml:space="preserve"> validated in consumer and SME banking contexts</w:t>
      </w:r>
      <w:r w:rsidR="00672EE4">
        <w:rPr>
          <w:rFonts w:asciiTheme="minorHAnsi" w:eastAsiaTheme="minorEastAsia" w:hAnsiTheme="minorHAnsi" w:cstheme="minorBidi"/>
        </w:rPr>
        <w:t xml:space="preserve">. </w:t>
      </w:r>
      <w:r w:rsidRPr="00B064B8">
        <w:rPr>
          <w:rFonts w:asciiTheme="minorHAnsi" w:eastAsiaTheme="minorEastAsia" w:hAnsiTheme="minorHAnsi" w:cstheme="minorBidi"/>
        </w:rPr>
        <w:t>However, interpretivism is often criticised for its limited generalisability and for overlooking systemic structures, such as regulation.</w:t>
      </w:r>
    </w:p>
    <w:p w14:paraId="2D9A75A9" w14:textId="1FF0CE3F" w:rsidR="0034731E" w:rsidRPr="008F74B3" w:rsidRDefault="008F74B3" w:rsidP="0034731E">
      <w:pPr>
        <w:pStyle w:val="NormalWeb"/>
        <w:spacing w:line="360" w:lineRule="auto"/>
        <w:jc w:val="both"/>
        <w:rPr>
          <w:rFonts w:asciiTheme="minorHAnsi" w:hAnsiTheme="minorHAnsi" w:cs="Arial"/>
          <w:color w:val="000000"/>
        </w:rPr>
      </w:pPr>
      <w:r w:rsidRPr="008F74B3">
        <w:rPr>
          <w:rFonts w:asciiTheme="minorHAnsi" w:hAnsiTheme="minorHAnsi"/>
        </w:rPr>
        <w:t xml:space="preserve">Critical realism offers a more balanced perspective. It acknowledges that perceptions are real and impactful, yet also shaped by underlying structures such as HKMA mandates, competitive pressures, and </w:t>
      </w:r>
      <w:proofErr w:type="spellStart"/>
      <w:r w:rsidRPr="008F74B3">
        <w:rPr>
          <w:rFonts w:asciiTheme="minorHAnsi" w:hAnsiTheme="minorHAnsi"/>
        </w:rPr>
        <w:t>organisational</w:t>
      </w:r>
      <w:proofErr w:type="spellEnd"/>
      <w:r w:rsidRPr="008F74B3">
        <w:rPr>
          <w:rFonts w:asciiTheme="minorHAnsi" w:hAnsiTheme="minorHAnsi"/>
        </w:rPr>
        <w:t xml:space="preserve"> resources. For this study, adopting a critical realist stance is crucial. It supports the interpretive investigation of treasurers’ perceptions while </w:t>
      </w:r>
      <w:proofErr w:type="spellStart"/>
      <w:r w:rsidRPr="008F74B3">
        <w:rPr>
          <w:rFonts w:asciiTheme="minorHAnsi" w:hAnsiTheme="minorHAnsi"/>
        </w:rPr>
        <w:t>recognising</w:t>
      </w:r>
      <w:proofErr w:type="spellEnd"/>
      <w:r w:rsidRPr="008F74B3">
        <w:rPr>
          <w:rFonts w:asciiTheme="minorHAnsi" w:hAnsiTheme="minorHAnsi"/>
        </w:rPr>
        <w:t xml:space="preserve"> systemic influences. This approach thus justifies a hybrid framework that combines TOE, SDL, and </w:t>
      </w:r>
      <w:proofErr w:type="spellStart"/>
      <w:r w:rsidRPr="008F74B3">
        <w:rPr>
          <w:rFonts w:asciiTheme="minorHAnsi" w:hAnsiTheme="minorHAnsi"/>
        </w:rPr>
        <w:t>behavioural</w:t>
      </w:r>
      <w:proofErr w:type="spellEnd"/>
      <w:r w:rsidRPr="008F74B3">
        <w:rPr>
          <w:rFonts w:asciiTheme="minorHAnsi" w:hAnsiTheme="minorHAnsi"/>
        </w:rPr>
        <w:t xml:space="preserve"> adoption constructs</w:t>
      </w:r>
      <w:r w:rsidRPr="008F74B3">
        <w:rPr>
          <w:rFonts w:asciiTheme="minorHAnsi" w:hAnsiTheme="minorHAnsi" w:cs="Arial"/>
          <w:color w:val="000000"/>
        </w:rPr>
        <w:t xml:space="preserve">, with explicit focus on </w:t>
      </w:r>
      <w:proofErr w:type="spellStart"/>
      <w:r w:rsidRPr="008F74B3">
        <w:rPr>
          <w:rFonts w:asciiTheme="minorHAnsi" w:hAnsiTheme="minorHAnsi" w:cs="Arial"/>
          <w:color w:val="000000"/>
        </w:rPr>
        <w:t>monetisation</w:t>
      </w:r>
      <w:proofErr w:type="spellEnd"/>
      <w:r w:rsidRPr="008F74B3">
        <w:rPr>
          <w:rFonts w:asciiTheme="minorHAnsi" w:hAnsiTheme="minorHAnsi" w:cs="Arial"/>
          <w:color w:val="000000"/>
        </w:rPr>
        <w:t xml:space="preserve"> outcomes.</w:t>
      </w:r>
      <w:r w:rsidR="00306101" w:rsidRPr="00306101">
        <w:t xml:space="preserve"> </w:t>
      </w:r>
      <w:r w:rsidR="00306101" w:rsidRPr="00306101">
        <w:rPr>
          <w:rFonts w:asciiTheme="minorHAnsi" w:hAnsiTheme="minorHAnsi" w:cs="Arial"/>
          <w:color w:val="000000"/>
        </w:rPr>
        <w:t>This pluralistic stance enhances explanatory depth, ensuring that adoption is not only interpreted through treasurers’ lived experiences but also situated within systemic regulatory and governance structures.</w:t>
      </w:r>
    </w:p>
    <w:p w14:paraId="2F5C27ED" w14:textId="5EE93327" w:rsidR="007779A3" w:rsidRPr="00B064B8" w:rsidRDefault="007779A3" w:rsidP="00E47E6E">
      <w:pPr>
        <w:pStyle w:val="Heading2"/>
        <w:numPr>
          <w:ilvl w:val="1"/>
          <w:numId w:val="6"/>
        </w:numPr>
        <w:tabs>
          <w:tab w:val="left" w:pos="0"/>
          <w:tab w:val="left" w:pos="360"/>
        </w:tabs>
        <w:ind w:left="0" w:firstLine="0"/>
        <w:rPr>
          <w:rFonts w:asciiTheme="minorHAnsi" w:hAnsiTheme="minorHAnsi"/>
        </w:rPr>
      </w:pPr>
      <w:bookmarkStart w:id="25" w:name="_Toc206886341"/>
      <w:bookmarkStart w:id="26" w:name="_Toc208699135"/>
      <w:r w:rsidRPr="00B064B8">
        <w:rPr>
          <w:rFonts w:asciiTheme="minorHAnsi" w:hAnsiTheme="minorHAnsi"/>
        </w:rPr>
        <w:t xml:space="preserve">Identifying </w:t>
      </w:r>
      <w:r w:rsidR="002A4A96">
        <w:rPr>
          <w:rFonts w:asciiTheme="minorHAnsi" w:hAnsiTheme="minorHAnsi"/>
        </w:rPr>
        <w:t>R</w:t>
      </w:r>
      <w:r w:rsidRPr="00B064B8">
        <w:rPr>
          <w:rFonts w:asciiTheme="minorHAnsi" w:hAnsiTheme="minorHAnsi"/>
        </w:rPr>
        <w:t xml:space="preserve">esearch </w:t>
      </w:r>
      <w:r w:rsidR="002A4A96">
        <w:rPr>
          <w:rFonts w:asciiTheme="minorHAnsi" w:hAnsiTheme="minorHAnsi"/>
        </w:rPr>
        <w:t>G</w:t>
      </w:r>
      <w:r w:rsidRPr="00B064B8">
        <w:rPr>
          <w:rFonts w:asciiTheme="minorHAnsi" w:hAnsiTheme="minorHAnsi"/>
        </w:rPr>
        <w:t>aps</w:t>
      </w:r>
      <w:bookmarkEnd w:id="25"/>
      <w:bookmarkEnd w:id="26"/>
    </w:p>
    <w:p w14:paraId="670DE29E" w14:textId="080DA9C5" w:rsidR="00ED2D81" w:rsidRPr="009B55CA" w:rsidRDefault="000573F5" w:rsidP="00F72705">
      <w:pPr>
        <w:tabs>
          <w:tab w:val="left" w:pos="0"/>
          <w:tab w:val="left" w:pos="360"/>
        </w:tabs>
        <w:spacing w:before="100" w:beforeAutospacing="1" w:after="100" w:afterAutospacing="1" w:line="360" w:lineRule="auto"/>
        <w:jc w:val="both"/>
        <w:rPr>
          <w:rFonts w:eastAsia="Times New Roman" w:cs="Arial"/>
          <w:color w:val="000000"/>
          <w:kern w:val="0"/>
          <w14:ligatures w14:val="none"/>
        </w:rPr>
      </w:pPr>
      <w:r w:rsidRPr="009B55CA">
        <w:rPr>
          <w:rFonts w:eastAsia="Times New Roman" w:cs="Arial"/>
          <w:color w:val="000000"/>
          <w:kern w:val="0"/>
          <w14:ligatures w14:val="none"/>
        </w:rPr>
        <w:t>As discussed in the problem statement, the adoption–monetisation gap remains under-theorised. Existing literature has tended to focus either on structural readiness (TOE) or on relational co-creation (SDL)</w:t>
      </w:r>
      <w:r w:rsidR="00E266F6" w:rsidRPr="009B55CA">
        <w:rPr>
          <w:rFonts w:eastAsia="Times New Roman" w:cs="Arial"/>
          <w:color w:val="000000"/>
          <w:kern w:val="0"/>
          <w14:ligatures w14:val="none"/>
        </w:rPr>
        <w:t>.</w:t>
      </w:r>
      <w:r w:rsidRPr="009B55CA">
        <w:rPr>
          <w:rFonts w:eastAsia="Times New Roman" w:cs="Arial"/>
          <w:color w:val="000000"/>
          <w:kern w:val="0"/>
          <w14:ligatures w14:val="none"/>
        </w:rPr>
        <w:t xml:space="preserve"> </w:t>
      </w:r>
      <w:r w:rsidR="00E266F6" w:rsidRPr="009B55CA">
        <w:rPr>
          <w:rFonts w:eastAsia="Times New Roman" w:cs="Arial"/>
          <w:color w:val="000000"/>
          <w:kern w:val="0"/>
          <w14:ligatures w14:val="none"/>
        </w:rPr>
        <w:t>Still, i</w:t>
      </w:r>
      <w:r w:rsidRPr="009B55CA">
        <w:rPr>
          <w:rFonts w:eastAsia="Times New Roman" w:cs="Arial"/>
          <w:color w:val="000000"/>
          <w:kern w:val="0"/>
          <w14:ligatures w14:val="none"/>
        </w:rPr>
        <w:t xml:space="preserve">t has paid limited attention to whether adoption decisions ultimately lead to measurable revenue outcomes. This narrow focus risks portraying digital </w:t>
      </w:r>
      <w:r w:rsidR="008F74B3">
        <w:rPr>
          <w:rFonts w:eastAsia="Times New Roman" w:cs="Arial"/>
          <w:color w:val="000000"/>
          <w:kern w:val="0"/>
          <w14:ligatures w14:val="none"/>
        </w:rPr>
        <w:t xml:space="preserve">platforms as operational utilities rather than as value-creating ecosystems. The current </w:t>
      </w:r>
      <w:r w:rsidRPr="009B55CA">
        <w:rPr>
          <w:rFonts w:eastAsia="Times New Roman" w:cs="Arial"/>
          <w:color w:val="000000"/>
          <w:kern w:val="0"/>
          <w14:ligatures w14:val="none"/>
        </w:rPr>
        <w:t>study aims to address this omission by extending behavioural constructs such as compatibility, familiarity, risk, trust, and perceived benefit into the corporate treasury context, thereby providing a more comprehensive account of how adoption can function as a pathway to monetisation.</w:t>
      </w:r>
    </w:p>
    <w:p w14:paraId="2C5C9C33" w14:textId="2C534E08" w:rsidR="007779A3" w:rsidRPr="00B064B8" w:rsidRDefault="007779A3" w:rsidP="00E47E6E">
      <w:pPr>
        <w:pStyle w:val="Heading2"/>
        <w:numPr>
          <w:ilvl w:val="1"/>
          <w:numId w:val="6"/>
        </w:numPr>
        <w:tabs>
          <w:tab w:val="left" w:pos="0"/>
          <w:tab w:val="left" w:pos="360"/>
        </w:tabs>
        <w:ind w:left="0" w:firstLine="0"/>
        <w:rPr>
          <w:rFonts w:asciiTheme="minorHAnsi" w:hAnsiTheme="minorHAnsi"/>
        </w:rPr>
      </w:pPr>
      <w:bookmarkStart w:id="27" w:name="_Toc206886342"/>
      <w:bookmarkStart w:id="28" w:name="_Toc208699136"/>
      <w:r w:rsidRPr="00B064B8">
        <w:rPr>
          <w:rFonts w:asciiTheme="minorHAnsi" w:hAnsiTheme="minorHAnsi"/>
        </w:rPr>
        <w:lastRenderedPageBreak/>
        <w:t xml:space="preserve">Conclusion to </w:t>
      </w:r>
      <w:r w:rsidR="002A4A96">
        <w:rPr>
          <w:rFonts w:asciiTheme="minorHAnsi" w:hAnsiTheme="minorHAnsi"/>
        </w:rPr>
        <w:t>S</w:t>
      </w:r>
      <w:r w:rsidR="00FE2725" w:rsidRPr="00B064B8">
        <w:rPr>
          <w:rFonts w:asciiTheme="minorHAnsi" w:hAnsiTheme="minorHAnsi"/>
        </w:rPr>
        <w:t>ection 3</w:t>
      </w:r>
      <w:bookmarkEnd w:id="27"/>
      <w:bookmarkEnd w:id="28"/>
    </w:p>
    <w:p w14:paraId="103DB6B3" w14:textId="22C36B92" w:rsidR="007779A3" w:rsidRPr="00B064B8" w:rsidRDefault="003D5563" w:rsidP="00F72705">
      <w:pPr>
        <w:tabs>
          <w:tab w:val="left" w:pos="0"/>
          <w:tab w:val="left" w:pos="360"/>
        </w:tabs>
        <w:spacing w:before="100" w:beforeAutospacing="1" w:after="100" w:afterAutospacing="1" w:line="360" w:lineRule="auto"/>
        <w:jc w:val="both"/>
        <w:rPr>
          <w:kern w:val="0"/>
          <w14:ligatures w14:val="none"/>
        </w:rPr>
      </w:pPr>
      <w:proofErr w:type="gramStart"/>
      <w:r>
        <w:rPr>
          <w:kern w:val="0"/>
          <w14:ligatures w14:val="none"/>
        </w:rPr>
        <w:t>This chapter reviews existing literature,</w:t>
      </w:r>
      <w:proofErr w:type="gramEnd"/>
      <w:r>
        <w:rPr>
          <w:kern w:val="0"/>
          <w14:ligatures w14:val="none"/>
        </w:rPr>
        <w:t xml:space="preserve"> identifies gaps in TOE and SDL, and proposes a conceptual model linking adoption to </w:t>
      </w:r>
      <w:proofErr w:type="spellStart"/>
      <w:r>
        <w:rPr>
          <w:kern w:val="0"/>
          <w14:ligatures w14:val="none"/>
        </w:rPr>
        <w:t>monetisation</w:t>
      </w:r>
      <w:proofErr w:type="spellEnd"/>
      <w:r>
        <w:rPr>
          <w:kern w:val="0"/>
          <w14:ligatures w14:val="none"/>
        </w:rPr>
        <w:t xml:space="preserve">. The model, based on a critical realist perspective, addresses these gaps by explaining why </w:t>
      </w:r>
      <w:proofErr w:type="spellStart"/>
      <w:r>
        <w:rPr>
          <w:kern w:val="0"/>
          <w14:ligatures w14:val="none"/>
        </w:rPr>
        <w:t>organisations</w:t>
      </w:r>
      <w:proofErr w:type="spellEnd"/>
      <w:r>
        <w:rPr>
          <w:kern w:val="0"/>
          <w14:ligatures w14:val="none"/>
        </w:rPr>
        <w:t xml:space="preserve"> adopt digital trade platforms and how this adoption results in sustainable revenue. After identifying </w:t>
      </w:r>
      <w:proofErr w:type="spellStart"/>
      <w:r>
        <w:rPr>
          <w:kern w:val="0"/>
          <w14:ligatures w14:val="none"/>
        </w:rPr>
        <w:t>behavioural</w:t>
      </w:r>
      <w:proofErr w:type="spellEnd"/>
      <w:r>
        <w:rPr>
          <w:kern w:val="0"/>
          <w14:ligatures w14:val="none"/>
        </w:rPr>
        <w:t xml:space="preserve"> and structural gaps in the literature, the next chapter elaborates on the qualitative design used to explore these dynamics within Hong Kong’s banking ecosystem.</w:t>
      </w:r>
    </w:p>
    <w:p w14:paraId="5E657CE9" w14:textId="58799A4D" w:rsidR="007779A3" w:rsidRPr="00B064B8" w:rsidRDefault="0023484E" w:rsidP="00E47E6E">
      <w:pPr>
        <w:pStyle w:val="Heading1"/>
        <w:numPr>
          <w:ilvl w:val="0"/>
          <w:numId w:val="6"/>
        </w:numPr>
        <w:tabs>
          <w:tab w:val="left" w:pos="0"/>
          <w:tab w:val="left" w:pos="360"/>
        </w:tabs>
        <w:ind w:left="0" w:firstLine="0"/>
        <w:rPr>
          <w:rFonts w:asciiTheme="minorHAnsi" w:hAnsiTheme="minorHAnsi"/>
        </w:rPr>
      </w:pPr>
      <w:bookmarkStart w:id="29" w:name="_Toc208699137"/>
      <w:r>
        <w:rPr>
          <w:rFonts w:asciiTheme="minorHAnsi" w:hAnsiTheme="minorHAnsi"/>
        </w:rPr>
        <w:t xml:space="preserve">Research </w:t>
      </w:r>
      <w:r w:rsidR="002A4A96">
        <w:rPr>
          <w:rFonts w:asciiTheme="minorHAnsi" w:hAnsiTheme="minorHAnsi"/>
        </w:rPr>
        <w:t>Methodology</w:t>
      </w:r>
      <w:bookmarkEnd w:id="29"/>
    </w:p>
    <w:p w14:paraId="7675D833" w14:textId="19C0123F" w:rsidR="007779A3" w:rsidRPr="00B064B8" w:rsidRDefault="009E4847" w:rsidP="00F72705">
      <w:pPr>
        <w:tabs>
          <w:tab w:val="left" w:pos="0"/>
          <w:tab w:val="left" w:pos="360"/>
        </w:tabs>
        <w:spacing w:before="100" w:beforeAutospacing="1" w:after="100" w:afterAutospacing="1" w:line="360" w:lineRule="auto"/>
        <w:jc w:val="both"/>
        <w:rPr>
          <w:rFonts w:eastAsia="Times New Roman" w:cs="Arial"/>
          <w:color w:val="000000"/>
          <w:kern w:val="0"/>
          <w:sz w:val="22"/>
          <w:szCs w:val="22"/>
          <w14:ligatures w14:val="none"/>
        </w:rPr>
      </w:pPr>
      <w:r w:rsidRPr="00B064B8">
        <w:rPr>
          <w:rFonts w:eastAsia="Times New Roman" w:cs="Arial"/>
          <w:color w:val="000000"/>
          <w:kern w:val="0"/>
          <w:sz w:val="22"/>
          <w:szCs w:val="22"/>
          <w14:ligatures w14:val="none"/>
        </w:rPr>
        <w:t xml:space="preserve">The </w:t>
      </w:r>
      <w:r w:rsidRPr="00B064B8">
        <w:rPr>
          <w:kern w:val="0"/>
          <w14:ligatures w14:val="none"/>
        </w:rPr>
        <w:t xml:space="preserve">credibility of a research project depends on the alignment between its philosophical foundations, research objectives, and methodological strategy. </w:t>
      </w:r>
    </w:p>
    <w:p w14:paraId="73407C5F" w14:textId="6EA6DAB7" w:rsidR="00FE2725" w:rsidRPr="00B064B8" w:rsidRDefault="007779A3" w:rsidP="00E47E6E">
      <w:pPr>
        <w:pStyle w:val="Heading2"/>
        <w:numPr>
          <w:ilvl w:val="1"/>
          <w:numId w:val="2"/>
        </w:numPr>
        <w:tabs>
          <w:tab w:val="left" w:pos="0"/>
          <w:tab w:val="left" w:pos="360"/>
        </w:tabs>
        <w:ind w:left="0" w:firstLine="0"/>
        <w:rPr>
          <w:rFonts w:asciiTheme="minorHAnsi" w:hAnsiTheme="minorHAnsi"/>
        </w:rPr>
      </w:pPr>
      <w:bookmarkStart w:id="30" w:name="_Toc206886344"/>
      <w:bookmarkStart w:id="31" w:name="_Toc208699138"/>
      <w:r w:rsidRPr="00B064B8">
        <w:rPr>
          <w:rFonts w:asciiTheme="minorHAnsi" w:hAnsiTheme="minorHAnsi"/>
        </w:rPr>
        <w:t xml:space="preserve">Justification for </w:t>
      </w:r>
      <w:r w:rsidR="002A4A96">
        <w:rPr>
          <w:rFonts w:asciiTheme="minorHAnsi" w:hAnsiTheme="minorHAnsi"/>
        </w:rPr>
        <w:t>Q</w:t>
      </w:r>
      <w:r w:rsidRPr="00B064B8">
        <w:rPr>
          <w:rFonts w:asciiTheme="minorHAnsi" w:hAnsiTheme="minorHAnsi"/>
        </w:rPr>
        <w:t xml:space="preserve">ualitative </w:t>
      </w:r>
      <w:r w:rsidR="002A4A96">
        <w:rPr>
          <w:rFonts w:asciiTheme="minorHAnsi" w:hAnsiTheme="minorHAnsi"/>
        </w:rPr>
        <w:t>O</w:t>
      </w:r>
      <w:r w:rsidRPr="00B064B8">
        <w:rPr>
          <w:rFonts w:asciiTheme="minorHAnsi" w:hAnsiTheme="minorHAnsi"/>
        </w:rPr>
        <w:t>rientation</w:t>
      </w:r>
      <w:bookmarkEnd w:id="30"/>
      <w:bookmarkEnd w:id="31"/>
    </w:p>
    <w:p w14:paraId="2F61B58A" w14:textId="20186AFC" w:rsidR="00E47E6E" w:rsidRDefault="003D5563" w:rsidP="00F7499E">
      <w:pPr>
        <w:tabs>
          <w:tab w:val="left" w:pos="0"/>
          <w:tab w:val="left" w:pos="360"/>
        </w:tabs>
        <w:spacing w:before="100" w:beforeAutospacing="1" w:after="100" w:afterAutospacing="1" w:line="360" w:lineRule="auto"/>
        <w:jc w:val="both"/>
        <w:rPr>
          <w:kern w:val="0"/>
          <w14:ligatures w14:val="none"/>
        </w:rPr>
      </w:pPr>
      <w:r>
        <w:rPr>
          <w:kern w:val="0"/>
          <w14:ligatures w14:val="none"/>
        </w:rPr>
        <w:t xml:space="preserve">A qualitative case study approach was used to enable in-depth exploration of a complex and contemporary phenomenon within its real-world context. In Hong Kong, the adoption of digital trade finance cannot be detached from its institutional and regulatory environment; decisions are influenced not only by corporate governance structures but also by the HKMA’s regulatory agenda and the pressures of global financial markets. A qualitative design is particularly appropriate because it captures the context-dependent, compliance-driven, and risk-sensitive nature of adoption factors that purely quantitative methods tend to oversimplify. While quantitative surveys have proven effective in mapping adoption pathways in consumer and SME contexts (Singh, 2023; JAFB, 2025), they often fail to reflect the collective dynamics of corporate treasuries, where risk governance and institutional trust are crucial. </w:t>
      </w:r>
      <w:r w:rsidR="004D2B08" w:rsidRPr="004D2B08">
        <w:rPr>
          <w:kern w:val="0"/>
          <w14:ligatures w14:val="none"/>
        </w:rPr>
        <w:t xml:space="preserve">Studies highlight that adoption in financial services is shaped not only by efficiency but also by institutional trust, compliance requirements, and </w:t>
      </w:r>
      <w:proofErr w:type="spellStart"/>
      <w:r w:rsidR="004D2B08" w:rsidRPr="004D2B08">
        <w:rPr>
          <w:kern w:val="0"/>
          <w14:ligatures w14:val="none"/>
        </w:rPr>
        <w:t>organisational</w:t>
      </w:r>
      <w:proofErr w:type="spellEnd"/>
      <w:r w:rsidR="004D2B08" w:rsidRPr="004D2B08">
        <w:rPr>
          <w:kern w:val="0"/>
          <w14:ligatures w14:val="none"/>
        </w:rPr>
        <w:t xml:space="preserve"> capability (</w:t>
      </w:r>
      <w:proofErr w:type="spellStart"/>
      <w:r w:rsidR="004D2B08" w:rsidRPr="004D2B08">
        <w:rPr>
          <w:kern w:val="0"/>
          <w14:ligatures w14:val="none"/>
        </w:rPr>
        <w:t>Montazemi</w:t>
      </w:r>
      <w:proofErr w:type="spellEnd"/>
      <w:r w:rsidR="004D2B08" w:rsidRPr="004D2B08">
        <w:rPr>
          <w:kern w:val="0"/>
          <w14:ligatures w14:val="none"/>
        </w:rPr>
        <w:t xml:space="preserve"> &amp; </w:t>
      </w:r>
      <w:proofErr w:type="spellStart"/>
      <w:r w:rsidR="004D2B08" w:rsidRPr="004D2B08">
        <w:rPr>
          <w:kern w:val="0"/>
          <w14:ligatures w14:val="none"/>
        </w:rPr>
        <w:t>Qahri</w:t>
      </w:r>
      <w:proofErr w:type="spellEnd"/>
      <w:r w:rsidR="004D2B08" w:rsidRPr="004D2B08">
        <w:rPr>
          <w:kern w:val="0"/>
          <w14:ligatures w14:val="none"/>
        </w:rPr>
        <w:t>-Saremi, 2015; Zhou &amp; Li, 2023)</w:t>
      </w:r>
      <w:r>
        <w:rPr>
          <w:kern w:val="0"/>
          <w14:ligatures w14:val="none"/>
        </w:rPr>
        <w:t xml:space="preserve">. The unit of analysis in this study is the adoption and </w:t>
      </w:r>
      <w:proofErr w:type="spellStart"/>
      <w:r>
        <w:rPr>
          <w:kern w:val="0"/>
          <w14:ligatures w14:val="none"/>
        </w:rPr>
        <w:t>monetisation</w:t>
      </w:r>
      <w:proofErr w:type="spellEnd"/>
      <w:r>
        <w:rPr>
          <w:kern w:val="0"/>
          <w14:ligatures w14:val="none"/>
        </w:rPr>
        <w:t xml:space="preserve"> of digital trade finance platforms by corporate treasurers in Hong Kong. The case is rooted within the city’s financial ecosystem, where </w:t>
      </w:r>
      <w:r>
        <w:rPr>
          <w:kern w:val="0"/>
          <w14:ligatures w14:val="none"/>
        </w:rPr>
        <w:lastRenderedPageBreak/>
        <w:t xml:space="preserve">banks, corporates, and regulators operate under the HKMA’s </w:t>
      </w:r>
      <w:proofErr w:type="spellStart"/>
      <w:r>
        <w:rPr>
          <w:kern w:val="0"/>
          <w14:ligatures w14:val="none"/>
        </w:rPr>
        <w:t>digitalisation</w:t>
      </w:r>
      <w:proofErr w:type="spellEnd"/>
      <w:r>
        <w:rPr>
          <w:kern w:val="0"/>
          <w14:ligatures w14:val="none"/>
        </w:rPr>
        <w:t xml:space="preserve"> agenda (HKMA, 2024). In this context, embedded units of analysis—banks, corporates, and regulators—offer triangulated perspectives that enhance the robustness and explanatory power of the findings.</w:t>
      </w:r>
      <w:r w:rsidR="00BB6AAE" w:rsidRPr="00BB6AAE">
        <w:t xml:space="preserve"> </w:t>
      </w:r>
      <w:r w:rsidR="00BB6AAE" w:rsidRPr="00BB6AAE">
        <w:rPr>
          <w:kern w:val="0"/>
          <w14:ligatures w14:val="none"/>
        </w:rPr>
        <w:t>A qualitative design captures these context-dependent, compliance-driven and risk-sensitive decisions that survey models often oversimplify (Fletcher, 2017).</w:t>
      </w:r>
    </w:p>
    <w:p w14:paraId="439C257C" w14:textId="7BB4205E" w:rsidR="003D5563" w:rsidRDefault="003D5563" w:rsidP="00F7499E">
      <w:pPr>
        <w:tabs>
          <w:tab w:val="left" w:pos="0"/>
          <w:tab w:val="left" w:pos="360"/>
        </w:tabs>
        <w:spacing w:before="100" w:beforeAutospacing="1" w:after="100" w:afterAutospacing="1" w:line="360" w:lineRule="auto"/>
        <w:jc w:val="both"/>
        <w:rPr>
          <w:kern w:val="0"/>
          <w14:ligatures w14:val="none"/>
        </w:rPr>
      </w:pPr>
      <w:r>
        <w:rPr>
          <w:kern w:val="0"/>
          <w14:ligatures w14:val="none"/>
        </w:rPr>
        <w:t>Furthermore, a qualitative case study allows for the exploration of meanings, perceptions, and institutional dynamics that are difficult to quantify but are essential for understanding adoption outcomes.</w:t>
      </w:r>
      <w:r w:rsidR="00306101">
        <w:rPr>
          <w:kern w:val="0"/>
          <w14:ligatures w14:val="none"/>
        </w:rPr>
        <w:t xml:space="preserve"> </w:t>
      </w:r>
      <w:r>
        <w:rPr>
          <w:kern w:val="0"/>
          <w14:ligatures w14:val="none"/>
        </w:rPr>
        <w:t xml:space="preserve"> </w:t>
      </w:r>
      <w:r w:rsidR="00306101" w:rsidRPr="00306101">
        <w:rPr>
          <w:kern w:val="0"/>
          <w14:ligatures w14:val="none"/>
        </w:rPr>
        <w:t>Transparency was reinforced by maintaining an audit trail of coding decisions and reflexive notes, ensuring dependability of findings.</w:t>
      </w:r>
      <w:r w:rsidR="00306101">
        <w:rPr>
          <w:kern w:val="0"/>
          <w14:ligatures w14:val="none"/>
        </w:rPr>
        <w:t xml:space="preserve"> </w:t>
      </w:r>
      <w:r>
        <w:rPr>
          <w:kern w:val="0"/>
          <w14:ligatures w14:val="none"/>
        </w:rPr>
        <w:t xml:space="preserve">It enables researchers to investigate how treasurers interpret risks such as compliance, cybersecurity, and operational resilience, and how these interpretations interact with regulatory signals from the HKMA and market pressures from global competitors. This method is especially suitable for digital trade finance in Hong Kong, where decisions on adoption and </w:t>
      </w:r>
      <w:proofErr w:type="spellStart"/>
      <w:r>
        <w:rPr>
          <w:kern w:val="0"/>
          <w14:ligatures w14:val="none"/>
        </w:rPr>
        <w:t>monetisation</w:t>
      </w:r>
      <w:proofErr w:type="spellEnd"/>
      <w:r>
        <w:rPr>
          <w:kern w:val="0"/>
          <w14:ligatures w14:val="none"/>
        </w:rPr>
        <w:t xml:space="preserve"> are closely linked to the wider institutional and policy environment.</w:t>
      </w:r>
    </w:p>
    <w:p w14:paraId="35A6C218" w14:textId="1696A497" w:rsidR="00FE2725" w:rsidRPr="00B064B8" w:rsidRDefault="007779A3" w:rsidP="00E47E6E">
      <w:pPr>
        <w:pStyle w:val="Heading2"/>
        <w:numPr>
          <w:ilvl w:val="1"/>
          <w:numId w:val="2"/>
        </w:numPr>
        <w:tabs>
          <w:tab w:val="left" w:pos="0"/>
          <w:tab w:val="left" w:pos="360"/>
        </w:tabs>
        <w:ind w:left="0" w:firstLine="0"/>
        <w:rPr>
          <w:rFonts w:asciiTheme="minorHAnsi" w:hAnsiTheme="minorHAnsi"/>
        </w:rPr>
      </w:pPr>
      <w:bookmarkStart w:id="32" w:name="_Toc206886346"/>
      <w:bookmarkStart w:id="33" w:name="_Toc208699139"/>
      <w:r w:rsidRPr="00B064B8">
        <w:rPr>
          <w:rStyle w:val="Heading2Char"/>
          <w:rFonts w:asciiTheme="minorHAnsi" w:hAnsiTheme="minorHAnsi"/>
        </w:rPr>
        <w:t xml:space="preserve">Data </w:t>
      </w:r>
      <w:r w:rsidR="002A4A96">
        <w:rPr>
          <w:rStyle w:val="Heading2Char"/>
          <w:rFonts w:asciiTheme="minorHAnsi" w:hAnsiTheme="minorHAnsi"/>
        </w:rPr>
        <w:t>C</w:t>
      </w:r>
      <w:r w:rsidRPr="00B064B8">
        <w:rPr>
          <w:rStyle w:val="Heading2Char"/>
          <w:rFonts w:asciiTheme="minorHAnsi" w:hAnsiTheme="minorHAnsi"/>
        </w:rPr>
        <w:t xml:space="preserve">ollection </w:t>
      </w:r>
      <w:r w:rsidR="002A4A96">
        <w:rPr>
          <w:rStyle w:val="Heading2Char"/>
          <w:rFonts w:asciiTheme="minorHAnsi" w:hAnsiTheme="minorHAnsi"/>
        </w:rPr>
        <w:t>M</w:t>
      </w:r>
      <w:r w:rsidRPr="00B064B8">
        <w:rPr>
          <w:rStyle w:val="Heading2Char"/>
          <w:rFonts w:asciiTheme="minorHAnsi" w:hAnsiTheme="minorHAnsi"/>
        </w:rPr>
        <w:t>ethods</w:t>
      </w:r>
      <w:bookmarkEnd w:id="32"/>
      <w:bookmarkEnd w:id="33"/>
    </w:p>
    <w:p w14:paraId="26A00603" w14:textId="0DDAD358" w:rsidR="00AB2901" w:rsidRPr="00AB2901" w:rsidRDefault="00AB2901" w:rsidP="003E36A3">
      <w:pPr>
        <w:tabs>
          <w:tab w:val="left" w:pos="0"/>
          <w:tab w:val="left" w:pos="360"/>
        </w:tabs>
        <w:spacing w:before="100" w:beforeAutospacing="1" w:after="100" w:afterAutospacing="1" w:line="360" w:lineRule="auto"/>
        <w:jc w:val="both"/>
        <w:rPr>
          <w:rFonts w:eastAsia="Times New Roman" w:cs="Arial"/>
          <w:color w:val="000000"/>
          <w:kern w:val="0"/>
          <w14:ligatures w14:val="none"/>
        </w:rPr>
      </w:pPr>
      <w:r w:rsidRPr="00AB2901">
        <w:rPr>
          <w:rFonts w:eastAsia="Times New Roman" w:cs="Arial"/>
          <w:color w:val="000000"/>
          <w:kern w:val="0"/>
          <w14:ligatures w14:val="none"/>
        </w:rPr>
        <w:t xml:space="preserve">This study triangulates semi-structured interviews, focus groups, and secondary documents to capture multiple perspectives. Purposive sampling of senior trade product heads and treasury managers ensures that participants possess direct responsibility for adoption and </w:t>
      </w:r>
      <w:proofErr w:type="spellStart"/>
      <w:r w:rsidRPr="00AB2901">
        <w:rPr>
          <w:rFonts w:eastAsia="Times New Roman" w:cs="Arial"/>
          <w:color w:val="000000"/>
          <w:kern w:val="0"/>
          <w14:ligatures w14:val="none"/>
        </w:rPr>
        <w:t>monetisation</w:t>
      </w:r>
      <w:proofErr w:type="spellEnd"/>
      <w:r w:rsidRPr="00AB2901">
        <w:rPr>
          <w:rFonts w:eastAsia="Times New Roman" w:cs="Arial"/>
          <w:color w:val="000000"/>
          <w:kern w:val="0"/>
          <w14:ligatures w14:val="none"/>
        </w:rPr>
        <w:t xml:space="preserve"> decisions. Including both multinational and local firms broadens institutional diversity, reflecting the heterogeneous Hong Kong trade ecosystem. This approach aligns with interpretivism by foregrounding lived experiences, while critical realism justifies triangulation across sources to mitigate subjectivity and strengthen explanatory depth.</w:t>
      </w:r>
    </w:p>
    <w:p w14:paraId="6242435E" w14:textId="6F195834" w:rsidR="007779A3" w:rsidRPr="00B064B8" w:rsidRDefault="00F7499E" w:rsidP="003E36A3">
      <w:pPr>
        <w:tabs>
          <w:tab w:val="left" w:pos="0"/>
          <w:tab w:val="left" w:pos="360"/>
        </w:tabs>
        <w:spacing w:before="100" w:beforeAutospacing="1" w:after="100" w:afterAutospacing="1" w:line="360" w:lineRule="auto"/>
        <w:jc w:val="both"/>
        <w:rPr>
          <w:kern w:val="0"/>
          <w14:ligatures w14:val="none"/>
        </w:rPr>
      </w:pPr>
      <w:r w:rsidRPr="00B064B8">
        <w:rPr>
          <w:kern w:val="0"/>
          <w14:ligatures w14:val="none"/>
        </w:rPr>
        <w:t>Our sample size meets the criteria of ‘</w:t>
      </w:r>
      <w:r w:rsidRPr="00777963">
        <w:rPr>
          <w:b/>
          <w:bCs/>
          <w:kern w:val="0"/>
          <w14:ligatures w14:val="none"/>
        </w:rPr>
        <w:t>theoretical saturation</w:t>
      </w:r>
      <w:r w:rsidRPr="00B064B8">
        <w:rPr>
          <w:kern w:val="0"/>
          <w14:ligatures w14:val="none"/>
        </w:rPr>
        <w:t>,’ which suggests that “a sample of twelve will likely be sufficient”. (Guest, Bunce, &amp; Johnson, 2006, p.76) These participants are purposively selected because they hold direct responsibility for designing, promoting, and monetising digital trade platforms. For bank respondents,</w:t>
      </w:r>
      <w:r w:rsidR="00777963">
        <w:rPr>
          <w:kern w:val="0"/>
          <w14:ligatures w14:val="none"/>
        </w:rPr>
        <w:t xml:space="preserve"> individual</w:t>
      </w:r>
      <w:r w:rsidRPr="00B064B8">
        <w:rPr>
          <w:kern w:val="0"/>
          <w14:ligatures w14:val="none"/>
        </w:rPr>
        <w:t xml:space="preserve"> </w:t>
      </w:r>
      <w:r w:rsidRPr="00B064B8">
        <w:rPr>
          <w:kern w:val="0"/>
          <w14:ligatures w14:val="none"/>
        </w:rPr>
        <w:lastRenderedPageBreak/>
        <w:t xml:space="preserve">interviews will also examine how digital trade platforms are currently monetised (e.g., through transaction fees, subscription models, bundled services) and the challenges in converting adoption into fee-based income. </w:t>
      </w:r>
    </w:p>
    <w:p w14:paraId="231F4BA3" w14:textId="14D52BC9" w:rsidR="007779A3" w:rsidRPr="00B064B8" w:rsidRDefault="00777963" w:rsidP="00F72705">
      <w:pPr>
        <w:tabs>
          <w:tab w:val="left" w:pos="0"/>
          <w:tab w:val="left" w:pos="360"/>
        </w:tabs>
        <w:spacing w:before="100" w:beforeAutospacing="1" w:after="100" w:afterAutospacing="1" w:line="360" w:lineRule="auto"/>
        <w:jc w:val="both"/>
        <w:rPr>
          <w:kern w:val="0"/>
          <w14:ligatures w14:val="none"/>
        </w:rPr>
      </w:pPr>
      <w:r>
        <w:rPr>
          <w:kern w:val="0"/>
          <w14:ligatures w14:val="none"/>
        </w:rPr>
        <w:t>In addition, f</w:t>
      </w:r>
      <w:r w:rsidR="00F7499E" w:rsidRPr="00B064B8">
        <w:rPr>
          <w:kern w:val="0"/>
          <w14:ligatures w14:val="none"/>
        </w:rPr>
        <w:t xml:space="preserve">ocus groups will include corporate managers from both multinational firms and local businesses and will be conducted over three to four sessions. This also meets the </w:t>
      </w:r>
      <w:r w:rsidR="004A1710">
        <w:rPr>
          <w:kern w:val="0"/>
          <w14:ligatures w14:val="none"/>
        </w:rPr>
        <w:t xml:space="preserve">criteria for ‘theoretical saturation’. (Guest, Bunce, &amp; Johnson, 2006, p.76) The group </w:t>
      </w:r>
      <w:r w:rsidR="00F7499E" w:rsidRPr="00B064B8">
        <w:rPr>
          <w:kern w:val="0"/>
          <w14:ligatures w14:val="none"/>
        </w:rPr>
        <w:t>format mirrors the collective nature of corporate decision-making, enabling the researcher to identify both common and contrasting viewpoints. It is anticipated that multinational companies will emphasise system integration and regulatory compliance across different jurisdictions, while local firms may focus on cost-benefit considerations.</w:t>
      </w:r>
    </w:p>
    <w:p w14:paraId="02A56191" w14:textId="72B57F08" w:rsidR="007779A3" w:rsidRPr="00B064B8" w:rsidRDefault="00F7499E" w:rsidP="00F72705">
      <w:pPr>
        <w:tabs>
          <w:tab w:val="left" w:pos="0"/>
          <w:tab w:val="left" w:pos="360"/>
        </w:tabs>
        <w:spacing w:before="100" w:beforeAutospacing="1" w:after="100" w:afterAutospacing="1" w:line="360" w:lineRule="auto"/>
        <w:jc w:val="both"/>
        <w:rPr>
          <w:rFonts w:eastAsia="Times New Roman" w:cs="Arial"/>
          <w:color w:val="000000"/>
          <w:kern w:val="0"/>
          <w:sz w:val="22"/>
          <w:szCs w:val="22"/>
          <w14:ligatures w14:val="none"/>
        </w:rPr>
      </w:pPr>
      <w:r w:rsidRPr="00B064B8">
        <w:rPr>
          <w:kern w:val="0"/>
          <w14:ligatures w14:val="none"/>
        </w:rPr>
        <w:t xml:space="preserve">Secondary data will be collected from HKMA reports, consultancy studies, and recent academic literature on trade finance innovation (Hu et al., 2024). Documentary evidence will </w:t>
      </w:r>
      <w:r w:rsidR="00E266F6">
        <w:rPr>
          <w:kern w:val="0"/>
          <w14:ligatures w14:val="none"/>
        </w:rPr>
        <w:t>help</w:t>
      </w:r>
      <w:r w:rsidRPr="00B064B8">
        <w:rPr>
          <w:kern w:val="0"/>
          <w14:ligatures w14:val="none"/>
        </w:rPr>
        <w:t xml:space="preserve"> triangulat</w:t>
      </w:r>
      <w:r w:rsidR="00E266F6">
        <w:rPr>
          <w:kern w:val="0"/>
          <w14:ligatures w14:val="none"/>
        </w:rPr>
        <w:t>e</w:t>
      </w:r>
      <w:r w:rsidRPr="00B064B8">
        <w:rPr>
          <w:kern w:val="0"/>
          <w14:ligatures w14:val="none"/>
        </w:rPr>
        <w:t xml:space="preserve"> primary findings and situat</w:t>
      </w:r>
      <w:r w:rsidR="00E266F6">
        <w:rPr>
          <w:kern w:val="0"/>
          <w14:ligatures w14:val="none"/>
        </w:rPr>
        <w:t>e</w:t>
      </w:r>
      <w:r w:rsidRPr="00B064B8">
        <w:rPr>
          <w:kern w:val="0"/>
          <w14:ligatures w14:val="none"/>
        </w:rPr>
        <w:t xml:space="preserve"> them within the broader industry context. This approach combines experiential insights with documentary evidence, thereby improving both credibility and contextual depth</w:t>
      </w:r>
      <w:r w:rsidR="004F5947">
        <w:rPr>
          <w:kern w:val="0"/>
          <w14:ligatures w14:val="none"/>
        </w:rPr>
        <w:t>.</w:t>
      </w:r>
    </w:p>
    <w:p w14:paraId="79BBBB03" w14:textId="33C11A01" w:rsidR="00875391" w:rsidRPr="00B064B8" w:rsidRDefault="00875391" w:rsidP="00F72705">
      <w:pPr>
        <w:pStyle w:val="Heading2"/>
        <w:tabs>
          <w:tab w:val="left" w:pos="0"/>
          <w:tab w:val="left" w:pos="360"/>
        </w:tabs>
        <w:rPr>
          <w:rFonts w:asciiTheme="minorHAnsi" w:eastAsia="Times New Roman" w:hAnsiTheme="minorHAnsi" w:cs="Arial"/>
          <w:color w:val="000000"/>
          <w:kern w:val="0"/>
          <w:sz w:val="22"/>
          <w:szCs w:val="22"/>
          <w14:ligatures w14:val="none"/>
        </w:rPr>
      </w:pPr>
      <w:bookmarkStart w:id="34" w:name="_Toc206886348"/>
      <w:bookmarkStart w:id="35" w:name="_Toc208699140"/>
      <w:r w:rsidRPr="00B064B8">
        <w:rPr>
          <w:rStyle w:val="Heading2Char"/>
          <w:rFonts w:asciiTheme="minorHAnsi" w:hAnsiTheme="minorHAnsi"/>
        </w:rPr>
        <w:t>4.</w:t>
      </w:r>
      <w:r w:rsidR="00D443D6">
        <w:rPr>
          <w:rStyle w:val="Heading2Char"/>
          <w:rFonts w:asciiTheme="minorHAnsi" w:hAnsiTheme="minorHAnsi"/>
        </w:rPr>
        <w:t>3</w:t>
      </w:r>
      <w:r w:rsidR="008A4135" w:rsidRPr="00B064B8">
        <w:rPr>
          <w:rStyle w:val="Heading2Char"/>
          <w:rFonts w:asciiTheme="minorHAnsi" w:hAnsiTheme="minorHAnsi"/>
        </w:rPr>
        <w:tab/>
      </w:r>
      <w:r w:rsidR="007779A3" w:rsidRPr="00B064B8">
        <w:rPr>
          <w:rStyle w:val="Heading2Char"/>
          <w:rFonts w:asciiTheme="minorHAnsi" w:hAnsiTheme="minorHAnsi"/>
        </w:rPr>
        <w:t xml:space="preserve">Data </w:t>
      </w:r>
      <w:r w:rsidR="002A4A96">
        <w:rPr>
          <w:rStyle w:val="Heading2Char"/>
          <w:rFonts w:asciiTheme="minorHAnsi" w:hAnsiTheme="minorHAnsi"/>
        </w:rPr>
        <w:t>C</w:t>
      </w:r>
      <w:r w:rsidR="007779A3" w:rsidRPr="00B064B8">
        <w:rPr>
          <w:rStyle w:val="Heading2Char"/>
          <w:rFonts w:asciiTheme="minorHAnsi" w:hAnsiTheme="minorHAnsi"/>
        </w:rPr>
        <w:t xml:space="preserve">ollection </w:t>
      </w:r>
      <w:r w:rsidR="002A4A96">
        <w:rPr>
          <w:rStyle w:val="Heading2Char"/>
          <w:rFonts w:asciiTheme="minorHAnsi" w:hAnsiTheme="minorHAnsi"/>
        </w:rPr>
        <w:t>P</w:t>
      </w:r>
      <w:r w:rsidR="007779A3" w:rsidRPr="00B064B8">
        <w:rPr>
          <w:rStyle w:val="Heading2Char"/>
          <w:rFonts w:asciiTheme="minorHAnsi" w:hAnsiTheme="minorHAnsi"/>
        </w:rPr>
        <w:t>rocedures</w:t>
      </w:r>
      <w:bookmarkEnd w:id="34"/>
      <w:bookmarkEnd w:id="35"/>
    </w:p>
    <w:p w14:paraId="2041B31E" w14:textId="7D7C5856" w:rsidR="007779A3" w:rsidRPr="00B064B8" w:rsidRDefault="00F7499E" w:rsidP="00F72705">
      <w:pPr>
        <w:tabs>
          <w:tab w:val="left" w:pos="0"/>
          <w:tab w:val="left" w:pos="360"/>
        </w:tabs>
        <w:spacing w:before="100" w:beforeAutospacing="1" w:after="100" w:afterAutospacing="1" w:line="360" w:lineRule="auto"/>
        <w:jc w:val="both"/>
        <w:rPr>
          <w:rFonts w:eastAsia="Times New Roman" w:cs="Arial"/>
          <w:color w:val="000000"/>
          <w:kern w:val="0"/>
          <w:sz w:val="22"/>
          <w:szCs w:val="22"/>
          <w14:ligatures w14:val="none"/>
        </w:rPr>
      </w:pPr>
      <w:r w:rsidRPr="00B064B8">
        <w:rPr>
          <w:rFonts w:eastAsia="Times New Roman" w:cs="Arial"/>
          <w:color w:val="000000"/>
          <w:kern w:val="0"/>
          <w:sz w:val="22"/>
          <w:szCs w:val="22"/>
          <w14:ligatures w14:val="none"/>
        </w:rPr>
        <w:t xml:space="preserve">Interviews and focus groups will </w:t>
      </w:r>
      <w:r w:rsidRPr="00B064B8">
        <w:rPr>
          <w:kern w:val="0"/>
          <w14:ligatures w14:val="none"/>
        </w:rPr>
        <w:t xml:space="preserve">be conducted face-to-face where possible, with online platforms used as alternatives in cases of scheduling conflicts or </w:t>
      </w:r>
      <w:r w:rsidR="00E266F6">
        <w:rPr>
          <w:kern w:val="0"/>
          <w14:ligatures w14:val="none"/>
        </w:rPr>
        <w:t xml:space="preserve">when </w:t>
      </w:r>
      <w:r w:rsidRPr="00B064B8">
        <w:rPr>
          <w:kern w:val="0"/>
          <w14:ligatures w14:val="none"/>
        </w:rPr>
        <w:t>confidentiality is</w:t>
      </w:r>
      <w:r w:rsidR="00E266F6">
        <w:rPr>
          <w:kern w:val="0"/>
          <w14:ligatures w14:val="none"/>
        </w:rPr>
        <w:t xml:space="preserve"> a concern</w:t>
      </w:r>
      <w:r w:rsidRPr="00B064B8">
        <w:rPr>
          <w:kern w:val="0"/>
          <w14:ligatures w14:val="none"/>
        </w:rPr>
        <w:t xml:space="preserve">. Interviews will last between 45 and 60 </w:t>
      </w:r>
      <w:r w:rsidR="00D443D6" w:rsidRPr="00B064B8">
        <w:rPr>
          <w:kern w:val="0"/>
          <w14:ligatures w14:val="none"/>
        </w:rPr>
        <w:t>minutes</w:t>
      </w:r>
      <w:r w:rsidR="00750FB8">
        <w:rPr>
          <w:kern w:val="0"/>
          <w14:ligatures w14:val="none"/>
        </w:rPr>
        <w:t>,</w:t>
      </w:r>
      <w:r w:rsidR="00D443D6" w:rsidRPr="00B064B8">
        <w:rPr>
          <w:kern w:val="0"/>
          <w14:ligatures w14:val="none"/>
        </w:rPr>
        <w:t xml:space="preserve"> and</w:t>
      </w:r>
      <w:r w:rsidRPr="00B064B8">
        <w:rPr>
          <w:kern w:val="0"/>
          <w14:ligatures w14:val="none"/>
        </w:rPr>
        <w:t xml:space="preserve"> focus groups will run for 90 minutes. All sessions will be audio-recorded with participants’ consent. Protocols for interviews and focus groups will be developed based on the adoption constructs identified in the literature, including compatibility, familiarity, benefit, risk, and trust,</w:t>
      </w:r>
      <w:r w:rsidRPr="00B064B8">
        <w:rPr>
          <w:rFonts w:eastAsia="Times New Roman" w:cs="Arial"/>
          <w:color w:val="000000"/>
          <w:kern w:val="0"/>
          <w:sz w:val="22"/>
          <w:szCs w:val="22"/>
          <w14:ligatures w14:val="none"/>
        </w:rPr>
        <w:t xml:space="preserve"> while allowing room for emergent insights.</w:t>
      </w:r>
    </w:p>
    <w:p w14:paraId="7B61CC9E" w14:textId="7C59F219" w:rsidR="00875391" w:rsidRPr="00D443D6" w:rsidRDefault="007779A3" w:rsidP="00E47E6E">
      <w:pPr>
        <w:pStyle w:val="Heading2"/>
        <w:numPr>
          <w:ilvl w:val="1"/>
          <w:numId w:val="6"/>
        </w:numPr>
        <w:tabs>
          <w:tab w:val="left" w:pos="0"/>
          <w:tab w:val="left" w:pos="360"/>
        </w:tabs>
        <w:rPr>
          <w:rStyle w:val="Heading2Char"/>
          <w:rFonts w:asciiTheme="minorHAnsi" w:hAnsiTheme="minorHAnsi"/>
        </w:rPr>
      </w:pPr>
      <w:bookmarkStart w:id="36" w:name="_Toc206886349"/>
      <w:bookmarkStart w:id="37" w:name="_Toc208699141"/>
      <w:r w:rsidRPr="00B064B8">
        <w:rPr>
          <w:rStyle w:val="Heading2Char"/>
          <w:rFonts w:asciiTheme="minorHAnsi" w:hAnsiTheme="minorHAnsi"/>
        </w:rPr>
        <w:lastRenderedPageBreak/>
        <w:t xml:space="preserve">Data </w:t>
      </w:r>
      <w:r w:rsidR="002A4A96">
        <w:rPr>
          <w:rStyle w:val="Heading2Char"/>
          <w:rFonts w:asciiTheme="minorHAnsi" w:hAnsiTheme="minorHAnsi"/>
        </w:rPr>
        <w:t>A</w:t>
      </w:r>
      <w:r w:rsidRPr="00B064B8">
        <w:rPr>
          <w:rStyle w:val="Heading2Char"/>
          <w:rFonts w:asciiTheme="minorHAnsi" w:hAnsiTheme="minorHAnsi"/>
        </w:rPr>
        <w:t xml:space="preserve">nalysis </w:t>
      </w:r>
      <w:r w:rsidR="002A4A96">
        <w:rPr>
          <w:rStyle w:val="Heading2Char"/>
          <w:rFonts w:asciiTheme="minorHAnsi" w:hAnsiTheme="minorHAnsi"/>
        </w:rPr>
        <w:t>P</w:t>
      </w:r>
      <w:r w:rsidRPr="00B064B8">
        <w:rPr>
          <w:rStyle w:val="Heading2Char"/>
          <w:rFonts w:asciiTheme="minorHAnsi" w:hAnsiTheme="minorHAnsi"/>
        </w:rPr>
        <w:t>rocedures</w:t>
      </w:r>
      <w:bookmarkEnd w:id="36"/>
      <w:bookmarkEnd w:id="37"/>
    </w:p>
    <w:p w14:paraId="6FE2D9DB" w14:textId="2EF12403" w:rsidR="00F7499E" w:rsidRPr="00D443D6" w:rsidRDefault="008F1DCF" w:rsidP="00F7499E">
      <w:pPr>
        <w:tabs>
          <w:tab w:val="left" w:pos="0"/>
          <w:tab w:val="left" w:pos="360"/>
        </w:tabs>
        <w:spacing w:before="100" w:beforeAutospacing="1" w:after="100" w:afterAutospacing="1" w:line="360" w:lineRule="auto"/>
        <w:jc w:val="both"/>
        <w:rPr>
          <w:rFonts w:eastAsia="Times New Roman" w:cs="Arial"/>
          <w:color w:val="000000"/>
          <w:kern w:val="0"/>
          <w14:ligatures w14:val="none"/>
        </w:rPr>
      </w:pPr>
      <w:r w:rsidRPr="008F1DCF">
        <w:rPr>
          <w:rFonts w:eastAsia="Times New Roman" w:cs="Arial"/>
          <w:color w:val="000000"/>
          <w:kern w:val="0"/>
          <w14:ligatures w14:val="none"/>
        </w:rPr>
        <w:t>The analysis remains qualitative, using thematic coding and triangulation. While descriptive statistics are applied to contextualise findings, no statistical modelling is undertaken.</w:t>
      </w:r>
      <w:r w:rsidRPr="00D443D6">
        <w:rPr>
          <w:rFonts w:eastAsia="Times New Roman" w:cs="Arial"/>
          <w:color w:val="000000"/>
          <w:kern w:val="0"/>
          <w14:ligatures w14:val="none"/>
        </w:rPr>
        <w:t xml:space="preserve"> </w:t>
      </w:r>
      <w:r w:rsidR="00F7499E" w:rsidRPr="00D443D6">
        <w:rPr>
          <w:rFonts w:eastAsia="Times New Roman" w:cs="Arial"/>
          <w:color w:val="000000"/>
          <w:kern w:val="0"/>
          <w14:ligatures w14:val="none"/>
        </w:rPr>
        <w:t>Data analysis will proceed in four stages to ensure both interpretive depth and analytic credibility.</w:t>
      </w:r>
    </w:p>
    <w:p w14:paraId="6CCC9BE5" w14:textId="3701818C" w:rsidR="00F7499E" w:rsidRPr="00D443D6" w:rsidRDefault="00F7499E" w:rsidP="00F7499E">
      <w:pPr>
        <w:tabs>
          <w:tab w:val="left" w:pos="0"/>
          <w:tab w:val="left" w:pos="360"/>
        </w:tabs>
        <w:spacing w:before="100" w:beforeAutospacing="1" w:after="100" w:afterAutospacing="1" w:line="360" w:lineRule="auto"/>
        <w:jc w:val="both"/>
        <w:rPr>
          <w:rFonts w:eastAsia="Times New Roman" w:cs="Arial"/>
          <w:color w:val="000000"/>
          <w:kern w:val="0"/>
          <w14:ligatures w14:val="none"/>
        </w:rPr>
      </w:pPr>
      <w:r w:rsidRPr="00D443D6">
        <w:rPr>
          <w:rFonts w:eastAsia="Times New Roman" w:cs="Arial"/>
          <w:color w:val="000000"/>
          <w:kern w:val="0"/>
          <w14:ligatures w14:val="none"/>
        </w:rPr>
        <w:t xml:space="preserve">Stage 1: Thematic coding. Deductive codes will be derived from established constructs such as compatibility, trust, risk, and talent, while inductive codes will capture context-specific </w:t>
      </w:r>
      <w:r w:rsidR="004A1710">
        <w:rPr>
          <w:rFonts w:eastAsia="Times New Roman" w:cs="Arial"/>
          <w:color w:val="000000"/>
          <w:kern w:val="0"/>
          <w14:ligatures w14:val="none"/>
        </w:rPr>
        <w:t xml:space="preserve">themes emerging from the Hong Kong case. This approach enables theory-driven insights to </w:t>
      </w:r>
      <w:r w:rsidRPr="00D443D6">
        <w:rPr>
          <w:rFonts w:eastAsia="Times New Roman" w:cs="Arial"/>
          <w:color w:val="000000"/>
          <w:kern w:val="0"/>
          <w14:ligatures w14:val="none"/>
        </w:rPr>
        <w:t>be enriched by locally grounded perspectives.</w:t>
      </w:r>
    </w:p>
    <w:p w14:paraId="00858B45" w14:textId="1AFD4ED1" w:rsidR="00F7499E" w:rsidRPr="00D443D6" w:rsidRDefault="00F7499E" w:rsidP="00F7499E">
      <w:pPr>
        <w:tabs>
          <w:tab w:val="left" w:pos="0"/>
          <w:tab w:val="left" w:pos="360"/>
        </w:tabs>
        <w:spacing w:before="100" w:beforeAutospacing="1" w:after="100" w:afterAutospacing="1" w:line="360" w:lineRule="auto"/>
        <w:jc w:val="both"/>
        <w:rPr>
          <w:rFonts w:eastAsia="Times New Roman" w:cs="Arial"/>
          <w:color w:val="000000"/>
          <w:kern w:val="0"/>
          <w14:ligatures w14:val="none"/>
        </w:rPr>
      </w:pPr>
      <w:r w:rsidRPr="00D443D6">
        <w:rPr>
          <w:rFonts w:eastAsia="Times New Roman" w:cs="Arial"/>
          <w:color w:val="000000"/>
          <w:kern w:val="0"/>
          <w14:ligatures w14:val="none"/>
        </w:rPr>
        <w:t>Stage 2: Reliability checks. To enhance validity, a subset of transcripts will be double-coded by an independent researcher. Inter-rater reliability will be assessed using Cohen’s kappa, with a threshold of 0.70 or higher regarded as acceptable.</w:t>
      </w:r>
      <w:r w:rsidR="00672EE4">
        <w:rPr>
          <w:rFonts w:eastAsia="Times New Roman" w:cs="Arial"/>
          <w:color w:val="000000"/>
          <w:kern w:val="0"/>
          <w14:ligatures w14:val="none"/>
        </w:rPr>
        <w:t xml:space="preserve"> (</w:t>
      </w:r>
      <w:r w:rsidR="00672EE4">
        <w:t>Landis &amp; Koch, 1977).</w:t>
      </w:r>
    </w:p>
    <w:p w14:paraId="1E3C78E9" w14:textId="7451733E" w:rsidR="00F7499E" w:rsidRPr="00D443D6" w:rsidRDefault="00F7499E" w:rsidP="00F7499E">
      <w:pPr>
        <w:tabs>
          <w:tab w:val="left" w:pos="0"/>
          <w:tab w:val="left" w:pos="360"/>
        </w:tabs>
        <w:spacing w:before="100" w:beforeAutospacing="1" w:after="100" w:afterAutospacing="1" w:line="360" w:lineRule="auto"/>
        <w:jc w:val="both"/>
        <w:rPr>
          <w:rFonts w:eastAsia="Times New Roman" w:cs="Arial"/>
          <w:color w:val="000000"/>
          <w:kern w:val="0"/>
          <w14:ligatures w14:val="none"/>
        </w:rPr>
      </w:pPr>
      <w:r w:rsidRPr="00D443D6">
        <w:rPr>
          <w:rFonts w:eastAsia="Times New Roman" w:cs="Arial"/>
          <w:color w:val="000000"/>
          <w:kern w:val="0"/>
          <w14:ligatures w14:val="none"/>
        </w:rPr>
        <w:t xml:space="preserve">Stage 3: Triangulation and light quantification. Qualitative findings will be triangulated with secondary data sources, </w:t>
      </w:r>
      <w:r w:rsidR="004D2B08">
        <w:rPr>
          <w:rFonts w:eastAsia="Times New Roman" w:cs="Arial"/>
          <w:color w:val="000000"/>
          <w:kern w:val="0"/>
          <w14:ligatures w14:val="none"/>
        </w:rPr>
        <w:t>as well as</w:t>
      </w:r>
      <w:r w:rsidR="004D2B08" w:rsidRPr="004D2B08">
        <w:rPr>
          <w:rFonts w:eastAsia="Times New Roman" w:cs="Arial"/>
          <w:color w:val="000000"/>
          <w:kern w:val="0"/>
          <w14:ligatures w14:val="none"/>
        </w:rPr>
        <w:t xml:space="preserve"> with BIS, IMF, and HKMA reports</w:t>
      </w:r>
      <w:r w:rsidR="004D2B08">
        <w:rPr>
          <w:rFonts w:eastAsia="Times New Roman" w:cs="Arial"/>
          <w:color w:val="000000"/>
          <w:kern w:val="0"/>
          <w14:ligatures w14:val="none"/>
        </w:rPr>
        <w:t>,</w:t>
      </w:r>
      <w:r w:rsidR="004D2B08" w:rsidRPr="004D2B08">
        <w:rPr>
          <w:rFonts w:eastAsia="Times New Roman" w:cs="Arial"/>
          <w:color w:val="000000"/>
          <w:kern w:val="0"/>
          <w14:ligatures w14:val="none"/>
        </w:rPr>
        <w:t xml:space="preserve"> to capture institutional perspectives on digital adoption</w:t>
      </w:r>
      <w:r w:rsidR="004A1710">
        <w:rPr>
          <w:rFonts w:eastAsia="Times New Roman" w:cs="Arial"/>
          <w:color w:val="000000"/>
          <w:kern w:val="0"/>
          <w14:ligatures w14:val="none"/>
        </w:rPr>
        <w:t xml:space="preserve">. Key codes will also be quantified to show frequency and importance (e.g., </w:t>
      </w:r>
      <w:r w:rsidRPr="00D443D6">
        <w:rPr>
          <w:rFonts w:eastAsia="Times New Roman" w:cs="Arial"/>
          <w:color w:val="000000"/>
          <w:kern w:val="0"/>
          <w14:ligatures w14:val="none"/>
        </w:rPr>
        <w:t>the proportion of treasurers emphasising compliance risk or talent gaps). This semi-quantitative step strengthens the transparency of the qualitative findings without overstating statistical generalisability.</w:t>
      </w:r>
    </w:p>
    <w:p w14:paraId="10F747E2" w14:textId="77777777" w:rsidR="00F7499E" w:rsidRPr="00D443D6" w:rsidRDefault="00F7499E" w:rsidP="00F7499E">
      <w:pPr>
        <w:tabs>
          <w:tab w:val="left" w:pos="0"/>
          <w:tab w:val="left" w:pos="360"/>
        </w:tabs>
        <w:spacing w:before="100" w:beforeAutospacing="1" w:after="100" w:afterAutospacing="1" w:line="360" w:lineRule="auto"/>
        <w:jc w:val="both"/>
        <w:rPr>
          <w:rFonts w:eastAsia="Times New Roman" w:cs="Arial"/>
          <w:color w:val="000000"/>
          <w:kern w:val="0"/>
          <w14:ligatures w14:val="none"/>
        </w:rPr>
      </w:pPr>
      <w:r w:rsidRPr="00D443D6">
        <w:rPr>
          <w:rFonts w:eastAsia="Times New Roman" w:cs="Arial"/>
          <w:color w:val="000000"/>
          <w:kern w:val="0"/>
          <w14:ligatures w14:val="none"/>
        </w:rPr>
        <w:t>Stage 4: Descriptive and exploratory analysis. Secondary data will be examined using descriptive statistics, cross-tabulations, and simple correlation analysis (Pearson or Spearman, as appropriate). These techniques will complement the qualitative findings by identifying convergent patterns and contextualising interview data.</w:t>
      </w:r>
    </w:p>
    <w:p w14:paraId="0ABC27F1" w14:textId="537651FA" w:rsidR="00F7499E" w:rsidRPr="00D443D6" w:rsidRDefault="00ED2D81" w:rsidP="00F7499E">
      <w:pPr>
        <w:tabs>
          <w:tab w:val="left" w:pos="0"/>
          <w:tab w:val="left" w:pos="360"/>
        </w:tabs>
        <w:spacing w:before="100" w:beforeAutospacing="1" w:after="100" w:afterAutospacing="1" w:line="360" w:lineRule="auto"/>
        <w:jc w:val="both"/>
        <w:rPr>
          <w:rFonts w:eastAsia="Times New Roman" w:cs="Arial"/>
          <w:color w:val="000000"/>
          <w:kern w:val="0"/>
          <w14:ligatures w14:val="none"/>
        </w:rPr>
      </w:pPr>
      <w:r w:rsidRPr="00D443D6">
        <w:rPr>
          <w:rFonts w:eastAsia="Times New Roman" w:cs="Arial"/>
          <w:color w:val="000000"/>
          <w:kern w:val="0"/>
          <w14:ligatures w14:val="none"/>
        </w:rPr>
        <w:t>While the study remains largely qualitative, descriptive statistics are utilised solely to contextualise the interview findings. Structural Equation Modelling (SEM) is recognised not as part of the current design but as a potential future validation approach.</w:t>
      </w:r>
    </w:p>
    <w:p w14:paraId="11308D86" w14:textId="76EB1D31" w:rsidR="00875391" w:rsidRPr="00B064B8" w:rsidRDefault="007779A3" w:rsidP="00E47E6E">
      <w:pPr>
        <w:pStyle w:val="Heading2"/>
        <w:numPr>
          <w:ilvl w:val="1"/>
          <w:numId w:val="6"/>
        </w:numPr>
        <w:tabs>
          <w:tab w:val="left" w:pos="0"/>
          <w:tab w:val="left" w:pos="360"/>
        </w:tabs>
        <w:ind w:left="0" w:firstLine="0"/>
        <w:rPr>
          <w:rStyle w:val="Heading2Char"/>
          <w:rFonts w:asciiTheme="minorHAnsi" w:hAnsiTheme="minorHAnsi"/>
        </w:rPr>
      </w:pPr>
      <w:bookmarkStart w:id="38" w:name="_Toc206886350"/>
      <w:bookmarkStart w:id="39" w:name="_Toc208699142"/>
      <w:r w:rsidRPr="00B064B8">
        <w:rPr>
          <w:rStyle w:val="Heading2Char"/>
          <w:rFonts w:asciiTheme="minorHAnsi" w:hAnsiTheme="minorHAnsi"/>
        </w:rPr>
        <w:lastRenderedPageBreak/>
        <w:t xml:space="preserve">Ethical </w:t>
      </w:r>
      <w:r w:rsidR="002A4A96">
        <w:rPr>
          <w:rStyle w:val="Heading2Char"/>
          <w:rFonts w:asciiTheme="minorHAnsi" w:hAnsiTheme="minorHAnsi"/>
        </w:rPr>
        <w:t>C</w:t>
      </w:r>
      <w:r w:rsidRPr="00B064B8">
        <w:rPr>
          <w:rStyle w:val="Heading2Char"/>
          <w:rFonts w:asciiTheme="minorHAnsi" w:hAnsiTheme="minorHAnsi"/>
        </w:rPr>
        <w:t>onsideration</w:t>
      </w:r>
      <w:bookmarkEnd w:id="38"/>
      <w:bookmarkEnd w:id="39"/>
    </w:p>
    <w:p w14:paraId="18942B95" w14:textId="34E4A37C" w:rsidR="001944B7" w:rsidRPr="001944B7" w:rsidRDefault="001944B7" w:rsidP="001944B7">
      <w:pPr>
        <w:tabs>
          <w:tab w:val="left" w:pos="0"/>
          <w:tab w:val="left" w:pos="360"/>
        </w:tabs>
        <w:spacing w:before="100" w:beforeAutospacing="1" w:after="100" w:afterAutospacing="1" w:line="360" w:lineRule="auto"/>
        <w:jc w:val="both"/>
        <w:rPr>
          <w:rFonts w:eastAsia="Times New Roman" w:cs="Arial"/>
          <w:color w:val="000000"/>
          <w:kern w:val="0"/>
          <w14:ligatures w14:val="none"/>
        </w:rPr>
      </w:pPr>
      <w:r w:rsidRPr="001944B7">
        <w:rPr>
          <w:rFonts w:eastAsia="Times New Roman" w:cs="Arial"/>
          <w:color w:val="000000"/>
          <w:kern w:val="0"/>
          <w14:ligatures w14:val="none"/>
        </w:rPr>
        <w:t xml:space="preserve">All participants will be provided with informed consent forms </w:t>
      </w:r>
      <w:r>
        <w:rPr>
          <w:rFonts w:eastAsia="Times New Roman" w:cs="Arial"/>
          <w:color w:val="000000"/>
          <w:kern w:val="0"/>
          <w14:ligatures w14:val="none"/>
        </w:rPr>
        <w:t>that outline</w:t>
      </w:r>
      <w:r w:rsidRPr="001944B7">
        <w:rPr>
          <w:rFonts w:eastAsia="Times New Roman" w:cs="Arial"/>
          <w:color w:val="000000"/>
          <w:kern w:val="0"/>
          <w14:ligatures w14:val="none"/>
        </w:rPr>
        <w:t xml:space="preserve"> the study’s purpose, their right to withdraw at any time without consequence, and the voluntary nature of </w:t>
      </w:r>
      <w:r>
        <w:rPr>
          <w:rFonts w:eastAsia="Times New Roman" w:cs="Arial"/>
          <w:color w:val="000000"/>
          <w:kern w:val="0"/>
          <w14:ligatures w14:val="none"/>
        </w:rPr>
        <w:t xml:space="preserve">their </w:t>
      </w:r>
      <w:r w:rsidRPr="001944B7">
        <w:rPr>
          <w:rFonts w:eastAsia="Times New Roman" w:cs="Arial"/>
          <w:color w:val="000000"/>
          <w:kern w:val="0"/>
          <w14:ligatures w14:val="none"/>
        </w:rPr>
        <w:t xml:space="preserve">participation. Given the sensitivity of adoption and </w:t>
      </w:r>
      <w:proofErr w:type="spellStart"/>
      <w:r w:rsidRPr="001944B7">
        <w:rPr>
          <w:rFonts w:eastAsia="Times New Roman" w:cs="Arial"/>
          <w:color w:val="000000"/>
          <w:kern w:val="0"/>
          <w14:ligatures w14:val="none"/>
        </w:rPr>
        <w:t>monetisation</w:t>
      </w:r>
      <w:proofErr w:type="spellEnd"/>
      <w:r w:rsidRPr="001944B7">
        <w:rPr>
          <w:rFonts w:eastAsia="Times New Roman" w:cs="Arial"/>
          <w:color w:val="000000"/>
          <w:kern w:val="0"/>
          <w14:ligatures w14:val="none"/>
        </w:rPr>
        <w:t xml:space="preserve"> decisions in corporate banking, confidentiality and anonymity will be strictly maintained. Participant identities and </w:t>
      </w:r>
      <w:proofErr w:type="spellStart"/>
      <w:r>
        <w:rPr>
          <w:rFonts w:eastAsia="Times New Roman" w:cs="Arial"/>
          <w:color w:val="000000"/>
          <w:kern w:val="0"/>
          <w14:ligatures w14:val="none"/>
        </w:rPr>
        <w:t>Organisational</w:t>
      </w:r>
      <w:proofErr w:type="spellEnd"/>
      <w:r>
        <w:rPr>
          <w:rFonts w:eastAsia="Times New Roman" w:cs="Arial"/>
          <w:color w:val="000000"/>
          <w:kern w:val="0"/>
          <w14:ligatures w14:val="none"/>
        </w:rPr>
        <w:t xml:space="preserve"> details will be </w:t>
      </w:r>
      <w:proofErr w:type="spellStart"/>
      <w:r>
        <w:rPr>
          <w:rFonts w:eastAsia="Times New Roman" w:cs="Arial"/>
          <w:color w:val="000000"/>
          <w:kern w:val="0"/>
          <w14:ligatures w14:val="none"/>
        </w:rPr>
        <w:t>anonymised</w:t>
      </w:r>
      <w:proofErr w:type="spellEnd"/>
      <w:r>
        <w:rPr>
          <w:rFonts w:eastAsia="Times New Roman" w:cs="Arial"/>
          <w:color w:val="000000"/>
          <w:kern w:val="0"/>
          <w14:ligatures w14:val="none"/>
        </w:rPr>
        <w:t xml:space="preserve"> in transcripts and reports, with coded identifiers,</w:t>
      </w:r>
      <w:r w:rsidRPr="001944B7">
        <w:rPr>
          <w:rFonts w:eastAsia="Times New Roman" w:cs="Arial"/>
          <w:color w:val="000000"/>
          <w:kern w:val="0"/>
          <w14:ligatures w14:val="none"/>
        </w:rPr>
        <w:t xml:space="preserve"> to prevent traceability.</w:t>
      </w:r>
    </w:p>
    <w:p w14:paraId="0758C1A8" w14:textId="08A66370" w:rsidR="001944B7" w:rsidRPr="001944B7" w:rsidRDefault="001944B7" w:rsidP="001944B7">
      <w:pPr>
        <w:tabs>
          <w:tab w:val="left" w:pos="0"/>
          <w:tab w:val="left" w:pos="360"/>
        </w:tabs>
        <w:spacing w:before="100" w:beforeAutospacing="1" w:after="100" w:afterAutospacing="1" w:line="360" w:lineRule="auto"/>
        <w:jc w:val="both"/>
        <w:rPr>
          <w:rFonts w:eastAsia="Times New Roman" w:cs="Arial"/>
          <w:color w:val="000000"/>
          <w:kern w:val="0"/>
          <w14:ligatures w14:val="none"/>
        </w:rPr>
      </w:pPr>
      <w:r w:rsidRPr="001944B7">
        <w:rPr>
          <w:rFonts w:eastAsia="Times New Roman" w:cs="Arial"/>
          <w:color w:val="000000"/>
          <w:kern w:val="0"/>
          <w14:ligatures w14:val="none"/>
        </w:rPr>
        <w:t xml:space="preserve">Ethical approval will be obtained </w:t>
      </w:r>
      <w:r>
        <w:rPr>
          <w:rFonts w:eastAsia="Times New Roman" w:cs="Arial"/>
          <w:color w:val="000000"/>
          <w:kern w:val="0"/>
          <w14:ligatures w14:val="none"/>
        </w:rPr>
        <w:t>prior</w:t>
      </w:r>
      <w:r w:rsidRPr="001944B7">
        <w:rPr>
          <w:rFonts w:eastAsia="Times New Roman" w:cs="Arial"/>
          <w:color w:val="000000"/>
          <w:kern w:val="0"/>
          <w14:ligatures w14:val="none"/>
        </w:rPr>
        <w:t xml:space="preserve"> </w:t>
      </w:r>
      <w:r>
        <w:rPr>
          <w:rFonts w:eastAsia="Times New Roman" w:cs="Arial"/>
          <w:color w:val="000000"/>
          <w:kern w:val="0"/>
          <w14:ligatures w14:val="none"/>
        </w:rPr>
        <w:t>to</w:t>
      </w:r>
      <w:r w:rsidRPr="001944B7">
        <w:rPr>
          <w:rFonts w:eastAsia="Times New Roman" w:cs="Arial"/>
          <w:color w:val="000000"/>
          <w:kern w:val="0"/>
          <w14:ligatures w14:val="none"/>
        </w:rPr>
        <w:t xml:space="preserve"> </w:t>
      </w:r>
      <w:r>
        <w:rPr>
          <w:rFonts w:eastAsia="Times New Roman" w:cs="Arial"/>
          <w:color w:val="000000"/>
          <w:kern w:val="0"/>
          <w14:ligatures w14:val="none"/>
        </w:rPr>
        <w:t>the commencement of fieldwork</w:t>
      </w:r>
      <w:r w:rsidRPr="001944B7">
        <w:rPr>
          <w:rFonts w:eastAsia="Times New Roman" w:cs="Arial"/>
          <w:color w:val="000000"/>
          <w:kern w:val="0"/>
          <w14:ligatures w14:val="none"/>
        </w:rPr>
        <w:t>, and all data will be stored securely in password-protected files</w:t>
      </w:r>
      <w:r>
        <w:rPr>
          <w:rFonts w:eastAsia="Times New Roman" w:cs="Arial"/>
          <w:color w:val="000000"/>
          <w:kern w:val="0"/>
          <w14:ligatures w14:val="none"/>
        </w:rPr>
        <w:t>,</w:t>
      </w:r>
      <w:r w:rsidRPr="001944B7">
        <w:rPr>
          <w:rFonts w:eastAsia="Times New Roman" w:cs="Arial"/>
          <w:color w:val="000000"/>
          <w:kern w:val="0"/>
          <w14:ligatures w14:val="none"/>
        </w:rPr>
        <w:t xml:space="preserve"> accessible only to the researcher. Audio recordings will be transcribed and </w:t>
      </w:r>
      <w:r>
        <w:rPr>
          <w:rFonts w:eastAsia="Times New Roman" w:cs="Arial"/>
          <w:color w:val="000000"/>
          <w:kern w:val="0"/>
          <w14:ligatures w14:val="none"/>
        </w:rPr>
        <w:t>stored</w:t>
      </w:r>
      <w:r w:rsidRPr="001944B7">
        <w:rPr>
          <w:rFonts w:eastAsia="Times New Roman" w:cs="Arial"/>
          <w:color w:val="000000"/>
          <w:kern w:val="0"/>
          <w14:ligatures w14:val="none"/>
        </w:rPr>
        <w:t xml:space="preserve"> separately from </w:t>
      </w:r>
      <w:r>
        <w:rPr>
          <w:rFonts w:eastAsia="Times New Roman" w:cs="Arial"/>
          <w:color w:val="000000"/>
          <w:kern w:val="0"/>
          <w14:ligatures w14:val="none"/>
        </w:rPr>
        <w:t xml:space="preserve">any </w:t>
      </w:r>
      <w:r w:rsidRPr="001944B7">
        <w:rPr>
          <w:rFonts w:eastAsia="Times New Roman" w:cs="Arial"/>
          <w:color w:val="000000"/>
          <w:kern w:val="0"/>
          <w14:ligatures w14:val="none"/>
        </w:rPr>
        <w:t>identifying information, and both will be destroyed after the required retention period</w:t>
      </w:r>
      <w:r>
        <w:rPr>
          <w:rFonts w:eastAsia="Times New Roman" w:cs="Arial"/>
          <w:color w:val="000000"/>
          <w:kern w:val="0"/>
          <w14:ligatures w14:val="none"/>
        </w:rPr>
        <w:t xml:space="preserve"> has elapsed</w:t>
      </w:r>
      <w:r w:rsidRPr="001944B7">
        <w:rPr>
          <w:rFonts w:eastAsia="Times New Roman" w:cs="Arial"/>
          <w:color w:val="000000"/>
          <w:kern w:val="0"/>
          <w14:ligatures w14:val="none"/>
        </w:rPr>
        <w:t xml:space="preserve">. To mitigate potential power imbalances </w:t>
      </w:r>
      <w:r>
        <w:rPr>
          <w:rFonts w:eastAsia="Times New Roman" w:cs="Arial"/>
          <w:color w:val="000000"/>
          <w:kern w:val="0"/>
          <w14:ligatures w14:val="none"/>
        </w:rPr>
        <w:t>during</w:t>
      </w:r>
      <w:r w:rsidRPr="001944B7">
        <w:rPr>
          <w:rFonts w:eastAsia="Times New Roman" w:cs="Arial"/>
          <w:color w:val="000000"/>
          <w:kern w:val="0"/>
          <w14:ligatures w14:val="none"/>
        </w:rPr>
        <w:t xml:space="preserve"> interview</w:t>
      </w:r>
      <w:r>
        <w:rPr>
          <w:rFonts w:eastAsia="Times New Roman" w:cs="Arial"/>
          <w:color w:val="000000"/>
          <w:kern w:val="0"/>
          <w14:ligatures w14:val="none"/>
        </w:rPr>
        <w:t>s with</w:t>
      </w:r>
      <w:r w:rsidRPr="001944B7">
        <w:rPr>
          <w:rFonts w:eastAsia="Times New Roman" w:cs="Arial"/>
          <w:color w:val="000000"/>
          <w:kern w:val="0"/>
          <w14:ligatures w14:val="none"/>
        </w:rPr>
        <w:t xml:space="preserve"> senior executives, questions will be framed neutrally, and participants will have opportunities to clarify or withdraw their responses.</w:t>
      </w:r>
    </w:p>
    <w:p w14:paraId="0E638D69" w14:textId="730A0B4A" w:rsidR="007779A3" w:rsidRPr="001944B7" w:rsidRDefault="001944B7" w:rsidP="001944B7">
      <w:pPr>
        <w:tabs>
          <w:tab w:val="left" w:pos="0"/>
          <w:tab w:val="left" w:pos="360"/>
        </w:tabs>
        <w:spacing w:before="100" w:beforeAutospacing="1" w:after="100" w:afterAutospacing="1" w:line="360" w:lineRule="auto"/>
        <w:jc w:val="both"/>
        <w:rPr>
          <w:rFonts w:eastAsia="Times New Roman" w:cs="Arial"/>
          <w:color w:val="000000"/>
          <w:kern w:val="0"/>
          <w14:ligatures w14:val="none"/>
        </w:rPr>
      </w:pPr>
      <w:r w:rsidRPr="001944B7">
        <w:rPr>
          <w:rFonts w:eastAsia="Times New Roman" w:cs="Arial"/>
          <w:color w:val="000000"/>
          <w:kern w:val="0"/>
          <w14:ligatures w14:val="none"/>
        </w:rPr>
        <w:t>By following these procedures, the research complies with institutional ethical standards, safeguards participant welfare, and upholds transparency, academic integrity, and trustworthiness.</w:t>
      </w:r>
    </w:p>
    <w:p w14:paraId="64F6A64F" w14:textId="3898049B" w:rsidR="00875391" w:rsidRPr="00B064B8" w:rsidRDefault="00AA1AEA" w:rsidP="00E47E6E">
      <w:pPr>
        <w:pStyle w:val="Heading2"/>
        <w:numPr>
          <w:ilvl w:val="1"/>
          <w:numId w:val="6"/>
        </w:numPr>
        <w:tabs>
          <w:tab w:val="left" w:pos="0"/>
          <w:tab w:val="left" w:pos="360"/>
        </w:tabs>
        <w:ind w:left="0" w:firstLine="0"/>
        <w:rPr>
          <w:rFonts w:asciiTheme="minorHAnsi" w:hAnsiTheme="minorHAnsi"/>
        </w:rPr>
      </w:pPr>
      <w:bookmarkStart w:id="40" w:name="_Toc208699143"/>
      <w:r w:rsidRPr="00B064B8">
        <w:rPr>
          <w:rFonts w:asciiTheme="minorHAnsi" w:hAnsiTheme="minorHAnsi"/>
        </w:rPr>
        <w:t xml:space="preserve">Qualitative </w:t>
      </w:r>
      <w:r w:rsidR="002A4A96">
        <w:rPr>
          <w:rFonts w:asciiTheme="minorHAnsi" w:hAnsiTheme="minorHAnsi"/>
        </w:rPr>
        <w:t>L</w:t>
      </w:r>
      <w:r w:rsidRPr="00B064B8">
        <w:rPr>
          <w:rFonts w:asciiTheme="minorHAnsi" w:hAnsiTheme="minorHAnsi"/>
        </w:rPr>
        <w:t>imitation</w:t>
      </w:r>
      <w:bookmarkEnd w:id="40"/>
    </w:p>
    <w:p w14:paraId="1C349DFC" w14:textId="1DAA87AC" w:rsidR="007779A3" w:rsidRDefault="00AA1AEA" w:rsidP="00F72705">
      <w:pPr>
        <w:tabs>
          <w:tab w:val="left" w:pos="0"/>
          <w:tab w:val="left" w:pos="360"/>
        </w:tabs>
        <w:spacing w:before="100" w:beforeAutospacing="1" w:after="100" w:afterAutospacing="1" w:line="360" w:lineRule="auto"/>
        <w:jc w:val="both"/>
        <w:rPr>
          <w:rFonts w:eastAsia="Times New Roman" w:cs="Arial"/>
          <w:color w:val="000000"/>
          <w:kern w:val="0"/>
          <w14:ligatures w14:val="none"/>
        </w:rPr>
      </w:pPr>
      <w:r w:rsidRPr="00B430C3">
        <w:rPr>
          <w:rFonts w:eastAsia="Times New Roman" w:cs="Arial"/>
          <w:color w:val="000000"/>
          <w:kern w:val="0"/>
          <w14:ligatures w14:val="none"/>
        </w:rPr>
        <w:t xml:space="preserve">A positivist survey could provide </w:t>
      </w:r>
      <w:proofErr w:type="spellStart"/>
      <w:r w:rsidRPr="00B430C3">
        <w:rPr>
          <w:kern w:val="0"/>
          <w14:ligatures w14:val="none"/>
        </w:rPr>
        <w:t>generalisable</w:t>
      </w:r>
      <w:proofErr w:type="spellEnd"/>
      <w:r w:rsidRPr="00B430C3">
        <w:rPr>
          <w:kern w:val="0"/>
          <w14:ligatures w14:val="none"/>
        </w:rPr>
        <w:t xml:space="preserve"> findings</w:t>
      </w:r>
      <w:r w:rsidRPr="00B064B8">
        <w:rPr>
          <w:kern w:val="0"/>
          <w14:ligatures w14:val="none"/>
        </w:rPr>
        <w:t xml:space="preserve">, but it would miss the detailed context and organisational dynamics within Hong Kong treasuries. An interpretivist ethnography could capture rich personal insights, but it would lack the structure needed to generate clear strategies for practice. Critical theory could reveal deeper power imbalances, but it is less suited to the practical challenges of adoption and monetisation. In contrast, a </w:t>
      </w:r>
      <w:r w:rsidRPr="00672EE4">
        <w:rPr>
          <w:kern w:val="0"/>
          <w14:ligatures w14:val="none"/>
        </w:rPr>
        <w:t>qualitative case study approach, supported by interpretivism and critical realism, offers the right balance. It captures both the lived experiences of treasurers and the wider institutional</w:t>
      </w:r>
      <w:r w:rsidRPr="00672EE4">
        <w:rPr>
          <w:rFonts w:eastAsia="Times New Roman" w:cs="Arial"/>
          <w:color w:val="000000"/>
          <w:kern w:val="0"/>
          <w14:ligatures w14:val="none"/>
        </w:rPr>
        <w:t xml:space="preserve"> and regulatory structures, making the findings both meaningful and actionable.</w:t>
      </w:r>
    </w:p>
    <w:p w14:paraId="629033C1" w14:textId="12DF8AEC" w:rsidR="00B430C3" w:rsidRPr="00D443D6" w:rsidRDefault="00B430C3" w:rsidP="00B430C3">
      <w:pPr>
        <w:pStyle w:val="Heading2"/>
      </w:pPr>
      <w:bookmarkStart w:id="41" w:name="_Toc206886353"/>
      <w:bookmarkStart w:id="42" w:name="_Toc208699144"/>
      <w:r>
        <w:lastRenderedPageBreak/>
        <w:t>4.7</w:t>
      </w:r>
      <w:r>
        <w:tab/>
      </w:r>
      <w:r w:rsidRPr="00D443D6">
        <w:t xml:space="preserve">Limitations of the </w:t>
      </w:r>
      <w:r>
        <w:t>D</w:t>
      </w:r>
      <w:r w:rsidRPr="00D443D6">
        <w:t>esign</w:t>
      </w:r>
      <w:bookmarkEnd w:id="41"/>
      <w:bookmarkEnd w:id="42"/>
    </w:p>
    <w:p w14:paraId="3C581B50" w14:textId="0D78B465" w:rsidR="00B430C3" w:rsidRPr="00153F53" w:rsidRDefault="00B430C3" w:rsidP="00F72705">
      <w:pPr>
        <w:tabs>
          <w:tab w:val="left" w:pos="0"/>
          <w:tab w:val="left" w:pos="360"/>
        </w:tabs>
        <w:spacing w:before="100" w:beforeAutospacing="1" w:after="100" w:afterAutospacing="1" w:line="360" w:lineRule="auto"/>
        <w:jc w:val="both"/>
        <w:rPr>
          <w:kern w:val="0"/>
          <w14:ligatures w14:val="none"/>
        </w:rPr>
      </w:pPr>
      <w:r>
        <w:rPr>
          <w:kern w:val="0"/>
          <w14:ligatures w14:val="none"/>
        </w:rPr>
        <w:t>T</w:t>
      </w:r>
      <w:r w:rsidRPr="00B064B8">
        <w:rPr>
          <w:kern w:val="0"/>
          <w14:ligatures w14:val="none"/>
        </w:rPr>
        <w:t xml:space="preserve">he findings </w:t>
      </w:r>
      <w:r>
        <w:rPr>
          <w:kern w:val="0"/>
          <w14:ligatures w14:val="none"/>
        </w:rPr>
        <w:t>of the design meant that it was not possible to be entirely objective</w:t>
      </w:r>
      <w:r w:rsidRPr="00B064B8">
        <w:rPr>
          <w:kern w:val="0"/>
          <w14:ligatures w14:val="none"/>
        </w:rPr>
        <w:t xml:space="preserve"> by extending TOE and SDL constructs into the corporate trade finance domain</w:t>
      </w:r>
      <w:r>
        <w:rPr>
          <w:kern w:val="0"/>
          <w14:ligatures w14:val="none"/>
        </w:rPr>
        <w:t>s.</w:t>
      </w:r>
      <w:r w:rsidRPr="00B064B8">
        <w:rPr>
          <w:kern w:val="0"/>
          <w14:ligatures w14:val="none"/>
        </w:rPr>
        <w:t xml:space="preserve"> While researcher subjectivity is an inherent limitation of qualitative methods, the use of double coding, inter-</w:t>
      </w:r>
      <w:r>
        <w:rPr>
          <w:kern w:val="0"/>
          <w14:ligatures w14:val="none"/>
        </w:rPr>
        <w:t xml:space="preserve">rater reliability checks and triangulation with secondary data helps mitigate this concern. </w:t>
      </w:r>
      <w:r w:rsidRPr="00B430C3">
        <w:rPr>
          <w:kern w:val="0"/>
          <w14:ligatures w14:val="none"/>
        </w:rPr>
        <w:t xml:space="preserve">It is beyond the scope of this study to provide </w:t>
      </w:r>
      <w:proofErr w:type="spellStart"/>
      <w:r w:rsidRPr="00B430C3">
        <w:rPr>
          <w:kern w:val="0"/>
          <w14:ligatures w14:val="none"/>
        </w:rPr>
        <w:t>generalisable</w:t>
      </w:r>
      <w:proofErr w:type="spellEnd"/>
      <w:r w:rsidRPr="00B430C3">
        <w:rPr>
          <w:kern w:val="0"/>
          <w14:ligatures w14:val="none"/>
        </w:rPr>
        <w:t xml:space="preserve"> findings for other jurisdictions; however, this Hong Kong-specific embeddedness enhances its relevance to policymakers and practitioners within the city’s financial ecosystem.</w:t>
      </w:r>
    </w:p>
    <w:p w14:paraId="1E1FD4A3" w14:textId="0C7984DB" w:rsidR="00875391" w:rsidRPr="00B064B8" w:rsidRDefault="007779A3" w:rsidP="00E47E6E">
      <w:pPr>
        <w:pStyle w:val="Heading2"/>
        <w:numPr>
          <w:ilvl w:val="1"/>
          <w:numId w:val="7"/>
        </w:numPr>
        <w:tabs>
          <w:tab w:val="left" w:pos="0"/>
          <w:tab w:val="left" w:pos="360"/>
        </w:tabs>
        <w:spacing w:before="0" w:after="0"/>
        <w:rPr>
          <w:rFonts w:asciiTheme="minorHAnsi" w:hAnsiTheme="minorHAnsi"/>
        </w:rPr>
      </w:pPr>
      <w:bookmarkStart w:id="43" w:name="_Toc206886352"/>
      <w:bookmarkStart w:id="44" w:name="_Toc208699145"/>
      <w:r w:rsidRPr="00B064B8">
        <w:rPr>
          <w:rFonts w:asciiTheme="minorHAnsi" w:hAnsiTheme="minorHAnsi"/>
        </w:rPr>
        <w:t xml:space="preserve">Research </w:t>
      </w:r>
      <w:bookmarkEnd w:id="43"/>
      <w:r w:rsidR="002A4A96">
        <w:rPr>
          <w:rFonts w:asciiTheme="minorHAnsi" w:hAnsiTheme="minorHAnsi"/>
        </w:rPr>
        <w:t>Timeline</w:t>
      </w:r>
      <w:bookmarkEnd w:id="44"/>
    </w:p>
    <w:p w14:paraId="126A20CA" w14:textId="32D40B1B" w:rsidR="00102CB6" w:rsidRPr="00B064B8" w:rsidRDefault="002A5E3D" w:rsidP="00DC74BD">
      <w:pPr>
        <w:tabs>
          <w:tab w:val="left" w:pos="0"/>
          <w:tab w:val="left" w:pos="360"/>
        </w:tabs>
        <w:spacing w:before="100" w:beforeAutospacing="1" w:after="100" w:afterAutospacing="1" w:line="240" w:lineRule="auto"/>
        <w:jc w:val="center"/>
        <w:rPr>
          <w:rFonts w:eastAsiaTheme="majorEastAsia"/>
          <w:b/>
          <w:bCs/>
        </w:rPr>
      </w:pPr>
      <w:r w:rsidRPr="00B064B8">
        <w:rPr>
          <w:rStyle w:val="Strong"/>
          <w:rFonts w:eastAsiaTheme="majorEastAsia" w:cs="Arial"/>
          <w:color w:val="000000"/>
          <w:sz w:val="22"/>
          <w:szCs w:val="22"/>
        </w:rPr>
        <w:t xml:space="preserve">Diagram 2. </w:t>
      </w:r>
      <w:r w:rsidRPr="00B064B8">
        <w:rPr>
          <w:rStyle w:val="Strong"/>
          <w:rFonts w:eastAsiaTheme="majorEastAsia"/>
        </w:rPr>
        <w:t xml:space="preserve">Preliminary </w:t>
      </w:r>
      <w:r w:rsidR="00E5237C" w:rsidRPr="00B064B8">
        <w:rPr>
          <w:rStyle w:val="Strong"/>
          <w:rFonts w:eastAsiaTheme="majorEastAsia"/>
        </w:rPr>
        <w:t>24-Month</w:t>
      </w:r>
      <w:r w:rsidRPr="00B064B8">
        <w:rPr>
          <w:rStyle w:val="Strong"/>
          <w:rFonts w:eastAsiaTheme="majorEastAsia"/>
        </w:rPr>
        <w:t xml:space="preserve"> Project Plan</w:t>
      </w:r>
      <w:r w:rsidRPr="00B064B8">
        <w:rPr>
          <w:rFonts w:eastAsia="Times New Roman" w:cs="Arial"/>
          <w:noProof/>
          <w:color w:val="000000"/>
          <w:kern w:val="0"/>
          <w:sz w:val="22"/>
          <w:szCs w:val="22"/>
          <w14:ligatures w14:val="none"/>
        </w:rPr>
        <w:drawing>
          <wp:inline distT="0" distB="0" distL="0" distR="0" wp14:anchorId="2363C368" wp14:editId="192AE547">
            <wp:extent cx="5943600" cy="4064668"/>
            <wp:effectExtent l="0" t="0" r="0" b="0"/>
            <wp:docPr id="442674368" name="Picture 1" descr="A project plan with multiple colored box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674368" name="Picture 1" descr="A project plan with multiple colored boxes&#10;&#10;AI-generated content may be incorrect."/>
                    <pic:cNvPicPr/>
                  </pic:nvPicPr>
                  <pic:blipFill rotWithShape="1">
                    <a:blip r:embed="rId13"/>
                    <a:srcRect t="8817"/>
                    <a:stretch>
                      <a:fillRect/>
                    </a:stretch>
                  </pic:blipFill>
                  <pic:spPr bwMode="auto">
                    <a:xfrm>
                      <a:off x="0" y="0"/>
                      <a:ext cx="5943600" cy="4064668"/>
                    </a:xfrm>
                    <a:prstGeom prst="rect">
                      <a:avLst/>
                    </a:prstGeom>
                    <a:ln>
                      <a:noFill/>
                    </a:ln>
                    <a:extLst>
                      <a:ext uri="{53640926-AAD7-44D8-BBD7-CCE9431645EC}">
                        <a14:shadowObscured xmlns:a14="http://schemas.microsoft.com/office/drawing/2010/main"/>
                      </a:ext>
                    </a:extLst>
                  </pic:spPr>
                </pic:pic>
              </a:graphicData>
            </a:graphic>
          </wp:inline>
        </w:drawing>
      </w:r>
    </w:p>
    <w:p w14:paraId="55B8663A" w14:textId="62F96814" w:rsidR="00875391" w:rsidRPr="00B064B8" w:rsidRDefault="00D443D6" w:rsidP="00E47E6E">
      <w:pPr>
        <w:pStyle w:val="Heading2"/>
        <w:numPr>
          <w:ilvl w:val="1"/>
          <w:numId w:val="5"/>
        </w:numPr>
        <w:tabs>
          <w:tab w:val="left" w:pos="0"/>
          <w:tab w:val="left" w:pos="360"/>
        </w:tabs>
        <w:ind w:left="630" w:hanging="630"/>
        <w:rPr>
          <w:rFonts w:asciiTheme="minorHAnsi" w:eastAsia="Times New Roman" w:hAnsiTheme="minorHAnsi" w:cs="Arial"/>
          <w:color w:val="000000"/>
          <w:kern w:val="0"/>
          <w:sz w:val="22"/>
          <w:szCs w:val="22"/>
          <w14:ligatures w14:val="none"/>
        </w:rPr>
      </w:pPr>
      <w:bookmarkStart w:id="45" w:name="_Toc206886354"/>
      <w:r>
        <w:rPr>
          <w:rFonts w:asciiTheme="minorHAnsi" w:hAnsiTheme="minorHAnsi"/>
        </w:rPr>
        <w:lastRenderedPageBreak/>
        <w:tab/>
      </w:r>
      <w:bookmarkStart w:id="46" w:name="_Toc208699146"/>
      <w:r w:rsidR="007779A3" w:rsidRPr="00B064B8">
        <w:rPr>
          <w:rFonts w:asciiTheme="minorHAnsi" w:hAnsiTheme="minorHAnsi"/>
        </w:rPr>
        <w:t xml:space="preserve">Conclusion to </w:t>
      </w:r>
      <w:r w:rsidR="002A4A96">
        <w:rPr>
          <w:rFonts w:asciiTheme="minorHAnsi" w:hAnsiTheme="minorHAnsi"/>
        </w:rPr>
        <w:t xml:space="preserve">Section </w:t>
      </w:r>
      <w:r w:rsidR="00875391" w:rsidRPr="00B064B8">
        <w:rPr>
          <w:rFonts w:asciiTheme="minorHAnsi" w:hAnsiTheme="minorHAnsi"/>
        </w:rPr>
        <w:t>4</w:t>
      </w:r>
      <w:bookmarkEnd w:id="45"/>
      <w:bookmarkEnd w:id="46"/>
    </w:p>
    <w:p w14:paraId="63F3FB8F" w14:textId="79F31C32" w:rsidR="001F0DFC" w:rsidRPr="00B064B8" w:rsidRDefault="001F0DFC" w:rsidP="001F0DFC">
      <w:pPr>
        <w:pStyle w:val="NoSpacing"/>
        <w:spacing w:line="360" w:lineRule="auto"/>
        <w:jc w:val="both"/>
      </w:pPr>
      <w:bookmarkStart w:id="47" w:name="_Toc206886355"/>
      <w:r w:rsidRPr="00B064B8">
        <w:rPr>
          <w:kern w:val="0"/>
          <w14:ligatures w14:val="none"/>
        </w:rPr>
        <w:t xml:space="preserve">This chapter </w:t>
      </w:r>
      <w:r w:rsidR="00777963">
        <w:rPr>
          <w:kern w:val="0"/>
          <w14:ligatures w14:val="none"/>
        </w:rPr>
        <w:t>outline</w:t>
      </w:r>
      <w:r w:rsidRPr="00B064B8">
        <w:rPr>
          <w:kern w:val="0"/>
          <w14:ligatures w14:val="none"/>
        </w:rPr>
        <w:t xml:space="preserve">s the study’s philosophical foundations, qualitative approach, and data analysis methods, </w:t>
      </w:r>
      <w:r w:rsidR="00777963">
        <w:rPr>
          <w:kern w:val="0"/>
          <w14:ligatures w14:val="none"/>
        </w:rPr>
        <w:t>illu</w:t>
      </w:r>
      <w:r w:rsidRPr="00B064B8">
        <w:rPr>
          <w:kern w:val="0"/>
          <w14:ligatures w14:val="none"/>
        </w:rPr>
        <w:t xml:space="preserve">strating how interpretivism and critical realism </w:t>
      </w:r>
      <w:r w:rsidR="00777963">
        <w:rPr>
          <w:kern w:val="0"/>
          <w14:ligatures w14:val="none"/>
        </w:rPr>
        <w:t>inform</w:t>
      </w:r>
      <w:r w:rsidRPr="00B064B8">
        <w:rPr>
          <w:kern w:val="0"/>
          <w14:ligatures w14:val="none"/>
        </w:rPr>
        <w:t xml:space="preserve"> the </w:t>
      </w:r>
      <w:r w:rsidR="004A1710">
        <w:rPr>
          <w:kern w:val="0"/>
          <w14:ligatures w14:val="none"/>
        </w:rPr>
        <w:t xml:space="preserve">Investigation into adoption and </w:t>
      </w:r>
      <w:proofErr w:type="spellStart"/>
      <w:r w:rsidR="004A1710">
        <w:rPr>
          <w:kern w:val="0"/>
          <w14:ligatures w14:val="none"/>
        </w:rPr>
        <w:t>monetisation</w:t>
      </w:r>
      <w:proofErr w:type="spellEnd"/>
      <w:r w:rsidR="004A1710">
        <w:rPr>
          <w:kern w:val="0"/>
          <w14:ligatures w14:val="none"/>
        </w:rPr>
        <w:t xml:space="preserve"> in Hong Kong. By integrating interviews, focus </w:t>
      </w:r>
      <w:r w:rsidRPr="00B064B8">
        <w:rPr>
          <w:kern w:val="0"/>
          <w14:ligatures w14:val="none"/>
        </w:rPr>
        <w:t xml:space="preserve">groups, and secondary data with detailed coding and triangulation, the design ensures both contextual depth and analytical trustworthiness. </w:t>
      </w:r>
      <w:r w:rsidR="00ED2D81" w:rsidRPr="00ED2D81">
        <w:rPr>
          <w:kern w:val="0"/>
          <w14:ligatures w14:val="none"/>
        </w:rPr>
        <w:t>Building on this methodological foundation, the study advances philosophical debates by demonstrating how interpretivism and critical realism can be mobilised together to theorise adoption and monetisation.</w:t>
      </w:r>
    </w:p>
    <w:p w14:paraId="32A392D3" w14:textId="3127EE76" w:rsidR="00E5237C" w:rsidRPr="00B064B8" w:rsidRDefault="00E5237C" w:rsidP="00E47E6E">
      <w:pPr>
        <w:pStyle w:val="Heading1"/>
        <w:numPr>
          <w:ilvl w:val="0"/>
          <w:numId w:val="7"/>
        </w:numPr>
        <w:tabs>
          <w:tab w:val="left" w:pos="0"/>
          <w:tab w:val="left" w:pos="360"/>
        </w:tabs>
        <w:rPr>
          <w:rFonts w:asciiTheme="minorHAnsi" w:hAnsiTheme="minorHAnsi"/>
        </w:rPr>
      </w:pPr>
      <w:bookmarkStart w:id="48" w:name="OLE_LINK1"/>
      <w:bookmarkStart w:id="49" w:name="_Toc208699147"/>
      <w:r w:rsidRPr="00B064B8">
        <w:rPr>
          <w:rFonts w:asciiTheme="minorHAnsi" w:hAnsiTheme="minorHAnsi"/>
        </w:rPr>
        <w:t>Advance Your Philosophical Understanding of Research Approaches</w:t>
      </w:r>
      <w:bookmarkEnd w:id="47"/>
      <w:bookmarkEnd w:id="49"/>
    </w:p>
    <w:bookmarkEnd w:id="48"/>
    <w:p w14:paraId="7638C20C" w14:textId="132D7E27" w:rsidR="00D443D6" w:rsidRDefault="00D443D6" w:rsidP="00D443D6">
      <w:pPr>
        <w:tabs>
          <w:tab w:val="left" w:pos="0"/>
          <w:tab w:val="left" w:pos="360"/>
        </w:tabs>
        <w:spacing w:before="100" w:beforeAutospacing="1" w:after="100" w:afterAutospacing="1" w:line="360" w:lineRule="auto"/>
        <w:jc w:val="both"/>
        <w:rPr>
          <w:kern w:val="0"/>
          <w14:ligatures w14:val="none"/>
        </w:rPr>
      </w:pPr>
      <w:r>
        <w:rPr>
          <w:kern w:val="0"/>
          <w14:ligatures w14:val="none"/>
        </w:rPr>
        <w:t>Advancing the philosophical foundation of this study requires a pluralistic approach. By combining interpretivism, which captures the meanings treasurers assign to risk and trust, with critical realism, which recognises institutional and regulatory structures, the study views monetisation as influenced by both human agency and systemic factors. This dual approach provides rich contextual insights while situating them within the broader realities of Hong Kong’s financial ecosystem.</w:t>
      </w:r>
    </w:p>
    <w:p w14:paraId="23C8CFEB" w14:textId="315CF607" w:rsidR="00875391" w:rsidRPr="00B064B8" w:rsidRDefault="00E5237C" w:rsidP="00E47E6E">
      <w:pPr>
        <w:pStyle w:val="Heading2"/>
        <w:numPr>
          <w:ilvl w:val="1"/>
          <w:numId w:val="3"/>
        </w:numPr>
        <w:tabs>
          <w:tab w:val="left" w:pos="0"/>
          <w:tab w:val="left" w:pos="360"/>
        </w:tabs>
        <w:ind w:left="0" w:firstLine="0"/>
        <w:rPr>
          <w:rFonts w:asciiTheme="minorHAnsi" w:hAnsiTheme="minorHAnsi"/>
        </w:rPr>
      </w:pPr>
      <w:bookmarkStart w:id="50" w:name="_Toc206886356"/>
      <w:bookmarkStart w:id="51" w:name="_Toc208699148"/>
      <w:r w:rsidRPr="00B064B8">
        <w:rPr>
          <w:rFonts w:asciiTheme="minorHAnsi" w:hAnsiTheme="minorHAnsi"/>
        </w:rPr>
        <w:t xml:space="preserve">Innovation of the </w:t>
      </w:r>
      <w:r w:rsidR="002A4A96">
        <w:rPr>
          <w:rFonts w:asciiTheme="minorHAnsi" w:hAnsiTheme="minorHAnsi"/>
        </w:rPr>
        <w:t>R</w:t>
      </w:r>
      <w:r w:rsidRPr="00B064B8">
        <w:rPr>
          <w:rFonts w:asciiTheme="minorHAnsi" w:hAnsiTheme="minorHAnsi"/>
        </w:rPr>
        <w:t xml:space="preserve">esearch </w:t>
      </w:r>
      <w:r w:rsidR="002A4A96">
        <w:rPr>
          <w:rFonts w:asciiTheme="minorHAnsi" w:hAnsiTheme="minorHAnsi"/>
        </w:rPr>
        <w:t>F</w:t>
      </w:r>
      <w:r w:rsidRPr="00B064B8">
        <w:rPr>
          <w:rFonts w:asciiTheme="minorHAnsi" w:hAnsiTheme="minorHAnsi"/>
        </w:rPr>
        <w:t>ramework</w:t>
      </w:r>
      <w:bookmarkEnd w:id="50"/>
      <w:bookmarkEnd w:id="51"/>
    </w:p>
    <w:p w14:paraId="4FBC09D0" w14:textId="6FD62D1D" w:rsidR="002C2D1D" w:rsidRPr="00B064B8" w:rsidRDefault="00D443D6" w:rsidP="002C2D1D">
      <w:pPr>
        <w:spacing w:line="360" w:lineRule="auto"/>
        <w:jc w:val="both"/>
      </w:pPr>
      <w:r>
        <w:rPr>
          <w:kern w:val="0"/>
          <w14:ligatures w14:val="none"/>
        </w:rPr>
        <w:t xml:space="preserve">This study presents a sophisticated philosophical approach by integrating interpretivism and critical realism to examine adoption and monetisation in corporate trade finance. </w:t>
      </w:r>
      <w:r w:rsidR="004A1710">
        <w:rPr>
          <w:kern w:val="0"/>
          <w14:ligatures w14:val="none"/>
        </w:rPr>
        <w:t xml:space="preserve">Interpretivism offers the perspective through which corporate managers’ lived experiences, </w:t>
      </w:r>
      <w:r>
        <w:rPr>
          <w:kern w:val="0"/>
          <w14:ligatures w14:val="none"/>
        </w:rPr>
        <w:t>perceptions of trust, and interpretations of risk can be understood within their organisational contexts. However, the study uses critical realism to recognise the existence of underlying institutional, regulatory, and technological structures that influence, but do not fully determine, adoption behaviour. This dual approach ensures the analysis captures both the meanings constructed by actors and the structural conditions that limit their choices.</w:t>
      </w:r>
    </w:p>
    <w:p w14:paraId="7BD14DD8" w14:textId="369C54B3" w:rsidR="002C2D1D" w:rsidRPr="00B064B8" w:rsidRDefault="002C2D1D" w:rsidP="002C2D1D">
      <w:pPr>
        <w:spacing w:line="360" w:lineRule="auto"/>
        <w:jc w:val="both"/>
      </w:pPr>
      <w:r w:rsidRPr="00B064B8">
        <w:rPr>
          <w:kern w:val="0"/>
          <w14:ligatures w14:val="none"/>
        </w:rPr>
        <w:lastRenderedPageBreak/>
        <w:t>In advancing this philosophical understanding, the study also critically examines the limits of alternative paradigms. A positivist approach, while providing generalisable insights through large-scale surveys, risks oversimplifying the compliance-driven, multi-stakeholder dynamics of Hong Kong treasuries. Similarly, a purely interpretivist ethnography might produce deep narratives but lack sufficient structure to guide practical strategies for adoption and monetisation. By contrast, critical realism offers a middle ground: it recognises that adoption is a socially mediated process, yet one rooted in material and regulatory frameworks such as HKMA’s digitalisation agenda and global compliance regimes.</w:t>
      </w:r>
    </w:p>
    <w:p w14:paraId="27A45D25" w14:textId="0239186A" w:rsidR="002C2D1D" w:rsidRPr="00B064B8" w:rsidRDefault="002C2D1D" w:rsidP="002C2D1D">
      <w:pPr>
        <w:spacing w:line="360" w:lineRule="auto"/>
        <w:jc w:val="both"/>
      </w:pPr>
      <w:r w:rsidRPr="00B064B8">
        <w:t xml:space="preserve">This philosophical stance contributes to the advancement of research approaches in </w:t>
      </w:r>
      <w:r w:rsidR="004A1710">
        <w:t xml:space="preserve">Business and management studies in three respects. First, it demonstrates that digital </w:t>
      </w:r>
      <w:r w:rsidRPr="00B064B8">
        <w:t>adoption research benefits from methodological pluralism, where behavioural, structural, and relational dimensions can be integrated. Second, it illustrates how risk governance and talent readiness</w:t>
      </w:r>
      <w:r w:rsidR="00777963">
        <w:t xml:space="preserve"> </w:t>
      </w:r>
      <w:r w:rsidRPr="00B064B8">
        <w:t xml:space="preserve">concepts highlighted in the </w:t>
      </w:r>
      <w:r w:rsidR="0099453E">
        <w:t>80</w:t>
      </w:r>
      <w:r w:rsidRPr="00B064B8">
        <w:t>study</w:t>
      </w:r>
      <w:r w:rsidR="00777963">
        <w:t xml:space="preserve"> </w:t>
      </w:r>
      <w:r w:rsidRPr="00B064B8">
        <w:t xml:space="preserve">can be regarded as </w:t>
      </w:r>
      <w:r w:rsidR="00777963">
        <w:t>both</w:t>
      </w:r>
      <w:r w:rsidRPr="00B064B8">
        <w:t xml:space="preserve"> </w:t>
      </w:r>
      <w:r w:rsidR="00777963">
        <w:t>epistemologica</w:t>
      </w:r>
      <w:r w:rsidRPr="00B064B8">
        <w:t>l a</w:t>
      </w:r>
      <w:r w:rsidR="00777963">
        <w:t>nd</w:t>
      </w:r>
      <w:r w:rsidRPr="00B064B8">
        <w:t xml:space="preserve"> practical concerns, requiring frameworks that bridge subjective experience with systemic imperatives. Third, it contributes to the discipline by showing how interpretivism and critical realism can be mobilised not only to generate context-rich insights but also to theorise pathways of value capture, thereby extending adoption research into the underexplored terrain of monetisation.</w:t>
      </w:r>
    </w:p>
    <w:p w14:paraId="3936A477" w14:textId="78578EC4" w:rsidR="00835FEE" w:rsidRPr="00B064B8" w:rsidRDefault="00D443D6" w:rsidP="002C2D1D">
      <w:pPr>
        <w:spacing w:line="360" w:lineRule="auto"/>
        <w:jc w:val="both"/>
      </w:pPr>
      <w:r>
        <w:t xml:space="preserve">To investigate the research framework, the </w:t>
      </w:r>
      <w:r w:rsidR="002C2D1D" w:rsidRPr="00B064B8">
        <w:t xml:space="preserve">study advances philosophical understanding by positioning adoption and monetisation as negotiated processes, shaped simultaneously by human agency and institutional structures. </w:t>
      </w:r>
      <w:r>
        <w:t>It</w:t>
      </w:r>
      <w:r w:rsidR="002C2D1D" w:rsidRPr="00B064B8">
        <w:t xml:space="preserve"> provides a nuanced and thorough account that </w:t>
      </w:r>
      <w:r w:rsidR="004A1710">
        <w:t xml:space="preserve">extends beyond traditional binaries, thus aligning with the module’s focus on </w:t>
      </w:r>
      <w:r w:rsidR="002C2D1D" w:rsidRPr="00B064B8">
        <w:t>developing a systematic and advanced philosophical understanding of research approaches</w:t>
      </w:r>
      <w:r w:rsidR="00777963">
        <w:t>.</w:t>
      </w:r>
    </w:p>
    <w:p w14:paraId="509D950D" w14:textId="76BCB383" w:rsidR="00875391" w:rsidRPr="00B064B8" w:rsidRDefault="00E5237C" w:rsidP="00E47E6E">
      <w:pPr>
        <w:pStyle w:val="Heading2"/>
        <w:numPr>
          <w:ilvl w:val="1"/>
          <w:numId w:val="3"/>
        </w:numPr>
        <w:tabs>
          <w:tab w:val="left" w:pos="0"/>
          <w:tab w:val="left" w:pos="360"/>
        </w:tabs>
        <w:ind w:left="0" w:firstLine="0"/>
        <w:rPr>
          <w:rFonts w:asciiTheme="minorHAnsi" w:eastAsia="Times New Roman" w:hAnsiTheme="minorHAnsi" w:cs="Arial"/>
          <w:color w:val="000000"/>
          <w:kern w:val="0"/>
          <w:sz w:val="22"/>
          <w:szCs w:val="22"/>
          <w14:ligatures w14:val="none"/>
        </w:rPr>
      </w:pPr>
      <w:bookmarkStart w:id="52" w:name="_Toc206886357"/>
      <w:bookmarkStart w:id="53" w:name="_Toc208699149"/>
      <w:r w:rsidRPr="00B064B8">
        <w:rPr>
          <w:rFonts w:asciiTheme="minorHAnsi" w:hAnsiTheme="minorHAnsi"/>
        </w:rPr>
        <w:t xml:space="preserve">Theoretical </w:t>
      </w:r>
      <w:r w:rsidR="002A4A96">
        <w:rPr>
          <w:rFonts w:asciiTheme="minorHAnsi" w:hAnsiTheme="minorHAnsi"/>
        </w:rPr>
        <w:t>C</w:t>
      </w:r>
      <w:r w:rsidRPr="00B064B8">
        <w:rPr>
          <w:rFonts w:asciiTheme="minorHAnsi" w:hAnsiTheme="minorHAnsi"/>
        </w:rPr>
        <w:t>ontributions</w:t>
      </w:r>
      <w:bookmarkEnd w:id="52"/>
      <w:bookmarkEnd w:id="53"/>
    </w:p>
    <w:p w14:paraId="3667C246" w14:textId="7D68082E" w:rsidR="002C2D1D" w:rsidRPr="00B064B8" w:rsidRDefault="00D443D6" w:rsidP="002C2D1D">
      <w:pPr>
        <w:pStyle w:val="NormalWeb"/>
        <w:spacing w:line="360" w:lineRule="auto"/>
        <w:jc w:val="both"/>
        <w:rPr>
          <w:rFonts w:asciiTheme="minorHAnsi" w:eastAsiaTheme="minorEastAsia" w:hAnsiTheme="minorHAnsi" w:cstheme="minorBidi"/>
        </w:rPr>
      </w:pPr>
      <w:r>
        <w:rPr>
          <w:rFonts w:asciiTheme="minorHAnsi" w:eastAsiaTheme="minorEastAsia" w:hAnsiTheme="minorHAnsi" w:cstheme="minorBidi"/>
        </w:rPr>
        <w:t xml:space="preserve">The result </w:t>
      </w:r>
      <w:r w:rsidR="002C2D1D" w:rsidRPr="00B064B8">
        <w:rPr>
          <w:rFonts w:asciiTheme="minorHAnsi" w:eastAsiaTheme="minorEastAsia" w:hAnsiTheme="minorHAnsi" w:cstheme="minorBidi"/>
        </w:rPr>
        <w:t>advances theor</w:t>
      </w:r>
      <w:r w:rsidR="00BB6AAE">
        <w:rPr>
          <w:rFonts w:asciiTheme="minorHAnsi" w:eastAsiaTheme="minorEastAsia" w:hAnsiTheme="minorHAnsi" w:cstheme="minorBidi"/>
        </w:rPr>
        <w:t>e</w:t>
      </w:r>
      <w:r w:rsidR="002C2D1D" w:rsidRPr="00B064B8">
        <w:rPr>
          <w:rFonts w:asciiTheme="minorHAnsi" w:eastAsiaTheme="minorEastAsia" w:hAnsiTheme="minorHAnsi" w:cstheme="minorBidi"/>
        </w:rPr>
        <w:t>tical understanding in three inter</w:t>
      </w:r>
      <w:r w:rsidR="00E67B87">
        <w:rPr>
          <w:rFonts w:asciiTheme="minorHAnsi" w:eastAsiaTheme="minorEastAsia" w:hAnsiTheme="minorHAnsi" w:cstheme="minorBidi"/>
        </w:rPr>
        <w:t>connec</w:t>
      </w:r>
      <w:r w:rsidR="002C2D1D" w:rsidRPr="00B064B8">
        <w:rPr>
          <w:rFonts w:asciiTheme="minorHAnsi" w:eastAsiaTheme="minorEastAsia" w:hAnsiTheme="minorHAnsi" w:cstheme="minorBidi"/>
        </w:rPr>
        <w:t>ted ways.</w:t>
      </w:r>
      <w:r w:rsidR="004D2B08" w:rsidRPr="004D2B08">
        <w:t xml:space="preserve"> </w:t>
      </w:r>
      <w:r w:rsidR="004D2B08" w:rsidRPr="004D2B08">
        <w:rPr>
          <w:rFonts w:asciiTheme="minorHAnsi" w:eastAsiaTheme="minorEastAsia" w:hAnsiTheme="minorHAnsi" w:cstheme="minorBidi"/>
        </w:rPr>
        <w:t xml:space="preserve">This study contributes by reframing adoption not as an end-state but as a precursor to </w:t>
      </w:r>
      <w:proofErr w:type="spellStart"/>
      <w:r w:rsidR="004D2B08" w:rsidRPr="004D2B08">
        <w:rPr>
          <w:rFonts w:asciiTheme="minorHAnsi" w:eastAsiaTheme="minorEastAsia" w:hAnsiTheme="minorHAnsi" w:cstheme="minorBidi"/>
        </w:rPr>
        <w:t>monetisation</w:t>
      </w:r>
      <w:proofErr w:type="spellEnd"/>
      <w:r w:rsidR="004D2B08" w:rsidRPr="004D2B08">
        <w:rPr>
          <w:rFonts w:asciiTheme="minorHAnsi" w:eastAsiaTheme="minorEastAsia" w:hAnsiTheme="minorHAnsi" w:cstheme="minorBidi"/>
        </w:rPr>
        <w:t xml:space="preserve">, </w:t>
      </w:r>
      <w:proofErr w:type="spellStart"/>
      <w:r w:rsidR="004D2B08" w:rsidRPr="004D2B08">
        <w:rPr>
          <w:rFonts w:asciiTheme="minorHAnsi" w:eastAsiaTheme="minorEastAsia" w:hAnsiTheme="minorHAnsi" w:cstheme="minorBidi"/>
        </w:rPr>
        <w:t>operationalised</w:t>
      </w:r>
      <w:proofErr w:type="spellEnd"/>
      <w:r w:rsidR="004D2B08" w:rsidRPr="004D2B08">
        <w:rPr>
          <w:rFonts w:asciiTheme="minorHAnsi" w:eastAsiaTheme="minorEastAsia" w:hAnsiTheme="minorHAnsi" w:cstheme="minorBidi"/>
        </w:rPr>
        <w:t xml:space="preserve"> through risk governance and talent readiness.</w:t>
      </w:r>
      <w:r w:rsidR="00BB6AAE" w:rsidRPr="00BB6AAE">
        <w:t xml:space="preserve"> </w:t>
      </w:r>
      <w:r w:rsidR="00BB6AAE" w:rsidRPr="00BB6AAE">
        <w:rPr>
          <w:rFonts w:asciiTheme="minorHAnsi" w:eastAsiaTheme="minorEastAsia" w:hAnsiTheme="minorHAnsi" w:cstheme="minorBidi"/>
        </w:rPr>
        <w:t xml:space="preserve">Unlike prior adoption studies </w:t>
      </w:r>
      <w:r w:rsidR="00BB6AAE" w:rsidRPr="00BB6AAE">
        <w:rPr>
          <w:rFonts w:asciiTheme="minorHAnsi" w:eastAsiaTheme="minorEastAsia" w:hAnsiTheme="minorHAnsi" w:cstheme="minorBidi"/>
        </w:rPr>
        <w:lastRenderedPageBreak/>
        <w:t xml:space="preserve">that treat adoption as an endpoint, this study </w:t>
      </w:r>
      <w:proofErr w:type="spellStart"/>
      <w:r w:rsidR="00BB6AAE" w:rsidRPr="00BB6AAE">
        <w:rPr>
          <w:rFonts w:asciiTheme="minorHAnsi" w:eastAsiaTheme="minorEastAsia" w:hAnsiTheme="minorHAnsi" w:cstheme="minorBidi"/>
        </w:rPr>
        <w:t>conceptualises</w:t>
      </w:r>
      <w:proofErr w:type="spellEnd"/>
      <w:r w:rsidR="00BB6AAE" w:rsidRPr="00BB6AAE">
        <w:rPr>
          <w:rFonts w:asciiTheme="minorHAnsi" w:eastAsiaTheme="minorEastAsia" w:hAnsiTheme="minorHAnsi" w:cstheme="minorBidi"/>
        </w:rPr>
        <w:t xml:space="preserve"> </w:t>
      </w:r>
      <w:proofErr w:type="spellStart"/>
      <w:r w:rsidR="00BB6AAE" w:rsidRPr="00BB6AAE">
        <w:rPr>
          <w:rFonts w:asciiTheme="minorHAnsi" w:eastAsiaTheme="minorEastAsia" w:hAnsiTheme="minorHAnsi" w:cstheme="minorBidi"/>
        </w:rPr>
        <w:t>monetisation</w:t>
      </w:r>
      <w:proofErr w:type="spellEnd"/>
      <w:r w:rsidR="00BB6AAE" w:rsidRPr="00BB6AAE">
        <w:rPr>
          <w:rFonts w:asciiTheme="minorHAnsi" w:eastAsiaTheme="minorEastAsia" w:hAnsiTheme="minorHAnsi" w:cstheme="minorBidi"/>
        </w:rPr>
        <w:t xml:space="preserve"> as the outcome, </w:t>
      </w:r>
      <w:proofErr w:type="spellStart"/>
      <w:r w:rsidR="00BB6AAE" w:rsidRPr="00BB6AAE">
        <w:rPr>
          <w:rFonts w:asciiTheme="minorHAnsi" w:eastAsiaTheme="minorEastAsia" w:hAnsiTheme="minorHAnsi" w:cstheme="minorBidi"/>
        </w:rPr>
        <w:t>operationalised</w:t>
      </w:r>
      <w:proofErr w:type="spellEnd"/>
      <w:r w:rsidR="00BB6AAE" w:rsidRPr="00BB6AAE">
        <w:rPr>
          <w:rFonts w:asciiTheme="minorHAnsi" w:eastAsiaTheme="minorEastAsia" w:hAnsiTheme="minorHAnsi" w:cstheme="minorBidi"/>
        </w:rPr>
        <w:t xml:space="preserve"> through risk governance and talent as enabling mechanisms.</w:t>
      </w:r>
    </w:p>
    <w:p w14:paraId="7D64F1A1" w14:textId="143133A4" w:rsidR="002C2D1D" w:rsidRPr="00E54E80" w:rsidRDefault="00810AD7" w:rsidP="002C2D1D">
      <w:pPr>
        <w:pStyle w:val="NormalWeb"/>
        <w:spacing w:line="360" w:lineRule="auto"/>
        <w:jc w:val="both"/>
        <w:rPr>
          <w:rFonts w:asciiTheme="minorHAnsi" w:eastAsiaTheme="minorEastAsia" w:hAnsiTheme="minorHAnsi" w:cstheme="minorBidi"/>
        </w:rPr>
      </w:pPr>
      <w:r w:rsidRPr="00E54E80">
        <w:rPr>
          <w:rFonts w:asciiTheme="minorHAnsi" w:hAnsiTheme="minorHAnsi"/>
        </w:rPr>
        <w:t xml:space="preserve">Firstly, it uses adoption constructs that are common in consumer and SME environments, especially within the collective, compliance-driven setting of corporate treasuries. Constructs such as compatibility, trust, and risk are reinterpreted to reflect </w:t>
      </w:r>
      <w:proofErr w:type="spellStart"/>
      <w:r w:rsidRPr="00E54E80">
        <w:rPr>
          <w:rFonts w:asciiTheme="minorHAnsi" w:hAnsiTheme="minorHAnsi"/>
        </w:rPr>
        <w:t>organisational</w:t>
      </w:r>
      <w:proofErr w:type="spellEnd"/>
      <w:r w:rsidRPr="00E54E80">
        <w:rPr>
          <w:rFonts w:asciiTheme="minorHAnsi" w:hAnsiTheme="minorHAnsi"/>
        </w:rPr>
        <w:t xml:space="preserve"> </w:t>
      </w:r>
      <w:r w:rsidR="00E54E80" w:rsidRPr="00E54E80">
        <w:rPr>
          <w:rFonts w:asciiTheme="minorHAnsi" w:hAnsiTheme="minorHAnsi"/>
        </w:rPr>
        <w:t xml:space="preserve">realities: compatibility relates to the integration of workflow with treasury systems, trust as </w:t>
      </w:r>
      <w:r w:rsidRPr="00E54E80">
        <w:rPr>
          <w:rFonts w:asciiTheme="minorHAnsi" w:hAnsiTheme="minorHAnsi"/>
        </w:rPr>
        <w:t xml:space="preserve">institutional credibility enhanced by regulatory oversight, and risk as a multidimensional </w:t>
      </w:r>
      <w:r w:rsidR="00E54E80" w:rsidRPr="00E54E80">
        <w:rPr>
          <w:rFonts w:asciiTheme="minorHAnsi" w:hAnsiTheme="minorHAnsi"/>
        </w:rPr>
        <w:t xml:space="preserve">concept covering regulatory, reputational, and systemic concerns (Singh, 2023; </w:t>
      </w:r>
      <w:proofErr w:type="spellStart"/>
      <w:r w:rsidRPr="00E54E80">
        <w:rPr>
          <w:rFonts w:asciiTheme="minorHAnsi" w:hAnsiTheme="minorHAnsi"/>
        </w:rPr>
        <w:t>Montazemi</w:t>
      </w:r>
      <w:proofErr w:type="spellEnd"/>
      <w:r w:rsidRPr="00E54E80">
        <w:rPr>
          <w:rFonts w:asciiTheme="minorHAnsi" w:hAnsiTheme="minorHAnsi"/>
        </w:rPr>
        <w:t xml:space="preserve"> &amp; </w:t>
      </w:r>
      <w:proofErr w:type="spellStart"/>
      <w:r w:rsidRPr="00E54E80">
        <w:rPr>
          <w:rFonts w:asciiTheme="minorHAnsi" w:hAnsiTheme="minorHAnsi"/>
        </w:rPr>
        <w:t>Qahri</w:t>
      </w:r>
      <w:proofErr w:type="spellEnd"/>
      <w:r w:rsidRPr="00E54E80">
        <w:rPr>
          <w:rFonts w:asciiTheme="minorHAnsi" w:hAnsiTheme="minorHAnsi"/>
        </w:rPr>
        <w:t xml:space="preserve">-Saremi, 2015). This redefinition </w:t>
      </w:r>
      <w:r w:rsidR="00E54E80" w:rsidRPr="00E54E80">
        <w:rPr>
          <w:rFonts w:asciiTheme="minorHAnsi" w:hAnsiTheme="minorHAnsi"/>
        </w:rPr>
        <w:t>broaden</w:t>
      </w:r>
      <w:r w:rsidRPr="00E54E80">
        <w:rPr>
          <w:rFonts w:asciiTheme="minorHAnsi" w:hAnsiTheme="minorHAnsi"/>
        </w:rPr>
        <w:t>s the Technology–</w:t>
      </w:r>
      <w:proofErr w:type="spellStart"/>
      <w:r w:rsidRPr="00E54E80">
        <w:rPr>
          <w:rFonts w:asciiTheme="minorHAnsi" w:hAnsiTheme="minorHAnsi"/>
        </w:rPr>
        <w:t>Organisation</w:t>
      </w:r>
      <w:proofErr w:type="spellEnd"/>
      <w:r w:rsidRPr="00E54E80">
        <w:rPr>
          <w:rFonts w:asciiTheme="minorHAnsi" w:hAnsiTheme="minorHAnsi"/>
        </w:rPr>
        <w:t>–Environment (TOE) framework, illustrating that adoption must be understood as both socially negotiated and structurally constrained.</w:t>
      </w:r>
    </w:p>
    <w:p w14:paraId="2496A214" w14:textId="00BAEA03" w:rsidR="002C2D1D" w:rsidRPr="00E54E80" w:rsidRDefault="00E54E80" w:rsidP="002C2D1D">
      <w:pPr>
        <w:pStyle w:val="NormalWeb"/>
        <w:spacing w:line="360" w:lineRule="auto"/>
        <w:jc w:val="both"/>
        <w:rPr>
          <w:rFonts w:asciiTheme="minorHAnsi" w:eastAsiaTheme="minorEastAsia" w:hAnsiTheme="minorHAnsi" w:cstheme="minorBidi"/>
        </w:rPr>
      </w:pPr>
      <w:r w:rsidRPr="00E54E80">
        <w:rPr>
          <w:rFonts w:asciiTheme="minorHAnsi" w:hAnsiTheme="minorHAnsi"/>
        </w:rPr>
        <w:t xml:space="preserve">Secondly, it introduces the Risk–Talent Nexus, a new perspective </w:t>
      </w:r>
      <w:proofErr w:type="spellStart"/>
      <w:r w:rsidRPr="00E54E80">
        <w:rPr>
          <w:rFonts w:asciiTheme="minorHAnsi" w:hAnsiTheme="minorHAnsi"/>
        </w:rPr>
        <w:t>emphasising</w:t>
      </w:r>
      <w:proofErr w:type="spellEnd"/>
      <w:r w:rsidRPr="00E54E80">
        <w:rPr>
          <w:rFonts w:asciiTheme="minorHAnsi" w:hAnsiTheme="minorHAnsi"/>
        </w:rPr>
        <w:t xml:space="preserve"> how risk management and workforce skill jointly influence adoption choices. This enhancement remedies a vital gap in previous adoption studies, which often focus on technological readiness while overlooking human capital and governance factors. By viewing talent and risk as interconnected factors in digital preparedness, the study promotes a more comprehensive understanding of how adoption decisions are made in practice.</w:t>
      </w:r>
    </w:p>
    <w:p w14:paraId="41D4A505" w14:textId="543F9728" w:rsidR="002C2D1D" w:rsidRPr="00E54E80" w:rsidRDefault="00E54E80" w:rsidP="002C2D1D">
      <w:pPr>
        <w:pStyle w:val="NormalWeb"/>
        <w:spacing w:line="360" w:lineRule="auto"/>
        <w:jc w:val="both"/>
        <w:rPr>
          <w:rFonts w:asciiTheme="minorHAnsi" w:eastAsiaTheme="minorEastAsia" w:hAnsiTheme="minorHAnsi" w:cstheme="minorBidi"/>
        </w:rPr>
      </w:pPr>
      <w:r w:rsidRPr="00E54E80">
        <w:rPr>
          <w:rFonts w:asciiTheme="minorHAnsi" w:hAnsiTheme="minorHAnsi"/>
        </w:rPr>
        <w:t xml:space="preserve">Thirdly, by explicitly linking adoption to </w:t>
      </w:r>
      <w:proofErr w:type="spellStart"/>
      <w:r w:rsidRPr="00E54E80">
        <w:rPr>
          <w:rFonts w:asciiTheme="minorHAnsi" w:hAnsiTheme="minorHAnsi"/>
        </w:rPr>
        <w:t>monetisation</w:t>
      </w:r>
      <w:proofErr w:type="spellEnd"/>
      <w:r w:rsidRPr="00E54E80">
        <w:rPr>
          <w:rFonts w:asciiTheme="minorHAnsi" w:hAnsiTheme="minorHAnsi"/>
        </w:rPr>
        <w:t xml:space="preserve">, the study fills a longstanding theoretical gap. Existing literature often treats adoption as a final milestone, overlooking whether digital platforms produce identifiable fee-based revenue. This research considers adoption as a step towards </w:t>
      </w:r>
      <w:proofErr w:type="spellStart"/>
      <w:r w:rsidRPr="00E54E80">
        <w:rPr>
          <w:rFonts w:asciiTheme="minorHAnsi" w:hAnsiTheme="minorHAnsi"/>
        </w:rPr>
        <w:t>monetisation</w:t>
      </w:r>
      <w:proofErr w:type="spellEnd"/>
      <w:r w:rsidRPr="00E54E80">
        <w:rPr>
          <w:rFonts w:asciiTheme="minorHAnsi" w:hAnsiTheme="minorHAnsi"/>
        </w:rPr>
        <w:t xml:space="preserve">, offering a framework that integrates </w:t>
      </w:r>
      <w:proofErr w:type="spellStart"/>
      <w:r w:rsidRPr="00E54E80">
        <w:rPr>
          <w:rFonts w:asciiTheme="minorHAnsi" w:hAnsiTheme="minorHAnsi"/>
        </w:rPr>
        <w:t>behavioural</w:t>
      </w:r>
      <w:proofErr w:type="spellEnd"/>
      <w:r w:rsidRPr="00E54E80">
        <w:rPr>
          <w:rFonts w:asciiTheme="minorHAnsi" w:hAnsiTheme="minorHAnsi"/>
        </w:rPr>
        <w:t xml:space="preserve">, </w:t>
      </w:r>
      <w:proofErr w:type="spellStart"/>
      <w:r w:rsidRPr="00E54E80">
        <w:rPr>
          <w:rFonts w:asciiTheme="minorHAnsi" w:hAnsiTheme="minorHAnsi"/>
        </w:rPr>
        <w:t>organisational</w:t>
      </w:r>
      <w:proofErr w:type="spellEnd"/>
      <w:r w:rsidRPr="00E54E80">
        <w:rPr>
          <w:rFonts w:asciiTheme="minorHAnsi" w:hAnsiTheme="minorHAnsi"/>
        </w:rPr>
        <w:t>, and systemic factors.</w:t>
      </w:r>
    </w:p>
    <w:p w14:paraId="4C6922E1" w14:textId="7CD6E765" w:rsidR="002C2D1D" w:rsidRPr="00E54E80" w:rsidRDefault="00E54E80" w:rsidP="002C2D1D">
      <w:pPr>
        <w:pStyle w:val="NormalWeb"/>
        <w:spacing w:line="360" w:lineRule="auto"/>
        <w:jc w:val="both"/>
        <w:rPr>
          <w:rFonts w:asciiTheme="minorHAnsi" w:eastAsiaTheme="minorEastAsia" w:hAnsiTheme="minorHAnsi" w:cstheme="minorBidi"/>
        </w:rPr>
      </w:pPr>
      <w:r w:rsidRPr="00E54E80">
        <w:rPr>
          <w:rFonts w:asciiTheme="minorHAnsi" w:hAnsiTheme="minorHAnsi"/>
        </w:rPr>
        <w:t xml:space="preserve">Overall, the study enhances adoption scholarship by incorporating </w:t>
      </w:r>
      <w:proofErr w:type="spellStart"/>
      <w:r w:rsidRPr="00E54E80">
        <w:rPr>
          <w:rFonts w:asciiTheme="minorHAnsi" w:hAnsiTheme="minorHAnsi"/>
        </w:rPr>
        <w:t>behavioural</w:t>
      </w:r>
      <w:proofErr w:type="spellEnd"/>
      <w:r w:rsidRPr="00E54E80">
        <w:rPr>
          <w:rFonts w:asciiTheme="minorHAnsi" w:hAnsiTheme="minorHAnsi"/>
        </w:rPr>
        <w:t xml:space="preserve">, </w:t>
      </w:r>
      <w:proofErr w:type="spellStart"/>
      <w:r w:rsidRPr="00E54E80">
        <w:rPr>
          <w:rFonts w:asciiTheme="minorHAnsi" w:hAnsiTheme="minorHAnsi"/>
        </w:rPr>
        <w:t>organisational</w:t>
      </w:r>
      <w:proofErr w:type="spellEnd"/>
      <w:r w:rsidRPr="00E54E80">
        <w:rPr>
          <w:rFonts w:asciiTheme="minorHAnsi" w:hAnsiTheme="minorHAnsi"/>
        </w:rPr>
        <w:t xml:space="preserve">, and systemic dimensions into TOE, and by </w:t>
      </w:r>
      <w:proofErr w:type="spellStart"/>
      <w:r w:rsidRPr="00E54E80">
        <w:rPr>
          <w:rFonts w:asciiTheme="minorHAnsi" w:hAnsiTheme="minorHAnsi"/>
        </w:rPr>
        <w:t>conceptualising</w:t>
      </w:r>
      <w:proofErr w:type="spellEnd"/>
      <w:r w:rsidRPr="00E54E80">
        <w:rPr>
          <w:rFonts w:asciiTheme="minorHAnsi" w:hAnsiTheme="minorHAnsi"/>
        </w:rPr>
        <w:t xml:space="preserve"> </w:t>
      </w:r>
      <w:proofErr w:type="spellStart"/>
      <w:r w:rsidRPr="00E54E80">
        <w:rPr>
          <w:rFonts w:asciiTheme="minorHAnsi" w:hAnsiTheme="minorHAnsi"/>
        </w:rPr>
        <w:t>monetisation</w:t>
      </w:r>
      <w:proofErr w:type="spellEnd"/>
      <w:r w:rsidRPr="00E54E80">
        <w:rPr>
          <w:rFonts w:asciiTheme="minorHAnsi" w:hAnsiTheme="minorHAnsi"/>
        </w:rPr>
        <w:t xml:space="preserve"> as a key outcome. It provides a more holistic, philosophically grounded account of digital trade adoption in corporate banking, strengthening both theoretical understanding and the emerging literature on digital trade </w:t>
      </w:r>
      <w:proofErr w:type="spellStart"/>
      <w:r w:rsidRPr="00E54E80">
        <w:rPr>
          <w:rFonts w:asciiTheme="minorHAnsi" w:hAnsiTheme="minorHAnsi"/>
        </w:rPr>
        <w:t>monetisation</w:t>
      </w:r>
      <w:proofErr w:type="spellEnd"/>
      <w:r w:rsidRPr="00E54E80">
        <w:rPr>
          <w:rFonts w:asciiTheme="minorHAnsi" w:hAnsiTheme="minorHAnsi"/>
        </w:rPr>
        <w:t xml:space="preserve">. This contribution not only clarifies the </w:t>
      </w:r>
      <w:r w:rsidRPr="00E54E80">
        <w:rPr>
          <w:rFonts w:asciiTheme="minorHAnsi" w:hAnsiTheme="minorHAnsi"/>
        </w:rPr>
        <w:lastRenderedPageBreak/>
        <w:t xml:space="preserve">conditions under which adoption generates economic value but also positions </w:t>
      </w:r>
      <w:proofErr w:type="spellStart"/>
      <w:r w:rsidRPr="00E54E80">
        <w:rPr>
          <w:rFonts w:asciiTheme="minorHAnsi" w:hAnsiTheme="minorHAnsi"/>
        </w:rPr>
        <w:t>monetisation</w:t>
      </w:r>
      <w:proofErr w:type="spellEnd"/>
      <w:r w:rsidRPr="00E54E80">
        <w:rPr>
          <w:rFonts w:asciiTheme="minorHAnsi" w:hAnsiTheme="minorHAnsi"/>
        </w:rPr>
        <w:t xml:space="preserve"> as a central outcome variable in trade finance research.</w:t>
      </w:r>
    </w:p>
    <w:p w14:paraId="5C81E6FA" w14:textId="77777777" w:rsidR="004F2797" w:rsidRDefault="00E5237C" w:rsidP="00E47E6E">
      <w:pPr>
        <w:pStyle w:val="Heading2"/>
        <w:numPr>
          <w:ilvl w:val="1"/>
          <w:numId w:val="3"/>
        </w:numPr>
        <w:tabs>
          <w:tab w:val="left" w:pos="0"/>
          <w:tab w:val="left" w:pos="360"/>
        </w:tabs>
        <w:ind w:left="0" w:firstLine="0"/>
        <w:rPr>
          <w:rFonts w:asciiTheme="minorHAnsi" w:hAnsiTheme="minorHAnsi"/>
        </w:rPr>
      </w:pPr>
      <w:bookmarkStart w:id="54" w:name="_Toc206886358"/>
      <w:bookmarkStart w:id="55" w:name="_Toc208699150"/>
      <w:r w:rsidRPr="00B064B8">
        <w:rPr>
          <w:rFonts w:asciiTheme="minorHAnsi" w:hAnsiTheme="minorHAnsi"/>
        </w:rPr>
        <w:t xml:space="preserve">Practical </w:t>
      </w:r>
      <w:r w:rsidR="0023484E">
        <w:rPr>
          <w:rFonts w:asciiTheme="minorHAnsi" w:hAnsiTheme="minorHAnsi"/>
        </w:rPr>
        <w:t>C</w:t>
      </w:r>
      <w:r w:rsidRPr="00B064B8">
        <w:rPr>
          <w:rFonts w:asciiTheme="minorHAnsi" w:hAnsiTheme="minorHAnsi"/>
        </w:rPr>
        <w:t>ontributions</w:t>
      </w:r>
      <w:bookmarkEnd w:id="54"/>
      <w:bookmarkEnd w:id="55"/>
      <w:r w:rsidR="0023484E">
        <w:rPr>
          <w:rFonts w:asciiTheme="minorHAnsi" w:hAnsiTheme="minorHAnsi"/>
        </w:rPr>
        <w:t xml:space="preserve"> </w:t>
      </w:r>
    </w:p>
    <w:p w14:paraId="64EDF1BD" w14:textId="1A27CD85" w:rsidR="00875391" w:rsidRDefault="004F2797" w:rsidP="004F2797">
      <w:pPr>
        <w:pStyle w:val="Heading3"/>
      </w:pPr>
      <w:bookmarkStart w:id="56" w:name="_Toc208699151"/>
      <w:r>
        <w:t xml:space="preserve">5.3.1 </w:t>
      </w:r>
      <w:r>
        <w:tab/>
      </w:r>
      <w:r w:rsidR="0023484E">
        <w:t>Managerial Implications for Banks, Regulators and Corporations</w:t>
      </w:r>
      <w:bookmarkEnd w:id="56"/>
    </w:p>
    <w:p w14:paraId="5E6EF770" w14:textId="16BB267B" w:rsidR="00A6464D" w:rsidRDefault="00BB6AAE" w:rsidP="00BB141F">
      <w:pPr>
        <w:pStyle w:val="NormalWeb"/>
        <w:spacing w:line="360" w:lineRule="auto"/>
        <w:jc w:val="both"/>
        <w:rPr>
          <w:rFonts w:asciiTheme="minorHAnsi" w:hAnsiTheme="minorHAnsi"/>
        </w:rPr>
      </w:pPr>
      <w:r w:rsidRPr="00BB6AAE">
        <w:rPr>
          <w:rFonts w:asciiTheme="minorHAnsi" w:eastAsiaTheme="minorEastAsia" w:hAnsiTheme="minorHAnsi" w:cstheme="minorBidi"/>
          <w:kern w:val="2"/>
          <w14:ligatures w14:val="standardContextual"/>
        </w:rPr>
        <w:t xml:space="preserve">Banks should embed </w:t>
      </w:r>
      <w:proofErr w:type="spellStart"/>
      <w:r w:rsidRPr="00BB6AAE">
        <w:rPr>
          <w:rFonts w:asciiTheme="minorHAnsi" w:eastAsiaTheme="minorEastAsia" w:hAnsiTheme="minorHAnsi" w:cstheme="minorBidi"/>
          <w:kern w:val="2"/>
          <w14:ligatures w14:val="standardContextual"/>
        </w:rPr>
        <w:t>monetisation</w:t>
      </w:r>
      <w:proofErr w:type="spellEnd"/>
      <w:r w:rsidRPr="00BB6AAE">
        <w:rPr>
          <w:rFonts w:asciiTheme="minorHAnsi" w:eastAsiaTheme="minorEastAsia" w:hAnsiTheme="minorHAnsi" w:cstheme="minorBidi"/>
          <w:kern w:val="2"/>
          <w14:ligatures w14:val="standardContextual"/>
        </w:rPr>
        <w:t xml:space="preserve"> mechanisms—tiered transaction fees, AI-enabled compliance services, and bundled cross-sell—rather than rely on efficiency narratives alone (Tanveer et al., 2025).</w:t>
      </w:r>
      <w:r>
        <w:rPr>
          <w:rFonts w:asciiTheme="minorHAnsi" w:eastAsiaTheme="minorEastAsia" w:hAnsiTheme="minorHAnsi" w:cstheme="minorBidi"/>
          <w:kern w:val="2"/>
          <w14:ligatures w14:val="standardContextual"/>
        </w:rPr>
        <w:t xml:space="preserve"> </w:t>
      </w:r>
      <w:r w:rsidR="00A6464D" w:rsidRPr="00A6464D">
        <w:rPr>
          <w:rFonts w:asciiTheme="minorHAnsi" w:hAnsiTheme="minorHAnsi"/>
        </w:rPr>
        <w:t xml:space="preserve">Examples from </w:t>
      </w:r>
      <w:proofErr w:type="spellStart"/>
      <w:r w:rsidR="00A6464D" w:rsidRPr="00A6464D">
        <w:rPr>
          <w:rFonts w:asciiTheme="minorHAnsi" w:hAnsiTheme="minorHAnsi"/>
        </w:rPr>
        <w:t>Komgo</w:t>
      </w:r>
      <w:proofErr w:type="spellEnd"/>
      <w:r w:rsidR="00A6464D" w:rsidRPr="00A6464D">
        <w:rPr>
          <w:rFonts w:asciiTheme="minorHAnsi" w:hAnsiTheme="minorHAnsi"/>
        </w:rPr>
        <w:t xml:space="preserve"> demonstrate how institutional partnerships can expand the reach of export trade services. The case highlights that adoption becomes commercially viable when platforms enhance credibility, streamline compliance, and reduce transaction turnaround times. At the regulatory level, </w:t>
      </w:r>
      <w:proofErr w:type="spellStart"/>
      <w:r w:rsidR="00A6464D" w:rsidRPr="00A6464D">
        <w:rPr>
          <w:rFonts w:asciiTheme="minorHAnsi" w:hAnsiTheme="minorHAnsi"/>
        </w:rPr>
        <w:t>Komgo</w:t>
      </w:r>
      <w:proofErr w:type="spellEnd"/>
      <w:r w:rsidR="00A6464D" w:rsidRPr="00A6464D">
        <w:rPr>
          <w:rFonts w:asciiTheme="minorHAnsi" w:hAnsiTheme="minorHAnsi"/>
        </w:rPr>
        <w:t xml:space="preserve"> underscores the importance of endorsing interoperability standards and AI governance frameworks that enable corporates to trust digital workflows. Together, these developments illustrate how adoption, when paired with regulatory assurance and workforce readiness, translates directly into </w:t>
      </w:r>
      <w:proofErr w:type="spellStart"/>
      <w:r w:rsidR="00A6464D" w:rsidRPr="00A6464D">
        <w:rPr>
          <w:rFonts w:asciiTheme="minorHAnsi" w:hAnsiTheme="minorHAnsi"/>
        </w:rPr>
        <w:t>monetisation</w:t>
      </w:r>
      <w:proofErr w:type="spellEnd"/>
      <w:r w:rsidR="00A6464D" w:rsidRPr="00A6464D">
        <w:rPr>
          <w:rFonts w:asciiTheme="minorHAnsi" w:hAnsiTheme="minorHAnsi"/>
        </w:rPr>
        <w:t xml:space="preserve"> through cross-sell, fee-based services, and client retention.</w:t>
      </w:r>
      <w:r w:rsidR="00A6464D" w:rsidRPr="00A6464D">
        <w:t xml:space="preserve"> </w:t>
      </w:r>
      <w:r w:rsidR="00A6464D" w:rsidRPr="00A6464D">
        <w:rPr>
          <w:rFonts w:asciiTheme="minorHAnsi" w:hAnsiTheme="minorHAnsi"/>
        </w:rPr>
        <w:t>(</w:t>
      </w:r>
      <w:proofErr w:type="spellStart"/>
      <w:r w:rsidR="00A6464D" w:rsidRPr="00A6464D">
        <w:rPr>
          <w:rFonts w:asciiTheme="minorHAnsi" w:hAnsiTheme="minorHAnsi"/>
        </w:rPr>
        <w:t>Komgo</w:t>
      </w:r>
      <w:proofErr w:type="spellEnd"/>
      <w:r w:rsidR="00A6464D" w:rsidRPr="00A6464D">
        <w:rPr>
          <w:rFonts w:asciiTheme="minorHAnsi" w:hAnsiTheme="minorHAnsi"/>
        </w:rPr>
        <w:t>, n.d.)</w:t>
      </w:r>
    </w:p>
    <w:p w14:paraId="6F13001D" w14:textId="2B04B328" w:rsidR="00E67B87" w:rsidRDefault="00E67B87" w:rsidP="00BB141F">
      <w:pPr>
        <w:pStyle w:val="NormalWeb"/>
        <w:spacing w:line="360" w:lineRule="auto"/>
        <w:jc w:val="both"/>
        <w:rPr>
          <w:rFonts w:asciiTheme="minorHAnsi" w:hAnsiTheme="minorHAnsi"/>
        </w:rPr>
      </w:pPr>
      <w:r w:rsidRPr="00E67B87">
        <w:rPr>
          <w:rFonts w:asciiTheme="minorHAnsi" w:hAnsiTheme="minorHAnsi"/>
        </w:rPr>
        <w:t xml:space="preserve">For banks, </w:t>
      </w:r>
      <w:proofErr w:type="spellStart"/>
      <w:r w:rsidRPr="00E67B87">
        <w:rPr>
          <w:rFonts w:asciiTheme="minorHAnsi" w:hAnsiTheme="minorHAnsi"/>
        </w:rPr>
        <w:t>monetisation</w:t>
      </w:r>
      <w:proofErr w:type="spellEnd"/>
      <w:r w:rsidRPr="00E67B87">
        <w:rPr>
          <w:rFonts w:asciiTheme="minorHAnsi" w:hAnsiTheme="minorHAnsi"/>
        </w:rPr>
        <w:t xml:space="preserve"> strategies include tiered transaction fees, AI-enabled compliance services, and bundled cross-sell opportunities. For regulators, supervisory frameworks must ensure compliance and workforce capability. For corporates, adoption decisions should be evaluated as strategic enablers of value creation, not </w:t>
      </w:r>
      <w:r>
        <w:rPr>
          <w:rFonts w:asciiTheme="minorHAnsi" w:hAnsiTheme="minorHAnsi"/>
        </w:rPr>
        <w:t>merely for</w:t>
      </w:r>
      <w:r w:rsidRPr="00E67B87">
        <w:rPr>
          <w:rFonts w:asciiTheme="minorHAnsi" w:hAnsiTheme="minorHAnsi"/>
        </w:rPr>
        <w:t xml:space="preserve"> efficiency</w:t>
      </w:r>
      <w:r>
        <w:rPr>
          <w:rFonts w:asciiTheme="minorHAnsi" w:hAnsiTheme="minorHAnsi"/>
        </w:rPr>
        <w:t>.</w:t>
      </w:r>
    </w:p>
    <w:p w14:paraId="1DC9CBFF" w14:textId="28C8E6F0" w:rsidR="00BB141F" w:rsidRPr="001B75C1" w:rsidRDefault="00BB141F" w:rsidP="00BB141F">
      <w:pPr>
        <w:pStyle w:val="NormalWeb"/>
        <w:spacing w:line="360" w:lineRule="auto"/>
        <w:jc w:val="both"/>
        <w:rPr>
          <w:rFonts w:asciiTheme="minorHAnsi" w:eastAsiaTheme="minorEastAsia" w:hAnsiTheme="minorHAnsi" w:cstheme="minorBidi"/>
          <w:kern w:val="2"/>
          <w14:ligatures w14:val="standardContextual"/>
        </w:rPr>
      </w:pPr>
      <w:r w:rsidRPr="001B75C1">
        <w:rPr>
          <w:rFonts w:asciiTheme="minorHAnsi" w:eastAsiaTheme="minorEastAsia" w:hAnsiTheme="minorHAnsi" w:cstheme="minorBidi"/>
          <w:kern w:val="2"/>
          <w14:ligatures w14:val="standardContextual"/>
        </w:rPr>
        <w:t xml:space="preserve">For regulators, the study underscores the importance of aligning digitalisation agendas with risk mitigation and talent development. </w:t>
      </w:r>
      <w:r w:rsidR="00E67B87">
        <w:rPr>
          <w:rFonts w:asciiTheme="minorHAnsi" w:eastAsiaTheme="minorEastAsia" w:hAnsiTheme="minorHAnsi" w:cstheme="minorBidi"/>
          <w:kern w:val="2"/>
          <w14:ligatures w14:val="standardContextual"/>
        </w:rPr>
        <w:t>R</w:t>
      </w:r>
      <w:r w:rsidRPr="001B75C1">
        <w:rPr>
          <w:rFonts w:asciiTheme="minorHAnsi" w:eastAsiaTheme="minorEastAsia" w:hAnsiTheme="minorHAnsi" w:cstheme="minorBidi"/>
          <w:kern w:val="2"/>
          <w14:ligatures w14:val="standardContextual"/>
        </w:rPr>
        <w:t xml:space="preserve">egulators can accelerate adoption by endorsing common standards for AI </w:t>
      </w:r>
      <w:r w:rsidR="004A1710" w:rsidRPr="001B75C1">
        <w:rPr>
          <w:rFonts w:asciiTheme="minorHAnsi" w:eastAsiaTheme="minorEastAsia" w:hAnsiTheme="minorHAnsi" w:cstheme="minorBidi"/>
          <w:kern w:val="2"/>
          <w14:ligatures w14:val="standardContextual"/>
        </w:rPr>
        <w:t xml:space="preserve">Governance, supporting cross-bank integration, and </w:t>
      </w:r>
      <w:proofErr w:type="spellStart"/>
      <w:r w:rsidR="004A1710" w:rsidRPr="001B75C1">
        <w:rPr>
          <w:rFonts w:asciiTheme="minorHAnsi" w:eastAsiaTheme="minorEastAsia" w:hAnsiTheme="minorHAnsi" w:cstheme="minorBidi"/>
          <w:kern w:val="2"/>
          <w14:ligatures w14:val="standardContextual"/>
        </w:rPr>
        <w:t>incentivising</w:t>
      </w:r>
      <w:proofErr w:type="spellEnd"/>
      <w:r w:rsidR="004A1710" w:rsidRPr="001B75C1">
        <w:rPr>
          <w:rFonts w:asciiTheme="minorHAnsi" w:eastAsiaTheme="minorEastAsia" w:hAnsiTheme="minorHAnsi" w:cstheme="minorBidi"/>
          <w:kern w:val="2"/>
          <w14:ligatures w14:val="standardContextual"/>
        </w:rPr>
        <w:t xml:space="preserve"> workforce reskilling. </w:t>
      </w:r>
      <w:r w:rsidR="00BB6AAE" w:rsidRPr="00BB6AAE">
        <w:rPr>
          <w:rFonts w:asciiTheme="minorHAnsi" w:eastAsiaTheme="minorEastAsia" w:hAnsiTheme="minorHAnsi" w:cstheme="minorBidi"/>
          <w:kern w:val="2"/>
          <w14:ligatures w14:val="standardContextual"/>
        </w:rPr>
        <w:t>Curley et al. (2025) show 30–40% cost reductions; however, regulatory assurance and institutional trust are prerequisites to convert adoption into sustainable fee income</w:t>
      </w:r>
      <w:r w:rsidR="008721E5" w:rsidRPr="001B75C1">
        <w:rPr>
          <w:rFonts w:asciiTheme="minorHAnsi" w:hAnsiTheme="minorHAnsi"/>
          <w:color w:val="000000"/>
        </w:rPr>
        <w:t>.</w:t>
      </w:r>
      <w:r w:rsidRPr="001B75C1">
        <w:rPr>
          <w:rFonts w:asciiTheme="minorHAnsi" w:eastAsiaTheme="minorEastAsia" w:hAnsiTheme="minorHAnsi" w:cstheme="minorBidi"/>
          <w:kern w:val="2"/>
          <w14:ligatures w14:val="standardContextual"/>
        </w:rPr>
        <w:t xml:space="preserve"> Thus, targeted regulatory interventions not only improve systemic stability but also reinforce the institutional credibility that treasurers require before adopting digital platforms.</w:t>
      </w:r>
    </w:p>
    <w:p w14:paraId="61A3C881" w14:textId="47C4229A" w:rsidR="00BB141F" w:rsidRPr="004A1710" w:rsidRDefault="00BB6AAE" w:rsidP="00BB141F">
      <w:pPr>
        <w:pStyle w:val="NormalWeb"/>
        <w:spacing w:line="360" w:lineRule="auto"/>
        <w:jc w:val="both"/>
        <w:rPr>
          <w:rFonts w:asciiTheme="minorHAnsi" w:eastAsiaTheme="minorEastAsia" w:hAnsiTheme="minorHAnsi" w:cstheme="minorBidi"/>
          <w:kern w:val="2"/>
          <w14:ligatures w14:val="standardContextual"/>
        </w:rPr>
      </w:pPr>
      <w:r w:rsidRPr="00BB6AAE">
        <w:rPr>
          <w:rFonts w:asciiTheme="minorHAnsi" w:eastAsiaTheme="minorEastAsia" w:hAnsiTheme="minorHAnsi" w:cstheme="minorBidi"/>
          <w:kern w:val="2"/>
          <w14:ligatures w14:val="standardContextual"/>
        </w:rPr>
        <w:lastRenderedPageBreak/>
        <w:t>Corporates should evaluate platforms as strategic drivers of value, credibility, compatibility, and new revenue sources, not merely as cost-cutting tools. This allows treasuries to see digital trade finance as part of a wider strategic toolkit, rather than just a transactional infrastructure.</w:t>
      </w:r>
    </w:p>
    <w:p w14:paraId="634FF905" w14:textId="664EA693" w:rsidR="00BB141F" w:rsidRPr="00BB141F" w:rsidRDefault="00BB141F" w:rsidP="00BB141F">
      <w:pPr>
        <w:pStyle w:val="NormalWeb"/>
        <w:spacing w:line="360" w:lineRule="auto"/>
        <w:jc w:val="both"/>
        <w:rPr>
          <w:rFonts w:asciiTheme="minorHAnsi" w:eastAsiaTheme="minorEastAsia" w:hAnsiTheme="minorHAnsi" w:cstheme="minorBidi"/>
          <w:kern w:val="2"/>
          <w14:ligatures w14:val="standardContextual"/>
        </w:rPr>
      </w:pPr>
      <w:r w:rsidRPr="00BB141F">
        <w:rPr>
          <w:rFonts w:asciiTheme="minorHAnsi" w:eastAsiaTheme="minorEastAsia" w:hAnsiTheme="minorHAnsi" w:cstheme="minorBidi"/>
          <w:kern w:val="2"/>
          <w14:ligatures w14:val="standardContextual"/>
        </w:rPr>
        <w:t>The research effectively introduces measurable indicators to guide implementation and performance monitoring. These include adoption rate, fee-per-transaction uplift, cross-sell ratio, client lifetime value, a trust and risk index, and a talent capability score. By incorporating such metrics, banks and regulators can better assess whether digitalisation initiatives are achieving their intended outcomes in both adoption and monetisation.</w:t>
      </w:r>
    </w:p>
    <w:p w14:paraId="4CC97413" w14:textId="5EB9421C" w:rsidR="005A3FAF" w:rsidRPr="005A3FAF" w:rsidRDefault="005A3FAF" w:rsidP="005A3FAF">
      <w:pPr>
        <w:spacing w:line="360" w:lineRule="auto"/>
        <w:jc w:val="both"/>
      </w:pPr>
      <w:r w:rsidRPr="005A3FAF">
        <w:t>Overall, these contributions translate the study’s theoretical insights into practical strategies. They show that sustainable adoption relies on risk-proof platforms and talent-enabled ecosystems</w:t>
      </w:r>
      <w:r w:rsidR="0020709D">
        <w:t>.</w:t>
      </w:r>
      <w:r w:rsidRPr="005A3FAF">
        <w:t xml:space="preserve"> </w:t>
      </w:r>
      <w:r w:rsidR="0020709D">
        <w:t>T</w:t>
      </w:r>
      <w:r w:rsidRPr="005A3FAF">
        <w:t xml:space="preserve">hat monetisation depends on shifting the focus from efficiency-driven cost savings to value-creating digital ecosystems. </w:t>
      </w:r>
      <w:r w:rsidR="008721E5">
        <w:t>C</w:t>
      </w:r>
      <w:r w:rsidRPr="005A3FAF">
        <w:t>orporat</w:t>
      </w:r>
      <w:r w:rsidR="0023484E">
        <w:t>ion</w:t>
      </w:r>
      <w:r w:rsidRPr="005A3FAF">
        <w:t>s can strengthen treasury resilience, and regulators can ensure Hong Kong maintains its position as a leading international financial centre.</w:t>
      </w:r>
      <w:r w:rsidR="008F1DCF" w:rsidRPr="008F1DCF">
        <w:t xml:space="preserve"> Adoption and monetisation are sustainable only when banks address the Risk–Talent Nexus identified in this study, embedding risk management frameworks and investing in workforce readiness.</w:t>
      </w:r>
    </w:p>
    <w:p w14:paraId="56E2385C" w14:textId="28F34888" w:rsidR="00875391" w:rsidRPr="00B064B8" w:rsidRDefault="00E5237C" w:rsidP="00E47E6E">
      <w:pPr>
        <w:pStyle w:val="Heading2"/>
        <w:numPr>
          <w:ilvl w:val="1"/>
          <w:numId w:val="3"/>
        </w:numPr>
        <w:tabs>
          <w:tab w:val="left" w:pos="0"/>
          <w:tab w:val="left" w:pos="360"/>
        </w:tabs>
        <w:ind w:left="0" w:firstLine="0"/>
        <w:rPr>
          <w:rFonts w:asciiTheme="minorHAnsi" w:eastAsia="Times New Roman" w:hAnsiTheme="minorHAnsi" w:cs="Arial"/>
          <w:color w:val="000000"/>
          <w:kern w:val="0"/>
          <w:sz w:val="22"/>
          <w:szCs w:val="22"/>
          <w14:ligatures w14:val="none"/>
        </w:rPr>
      </w:pPr>
      <w:bookmarkStart w:id="57" w:name="_Toc206886359"/>
      <w:bookmarkStart w:id="58" w:name="_Toc208699152"/>
      <w:r w:rsidRPr="00B064B8">
        <w:rPr>
          <w:rFonts w:asciiTheme="minorHAnsi" w:hAnsiTheme="minorHAnsi"/>
        </w:rPr>
        <w:t xml:space="preserve">Limitations </w:t>
      </w:r>
      <w:bookmarkEnd w:id="57"/>
      <w:r w:rsidR="0023484E">
        <w:rPr>
          <w:rFonts w:asciiTheme="minorHAnsi" w:hAnsiTheme="minorHAnsi"/>
        </w:rPr>
        <w:t>and Directions for Future Research</w:t>
      </w:r>
      <w:bookmarkEnd w:id="58"/>
    </w:p>
    <w:p w14:paraId="479399BF" w14:textId="7D490E65" w:rsidR="005A3FAF" w:rsidRDefault="002F6B04" w:rsidP="005A3FAF">
      <w:pPr>
        <w:spacing w:line="360" w:lineRule="auto"/>
        <w:jc w:val="both"/>
      </w:pPr>
      <w:r>
        <w:rPr>
          <w:kern w:val="0"/>
          <w14:ligatures w14:val="none"/>
        </w:rPr>
        <w:t xml:space="preserve">This study has several potential limitations. Firstly, the modest sample size restricts how far the findings can be </w:t>
      </w:r>
      <w:proofErr w:type="spellStart"/>
      <w:r>
        <w:rPr>
          <w:kern w:val="0"/>
          <w14:ligatures w14:val="none"/>
        </w:rPr>
        <w:t>generalised</w:t>
      </w:r>
      <w:proofErr w:type="spellEnd"/>
      <w:r>
        <w:rPr>
          <w:kern w:val="0"/>
          <w14:ligatures w14:val="none"/>
        </w:rPr>
        <w:t xml:space="preserve">. As a qualitative case study, the results are not meant to produce statistical </w:t>
      </w:r>
      <w:proofErr w:type="spellStart"/>
      <w:r>
        <w:rPr>
          <w:kern w:val="0"/>
          <w14:ligatures w14:val="none"/>
        </w:rPr>
        <w:t>generalisations</w:t>
      </w:r>
      <w:proofErr w:type="spellEnd"/>
      <w:r>
        <w:rPr>
          <w:kern w:val="0"/>
          <w14:ligatures w14:val="none"/>
        </w:rPr>
        <w:t xml:space="preserve"> across the wider banking sector. Instead, the contribution lies in analytical </w:t>
      </w:r>
      <w:proofErr w:type="spellStart"/>
      <w:r>
        <w:rPr>
          <w:kern w:val="0"/>
          <w14:ligatures w14:val="none"/>
        </w:rPr>
        <w:t>generalisation</w:t>
      </w:r>
      <w:proofErr w:type="spellEnd"/>
      <w:r>
        <w:rPr>
          <w:kern w:val="0"/>
          <w14:ligatures w14:val="none"/>
        </w:rPr>
        <w:t>, where insights can be transferred to theory and may be relevant to similar institutional contexts (Yin, 2018).</w:t>
      </w:r>
    </w:p>
    <w:p w14:paraId="047E1D37" w14:textId="3D30BBDF" w:rsidR="005A3FAF" w:rsidRDefault="005A3FAF" w:rsidP="005A3FAF">
      <w:pPr>
        <w:spacing w:line="360" w:lineRule="auto"/>
        <w:jc w:val="both"/>
      </w:pPr>
      <w:r>
        <w:t xml:space="preserve">Secondly, researcher subjectivity is an inherent limitation of qualitative inquiry. The interpretation of interviews is shaped by the researcher’s professional background and theoretical lens. Although measures such as double coding and inter-rater reliability checks were employed to mitigate this, interpretation remains </w:t>
      </w:r>
      <w:r w:rsidR="0020709D">
        <w:t>context dependent</w:t>
      </w:r>
      <w:r>
        <w:t xml:space="preserve">. </w:t>
      </w:r>
    </w:p>
    <w:p w14:paraId="75337EE0" w14:textId="28E78B24" w:rsidR="005A3FAF" w:rsidRDefault="005A3FAF" w:rsidP="005A3FAF">
      <w:pPr>
        <w:spacing w:line="360" w:lineRule="auto"/>
        <w:jc w:val="both"/>
      </w:pPr>
      <w:r>
        <w:lastRenderedPageBreak/>
        <w:t xml:space="preserve">Thirdly, </w:t>
      </w:r>
      <w:r w:rsidR="000573F5" w:rsidRPr="000573F5">
        <w:t>Hong Kong’s role as a global RMB settlement hub enhances the richness of the case but constrains transferability. Jurisdictions without the same regulatory integration or international positioning may face different adoption drivers.</w:t>
      </w:r>
    </w:p>
    <w:p w14:paraId="6D2D7B5C" w14:textId="605A9CCD" w:rsidR="005A3FAF" w:rsidRDefault="004A11E1" w:rsidP="005A3FAF">
      <w:pPr>
        <w:spacing w:line="360" w:lineRule="auto"/>
        <w:jc w:val="both"/>
      </w:pPr>
      <w:r>
        <w:rPr>
          <w:kern w:val="0"/>
          <w14:ligatures w14:val="none"/>
        </w:rPr>
        <w:t>Finally, the cross-sectional nature of the study offers only a snapshot in time and does not capture the dynamic evolution of adoption and monetisation. Longitudinal research would be necessary to track how treasurer perceptions, risk governance practices, and monetisation outcomes change as digital platforms develop.</w:t>
      </w:r>
    </w:p>
    <w:p w14:paraId="7C6D5423" w14:textId="1087D4BC" w:rsidR="005A3FAF" w:rsidRPr="00B064B8" w:rsidRDefault="005A3FAF" w:rsidP="005A3FAF">
      <w:pPr>
        <w:spacing w:line="360" w:lineRule="auto"/>
        <w:jc w:val="both"/>
      </w:pPr>
      <w:r>
        <w:t xml:space="preserve">Despite these limitations, the study demonstrates methodological rigour through triangulation, inter-rater reliability checks, and the integration of secondary data. More importantly, </w:t>
      </w:r>
      <w:r w:rsidR="004A11E1">
        <w:t>recognis</w:t>
      </w:r>
      <w:r>
        <w:t xml:space="preserve">ing these constraints provides a </w:t>
      </w:r>
      <w:r w:rsidR="004A11E1">
        <w:t>basis</w:t>
      </w:r>
      <w:r>
        <w:t xml:space="preserve"> for future research, including large-scale surveys and Structural Equation Modelling (SEM), which could statistically validate the proposed adoption–monetisation framework across </w:t>
      </w:r>
      <w:r w:rsidR="004A11E1">
        <w:t>wi</w:t>
      </w:r>
      <w:r>
        <w:t>der samples.</w:t>
      </w:r>
      <w:r w:rsidR="00306101" w:rsidRPr="00306101">
        <w:t xml:space="preserve"> By extending future research to regional comparisons and quantitative validation, this study provides a foundation for a </w:t>
      </w:r>
      <w:proofErr w:type="spellStart"/>
      <w:r w:rsidR="00306101" w:rsidRPr="00306101">
        <w:t>generalisable</w:t>
      </w:r>
      <w:proofErr w:type="spellEnd"/>
      <w:r w:rsidR="00306101" w:rsidRPr="00306101">
        <w:t xml:space="preserve"> theory of digital trade </w:t>
      </w:r>
      <w:proofErr w:type="spellStart"/>
      <w:r w:rsidR="00306101" w:rsidRPr="00306101">
        <w:t>monetisation</w:t>
      </w:r>
      <w:proofErr w:type="spellEnd"/>
      <w:r w:rsidR="00306101" w:rsidRPr="00306101">
        <w:t>.</w:t>
      </w:r>
    </w:p>
    <w:p w14:paraId="4D4C9160" w14:textId="55A04C72" w:rsidR="00875391" w:rsidRPr="00B064B8" w:rsidRDefault="00E5237C" w:rsidP="00E47E6E">
      <w:pPr>
        <w:pStyle w:val="Heading2"/>
        <w:numPr>
          <w:ilvl w:val="1"/>
          <w:numId w:val="3"/>
        </w:numPr>
        <w:tabs>
          <w:tab w:val="left" w:pos="0"/>
          <w:tab w:val="left" w:pos="360"/>
        </w:tabs>
        <w:ind w:left="0" w:firstLine="0"/>
        <w:rPr>
          <w:rFonts w:asciiTheme="minorHAnsi" w:eastAsia="Times New Roman" w:hAnsiTheme="minorHAnsi" w:cs="Arial"/>
          <w:color w:val="000000"/>
          <w:kern w:val="0"/>
          <w:sz w:val="22"/>
          <w:szCs w:val="22"/>
          <w14:ligatures w14:val="none"/>
        </w:rPr>
      </w:pPr>
      <w:bookmarkStart w:id="59" w:name="_Toc206886360"/>
      <w:bookmarkStart w:id="60" w:name="_Toc208699153"/>
      <w:r w:rsidRPr="00B064B8">
        <w:rPr>
          <w:rFonts w:asciiTheme="minorHAnsi" w:hAnsiTheme="minorHAnsi"/>
        </w:rPr>
        <w:t xml:space="preserve">Future </w:t>
      </w:r>
      <w:r w:rsidR="002A4A96">
        <w:rPr>
          <w:rFonts w:asciiTheme="minorHAnsi" w:hAnsiTheme="minorHAnsi"/>
        </w:rPr>
        <w:t>R</w:t>
      </w:r>
      <w:r w:rsidRPr="00B064B8">
        <w:rPr>
          <w:rFonts w:asciiTheme="minorHAnsi" w:hAnsiTheme="minorHAnsi"/>
        </w:rPr>
        <w:t xml:space="preserve">esearch </w:t>
      </w:r>
      <w:r w:rsidR="002A4A96">
        <w:rPr>
          <w:rFonts w:asciiTheme="minorHAnsi" w:hAnsiTheme="minorHAnsi"/>
        </w:rPr>
        <w:t>D</w:t>
      </w:r>
      <w:r w:rsidRPr="00B064B8">
        <w:rPr>
          <w:rFonts w:asciiTheme="minorHAnsi" w:hAnsiTheme="minorHAnsi"/>
        </w:rPr>
        <w:t>irections</w:t>
      </w:r>
      <w:bookmarkEnd w:id="59"/>
      <w:bookmarkEnd w:id="60"/>
    </w:p>
    <w:p w14:paraId="5FC4ED07" w14:textId="57230A1C" w:rsidR="0020709D" w:rsidRPr="00750FB8" w:rsidRDefault="008F1DCF" w:rsidP="00750FB8">
      <w:pPr>
        <w:spacing w:line="360" w:lineRule="auto"/>
        <w:jc w:val="both"/>
      </w:pPr>
      <w:r w:rsidRPr="008F1DCF">
        <w:t>Future research could employ Structural Equation Modelling (SEM) to validate the adoption–monetisation framework on a larger sample</w:t>
      </w:r>
      <w:r w:rsidR="00672EE4">
        <w:t xml:space="preserve"> </w:t>
      </w:r>
      <w:r w:rsidR="0023484E">
        <w:t>(</w:t>
      </w:r>
      <w:r w:rsidR="00672EE4" w:rsidRPr="00672EE4">
        <w:rPr>
          <w:rStyle w:val="Strong"/>
          <w:b w:val="0"/>
          <w:bCs w:val="0"/>
          <w:color w:val="000000"/>
        </w:rPr>
        <w:t>Susanty et al.</w:t>
      </w:r>
      <w:r w:rsidR="0023484E">
        <w:rPr>
          <w:rStyle w:val="Strong"/>
          <w:b w:val="0"/>
          <w:bCs w:val="0"/>
          <w:color w:val="000000"/>
        </w:rPr>
        <w:t>,</w:t>
      </w:r>
      <w:r w:rsidR="00672EE4" w:rsidRPr="00672EE4">
        <w:rPr>
          <w:rStyle w:val="Strong"/>
          <w:b w:val="0"/>
          <w:bCs w:val="0"/>
          <w:color w:val="000000"/>
        </w:rPr>
        <w:t xml:space="preserve"> 2025)</w:t>
      </w:r>
      <w:r w:rsidR="00672EE4">
        <w:rPr>
          <w:rStyle w:val="Strong"/>
          <w:b w:val="0"/>
          <w:bCs w:val="0"/>
          <w:color w:val="000000"/>
        </w:rPr>
        <w:t>,</w:t>
      </w:r>
      <w:r w:rsidRPr="00672EE4">
        <w:rPr>
          <w:b/>
          <w:bCs/>
        </w:rPr>
        <w:t xml:space="preserve"> </w:t>
      </w:r>
      <w:r w:rsidRPr="008F1DCF">
        <w:t>testing whether risk, trust, and talent constructs mediate adoption outcomes</w:t>
      </w:r>
      <w:r w:rsidR="0020709D">
        <w:t>.</w:t>
      </w:r>
      <w:r w:rsidR="0020709D" w:rsidRPr="008F1DCF">
        <w:t xml:space="preserve"> </w:t>
      </w:r>
      <w:r w:rsidR="0020709D">
        <w:t>This verif</w:t>
      </w:r>
      <w:r w:rsidR="0023484E">
        <w:t>ies</w:t>
      </w:r>
      <w:r w:rsidR="0020709D">
        <w:t xml:space="preserve"> whether constructs such as compatibility, trust, and perceived risk reliably predict both adoption and monetisation outcomes. Long-term studies could also offer valuable insights by observing how adoption </w:t>
      </w:r>
      <w:r w:rsidR="002F6B04">
        <w:t xml:space="preserve">decisions and </w:t>
      </w:r>
      <w:proofErr w:type="spellStart"/>
      <w:r w:rsidR="002F6B04">
        <w:t>monetisation</w:t>
      </w:r>
      <w:proofErr w:type="spellEnd"/>
      <w:r w:rsidR="002F6B04">
        <w:t xml:space="preserve"> routes evolve as platforms develop</w:t>
      </w:r>
      <w:r w:rsidR="001944B7">
        <w:t>.</w:t>
      </w:r>
      <w:r w:rsidR="002F6B04">
        <w:t xml:space="preserve"> </w:t>
      </w:r>
      <w:r w:rsidR="001944B7">
        <w:t>R</w:t>
      </w:r>
      <w:r w:rsidR="002F6B04">
        <w:t>egulations change over time</w:t>
      </w:r>
      <w:r w:rsidR="001944B7">
        <w:t>,</w:t>
      </w:r>
      <w:r w:rsidR="002F6B04">
        <w:t xml:space="preserve"> </w:t>
      </w:r>
      <w:r w:rsidR="0020709D">
        <w:t>priorities shift, and treasury practices adjust to technological changes. Comparative analyses across regions, for example</w:t>
      </w:r>
      <w:r w:rsidR="00750FB8">
        <w:t>,</w:t>
      </w:r>
      <w:r w:rsidR="0020709D">
        <w:t xml:space="preserve"> between Hong Kong, Singapore, and Shanghai, could demonstrate how varying regulatory frameworks, digital maturity levels, and institutional contexts influence adoption behaviours, thereby improving the external validity of the framework. Another focus involves examining the talent aspect more thoroughly</w:t>
      </w:r>
      <w:r w:rsidR="00750FB8">
        <w:t>.</w:t>
      </w:r>
      <w:r w:rsidR="0020709D">
        <w:t xml:space="preserve"> </w:t>
      </w:r>
      <w:r w:rsidR="00687F8F">
        <w:t>F</w:t>
      </w:r>
      <w:r w:rsidR="0020709D">
        <w:t xml:space="preserve">uture research could assess the impact of targeted training programmes and policy-driven reskilling efforts in promoting adoption. Lastly, broadening the research scope to include </w:t>
      </w:r>
      <w:r w:rsidR="0020709D">
        <w:lastRenderedPageBreak/>
        <w:t xml:space="preserve">other stakeholders, such as fintech providers, technology vendors, and regulators, would </w:t>
      </w:r>
      <w:r w:rsidR="002F6B04">
        <w:t xml:space="preserve">facilitate a deeper understanding of the digital trade finance ecosystem and </w:t>
      </w:r>
      <w:r w:rsidR="0020709D">
        <w:t>reveal the interdependencies shaping adoption and monetisation. Collectively, these directions would expand the scope of research, enhance the explanatory power of the framework, and deepen understanding of how digital trade platforms generate sustainable value across different financial contexts.</w:t>
      </w:r>
    </w:p>
    <w:p w14:paraId="2A826281" w14:textId="79F0DF8D" w:rsidR="00810AD7" w:rsidRPr="0071647D" w:rsidRDefault="0020709D" w:rsidP="0071647D">
      <w:pPr>
        <w:pStyle w:val="Heading1"/>
        <w:numPr>
          <w:ilvl w:val="0"/>
          <w:numId w:val="7"/>
        </w:numPr>
        <w:tabs>
          <w:tab w:val="left" w:pos="0"/>
          <w:tab w:val="left" w:pos="360"/>
        </w:tabs>
        <w:rPr>
          <w:rFonts w:asciiTheme="minorHAnsi" w:hAnsiTheme="minorHAnsi"/>
        </w:rPr>
      </w:pPr>
      <w:bookmarkStart w:id="61" w:name="_Toc208699154"/>
      <w:r>
        <w:rPr>
          <w:rFonts w:asciiTheme="minorHAnsi" w:hAnsiTheme="minorHAnsi"/>
        </w:rPr>
        <w:t>Conclusion</w:t>
      </w:r>
      <w:r w:rsidR="0023484E">
        <w:rPr>
          <w:rFonts w:asciiTheme="minorHAnsi" w:hAnsiTheme="minorHAnsi"/>
        </w:rPr>
        <w:t xml:space="preserve"> – Towards Risk-Proofed and Talent</w:t>
      </w:r>
      <w:r w:rsidR="002A4A96">
        <w:rPr>
          <w:rFonts w:asciiTheme="minorHAnsi" w:hAnsiTheme="minorHAnsi"/>
        </w:rPr>
        <w:t>-</w:t>
      </w:r>
      <w:r w:rsidR="0023484E">
        <w:rPr>
          <w:rFonts w:asciiTheme="minorHAnsi" w:hAnsiTheme="minorHAnsi"/>
        </w:rPr>
        <w:t>Enabled Digital Ecosystems</w:t>
      </w:r>
      <w:bookmarkEnd w:id="61"/>
    </w:p>
    <w:p w14:paraId="56705FE6" w14:textId="77777777" w:rsidR="00810AD7" w:rsidRPr="00810AD7" w:rsidRDefault="00810AD7" w:rsidP="00810AD7">
      <w:pPr>
        <w:pStyle w:val="NoSpacing"/>
        <w:spacing w:line="360" w:lineRule="auto"/>
        <w:jc w:val="both"/>
        <w:rPr>
          <w:kern w:val="0"/>
          <w14:ligatures w14:val="none"/>
        </w:rPr>
      </w:pPr>
      <w:r w:rsidRPr="00810AD7">
        <w:rPr>
          <w:kern w:val="0"/>
          <w14:ligatures w14:val="none"/>
        </w:rPr>
        <w:t xml:space="preserve">This study set out to address the persistent gap between adoption and </w:t>
      </w:r>
      <w:proofErr w:type="spellStart"/>
      <w:r w:rsidRPr="00810AD7">
        <w:rPr>
          <w:kern w:val="0"/>
          <w14:ligatures w14:val="none"/>
        </w:rPr>
        <w:t>monetisation</w:t>
      </w:r>
      <w:proofErr w:type="spellEnd"/>
      <w:r w:rsidRPr="00810AD7">
        <w:rPr>
          <w:kern w:val="0"/>
          <w14:ligatures w14:val="none"/>
        </w:rPr>
        <w:t xml:space="preserve"> in digital trade finance. Despite significant investments by Hong Kong banks, corporate treasurers remain cautious, often perceiving platforms as efficiency tools rather than value-generating ecosystems.</w:t>
      </w:r>
    </w:p>
    <w:p w14:paraId="301BDD50" w14:textId="77777777" w:rsidR="00810AD7" w:rsidRPr="00810AD7" w:rsidRDefault="00810AD7" w:rsidP="00810AD7">
      <w:pPr>
        <w:pStyle w:val="NoSpacing"/>
        <w:spacing w:line="360" w:lineRule="auto"/>
        <w:jc w:val="both"/>
        <w:rPr>
          <w:kern w:val="0"/>
          <w14:ligatures w14:val="none"/>
        </w:rPr>
      </w:pPr>
      <w:r w:rsidRPr="00810AD7">
        <w:rPr>
          <w:kern w:val="0"/>
          <w14:ligatures w14:val="none"/>
        </w:rPr>
        <w:t>The contribution of this research is twofold. Theoretically, it extends the Technology–</w:t>
      </w:r>
      <w:proofErr w:type="spellStart"/>
      <w:r w:rsidRPr="00810AD7">
        <w:rPr>
          <w:kern w:val="0"/>
          <w14:ligatures w14:val="none"/>
        </w:rPr>
        <w:t>Organisation</w:t>
      </w:r>
      <w:proofErr w:type="spellEnd"/>
      <w:r w:rsidRPr="00810AD7">
        <w:rPr>
          <w:kern w:val="0"/>
          <w14:ligatures w14:val="none"/>
        </w:rPr>
        <w:t xml:space="preserve">–Environment (TOE) framework and Service-Dominant Logic (SDL) by incorporating </w:t>
      </w:r>
      <w:proofErr w:type="spellStart"/>
      <w:r w:rsidRPr="00810AD7">
        <w:rPr>
          <w:kern w:val="0"/>
          <w14:ligatures w14:val="none"/>
        </w:rPr>
        <w:t>behavioural</w:t>
      </w:r>
      <w:proofErr w:type="spellEnd"/>
      <w:r w:rsidRPr="00810AD7">
        <w:rPr>
          <w:kern w:val="0"/>
          <w14:ligatures w14:val="none"/>
        </w:rPr>
        <w:t xml:space="preserve"> constructs and introducing the Risk–Talent Nexus, thereby linking adoption more explicitly to </w:t>
      </w:r>
      <w:proofErr w:type="spellStart"/>
      <w:r w:rsidRPr="00810AD7">
        <w:rPr>
          <w:kern w:val="0"/>
          <w14:ligatures w14:val="none"/>
        </w:rPr>
        <w:t>monetisation</w:t>
      </w:r>
      <w:proofErr w:type="spellEnd"/>
      <w:r w:rsidRPr="00810AD7">
        <w:rPr>
          <w:kern w:val="0"/>
          <w14:ligatures w14:val="none"/>
        </w:rPr>
        <w:t xml:space="preserve"> outcomes. Practically, it provides a Hong Kong-specific model that guides banks and regulators in repositioning digital platforms as trust-</w:t>
      </w:r>
      <w:proofErr w:type="spellStart"/>
      <w:r w:rsidRPr="00810AD7">
        <w:rPr>
          <w:kern w:val="0"/>
          <w14:ligatures w14:val="none"/>
        </w:rPr>
        <w:t>centred</w:t>
      </w:r>
      <w:proofErr w:type="spellEnd"/>
      <w:r w:rsidRPr="00810AD7">
        <w:rPr>
          <w:kern w:val="0"/>
          <w14:ligatures w14:val="none"/>
        </w:rPr>
        <w:t xml:space="preserve"> ecosystems, supported by risk governance and workforce readiness.</w:t>
      </w:r>
    </w:p>
    <w:p w14:paraId="380608F9" w14:textId="3D841FA0" w:rsidR="00810AD7" w:rsidRPr="00810AD7" w:rsidRDefault="00810AD7" w:rsidP="00810AD7">
      <w:pPr>
        <w:pStyle w:val="NoSpacing"/>
        <w:spacing w:line="360" w:lineRule="auto"/>
        <w:jc w:val="both"/>
        <w:rPr>
          <w:kern w:val="0"/>
          <w14:ligatures w14:val="none"/>
        </w:rPr>
      </w:pPr>
      <w:r w:rsidRPr="00810AD7">
        <w:rPr>
          <w:kern w:val="0"/>
          <w14:ligatures w14:val="none"/>
        </w:rPr>
        <w:t xml:space="preserve">While the study is context-specific, its findings have broader relevance for jurisdictions seeking to translate digital adoption into sustainable revenue. Future research could build on this work </w:t>
      </w:r>
      <w:r>
        <w:rPr>
          <w:kern w:val="0"/>
          <w14:ligatures w14:val="none"/>
        </w:rPr>
        <w:t>by conducting</w:t>
      </w:r>
      <w:r w:rsidRPr="00810AD7">
        <w:rPr>
          <w:kern w:val="0"/>
          <w14:ligatures w14:val="none"/>
        </w:rPr>
        <w:t xml:space="preserve"> cross-country comparisons or quantitative</w:t>
      </w:r>
      <w:r>
        <w:rPr>
          <w:kern w:val="0"/>
          <w14:ligatures w14:val="none"/>
        </w:rPr>
        <w:t>ly</w:t>
      </w:r>
      <w:r w:rsidRPr="00810AD7">
        <w:rPr>
          <w:kern w:val="0"/>
          <w14:ligatures w14:val="none"/>
        </w:rPr>
        <w:t xml:space="preserve"> </w:t>
      </w:r>
      <w:r>
        <w:rPr>
          <w:kern w:val="0"/>
          <w14:ligatures w14:val="none"/>
        </w:rPr>
        <w:t>validating</w:t>
      </w:r>
      <w:r w:rsidRPr="00810AD7">
        <w:rPr>
          <w:kern w:val="0"/>
          <w14:ligatures w14:val="none"/>
        </w:rPr>
        <w:t xml:space="preserve"> the proposed framework.</w:t>
      </w:r>
    </w:p>
    <w:p w14:paraId="446322DB" w14:textId="00F5F22D" w:rsidR="00C66C8E" w:rsidRDefault="00810AD7" w:rsidP="00750FB8">
      <w:pPr>
        <w:pStyle w:val="NoSpacing"/>
        <w:spacing w:line="360" w:lineRule="auto"/>
        <w:jc w:val="both"/>
      </w:pPr>
      <w:r w:rsidRPr="00810AD7">
        <w:rPr>
          <w:kern w:val="0"/>
          <w14:ligatures w14:val="none"/>
        </w:rPr>
        <w:t xml:space="preserve">In conclusion, advancing digital trade finance requires more than efficiency gains. It depends on the alignment of </w:t>
      </w:r>
      <w:proofErr w:type="spellStart"/>
      <w:r w:rsidRPr="00810AD7">
        <w:rPr>
          <w:kern w:val="0"/>
          <w14:ligatures w14:val="none"/>
        </w:rPr>
        <w:t>behavioural</w:t>
      </w:r>
      <w:proofErr w:type="spellEnd"/>
      <w:r w:rsidRPr="00810AD7">
        <w:rPr>
          <w:kern w:val="0"/>
          <w14:ligatures w14:val="none"/>
        </w:rPr>
        <w:t xml:space="preserve"> trust, regulatory assurance, and talent capability </w:t>
      </w:r>
      <w:r>
        <w:rPr>
          <w:kern w:val="0"/>
          <w14:ligatures w14:val="none"/>
        </w:rPr>
        <w:t xml:space="preserve">as </w:t>
      </w:r>
      <w:r w:rsidRPr="00810AD7">
        <w:rPr>
          <w:kern w:val="0"/>
          <w14:ligatures w14:val="none"/>
        </w:rPr>
        <w:t>the foundations of risk-proofed and talent-enabled digital ecosystems.</w:t>
      </w:r>
      <w:r w:rsidR="00306101" w:rsidRPr="00306101">
        <w:t xml:space="preserve"> </w:t>
      </w:r>
      <w:r w:rsidR="00E67B87" w:rsidRPr="00E67B87">
        <w:rPr>
          <w:kern w:val="0"/>
          <w14:ligatures w14:val="none"/>
        </w:rPr>
        <w:t xml:space="preserve">Repositioning adoption as a pathway to </w:t>
      </w:r>
      <w:proofErr w:type="spellStart"/>
      <w:r w:rsidR="00E67B87" w:rsidRPr="00E67B87">
        <w:rPr>
          <w:kern w:val="0"/>
          <w14:ligatures w14:val="none"/>
        </w:rPr>
        <w:t>monetisation</w:t>
      </w:r>
      <w:proofErr w:type="spellEnd"/>
      <w:r w:rsidR="00E67B87" w:rsidRPr="00E67B87">
        <w:rPr>
          <w:kern w:val="0"/>
          <w14:ligatures w14:val="none"/>
        </w:rPr>
        <w:t xml:space="preserve"> enables banks, corporates, and regulators to transform digital trade finance into a sustainable driver of fee-based income and long-term competitiveness.</w:t>
      </w:r>
    </w:p>
    <w:p w14:paraId="189817D2" w14:textId="00A84DB4" w:rsidR="00C66C8E" w:rsidRPr="0015556C" w:rsidRDefault="0020709D" w:rsidP="006241CE">
      <w:pPr>
        <w:pStyle w:val="Heading1"/>
        <w:tabs>
          <w:tab w:val="left" w:pos="0"/>
          <w:tab w:val="left" w:pos="360"/>
        </w:tabs>
        <w:rPr>
          <w:rFonts w:asciiTheme="minorHAnsi" w:hAnsiTheme="minorHAnsi"/>
        </w:rPr>
      </w:pPr>
      <w:r w:rsidRPr="0020709D">
        <w:rPr>
          <w:rFonts w:cs="Arial"/>
          <w:color w:val="000000"/>
        </w:rPr>
        <w:br w:type="page"/>
      </w:r>
      <w:bookmarkStart w:id="62" w:name="_Toc208699155"/>
      <w:r w:rsidR="001A6F7E" w:rsidRPr="001A6F7E">
        <w:rPr>
          <w:rFonts w:asciiTheme="minorHAnsi" w:hAnsiTheme="minorHAnsi"/>
        </w:rPr>
        <w:lastRenderedPageBreak/>
        <w:t>7</w:t>
      </w:r>
      <w:r w:rsidR="001A6F7E" w:rsidRPr="001A6F7E">
        <w:rPr>
          <w:rFonts w:asciiTheme="minorHAnsi" w:hAnsiTheme="minorHAnsi"/>
        </w:rPr>
        <w:tab/>
      </w:r>
      <w:r w:rsidR="00C66C8E">
        <w:rPr>
          <w:rFonts w:asciiTheme="minorHAnsi" w:hAnsiTheme="minorHAnsi"/>
        </w:rPr>
        <w:t>Annotated Bibliography</w:t>
      </w:r>
      <w:bookmarkEnd w:id="62"/>
    </w:p>
    <w:p w14:paraId="5545156D" w14:textId="3CE0D6AA"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Abdurrahman, A., et al. (2024</w:t>
      </w:r>
      <w:r w:rsidRPr="00A333D5">
        <w:rPr>
          <w:rFonts w:cs="Arial"/>
          <w:i/>
          <w:iCs/>
          <w:kern w:val="0"/>
        </w:rPr>
        <w:t>). Impact of dynamic capabilities on digital transformation and innovation to improve banking performance: A TOE framework study.  Journal of Open Innovation: Technology, Market, and Complexity, 10 (1), 100215</w:t>
      </w:r>
      <w:r w:rsidRPr="00A333D5">
        <w:rPr>
          <w:rFonts w:cs="Arial"/>
          <w:kern w:val="0"/>
        </w:rPr>
        <w:t xml:space="preserve">. </w:t>
      </w:r>
      <w:hyperlink r:id="rId14" w:history="1">
        <w:r w:rsidRPr="00A333D5">
          <w:rPr>
            <w:rStyle w:val="Hyperlink"/>
            <w:rFonts w:cs="Arial"/>
            <w:kern w:val="0"/>
          </w:rPr>
          <w:t>https://doi.org/10.1016/j.joitmc.2024.100215</w:t>
        </w:r>
      </w:hyperlink>
    </w:p>
    <w:p w14:paraId="26BFE17C" w14:textId="636C430C" w:rsidR="00D84CFA" w:rsidRPr="00A333D5" w:rsidRDefault="00020B96" w:rsidP="00D84CFA">
      <w:pPr>
        <w:autoSpaceDE w:val="0"/>
        <w:autoSpaceDN w:val="0"/>
        <w:adjustRightInd w:val="0"/>
        <w:spacing w:after="0" w:line="276" w:lineRule="auto"/>
        <w:ind w:left="720"/>
        <w:rPr>
          <w:rFonts w:cs="Arial"/>
          <w:kern w:val="0"/>
        </w:rPr>
      </w:pPr>
      <w:r w:rsidRPr="00A333D5">
        <w:rPr>
          <w:rFonts w:cs="Arial"/>
          <w:kern w:val="0"/>
        </w:rPr>
        <w:t>Examines</w:t>
      </w:r>
      <w:r w:rsidR="00D84CFA" w:rsidRPr="00A333D5">
        <w:rPr>
          <w:rFonts w:cs="Arial"/>
          <w:kern w:val="0"/>
        </w:rPr>
        <w:t xml:space="preserve"> dynamic capabilities underpinning digital transformation and innovation in banking, using the TOE framework. Directly supports the use of TOE by linking digital adoption to organisational performance outcomes in the banking sector.</w:t>
      </w:r>
    </w:p>
    <w:p w14:paraId="2A3A212C" w14:textId="77777777" w:rsidR="00D84CFA" w:rsidRPr="00A333D5" w:rsidRDefault="00D84CFA" w:rsidP="00D84CFA">
      <w:pPr>
        <w:autoSpaceDE w:val="0"/>
        <w:autoSpaceDN w:val="0"/>
        <w:adjustRightInd w:val="0"/>
        <w:spacing w:after="0" w:line="276" w:lineRule="auto"/>
        <w:ind w:left="720" w:hanging="720"/>
        <w:rPr>
          <w:rFonts w:cs="Arial"/>
          <w:kern w:val="0"/>
        </w:rPr>
      </w:pPr>
    </w:p>
    <w:p w14:paraId="03822A42" w14:textId="59A471F6" w:rsidR="00D84CFA" w:rsidRPr="00A333D5" w:rsidRDefault="008721E5" w:rsidP="00D84CFA">
      <w:pPr>
        <w:autoSpaceDE w:val="0"/>
        <w:autoSpaceDN w:val="0"/>
        <w:adjustRightInd w:val="0"/>
        <w:spacing w:after="0" w:line="276" w:lineRule="auto"/>
        <w:ind w:left="720" w:hanging="720"/>
      </w:pPr>
      <w:r w:rsidRPr="00A333D5">
        <w:rPr>
          <w:color w:val="000000"/>
        </w:rPr>
        <w:t>Curley, R., Poddar, B., Mayer, B., Johnson, K., Arora, R., Ritchie, T., &amp; Hecht, D. (2025, January). </w:t>
      </w:r>
      <w:r w:rsidRPr="00A333D5">
        <w:rPr>
          <w:i/>
          <w:iCs/>
          <w:color w:val="000000"/>
        </w:rPr>
        <w:t>The forthcoming revolution in small business lending</w:t>
      </w:r>
      <w:r w:rsidRPr="00A333D5">
        <w:rPr>
          <w:color w:val="000000"/>
        </w:rPr>
        <w:t> (White paper). Boston Consulting Group. Retrieved from </w:t>
      </w:r>
      <w:hyperlink r:id="rId15" w:tgtFrame="_new" w:history="1">
        <w:r w:rsidRPr="00A333D5">
          <w:rPr>
            <w:color w:val="0000FF"/>
            <w:u w:val="single"/>
          </w:rPr>
          <w:t>https://media-publications.bcg.com/The-forthcoming-revolution-in-small-business-lending.pdf</w:t>
        </w:r>
      </w:hyperlink>
    </w:p>
    <w:p w14:paraId="594D54D5" w14:textId="7AD271B3" w:rsidR="008721E5" w:rsidRPr="00A333D5" w:rsidRDefault="008721E5" w:rsidP="008721E5">
      <w:pPr>
        <w:autoSpaceDE w:val="0"/>
        <w:autoSpaceDN w:val="0"/>
        <w:adjustRightInd w:val="0"/>
        <w:spacing w:after="0" w:line="276" w:lineRule="auto"/>
        <w:ind w:left="720"/>
        <w:rPr>
          <w:rFonts w:cs="Arial"/>
          <w:kern w:val="0"/>
        </w:rPr>
      </w:pPr>
      <w:r w:rsidRPr="00A333D5">
        <w:rPr>
          <w:rFonts w:cs="Arial"/>
          <w:kern w:val="0"/>
        </w:rPr>
        <w:t xml:space="preserve">Provide </w:t>
      </w:r>
      <w:r w:rsidRPr="00A333D5">
        <w:rPr>
          <w:rFonts w:cs="Arial"/>
          <w:kern w:val="0"/>
          <w14:ligatures w14:val="none"/>
        </w:rPr>
        <w:t xml:space="preserve">a rationale about the cost savings for </w:t>
      </w:r>
      <w:proofErr w:type="spellStart"/>
      <w:r w:rsidRPr="00A333D5">
        <w:rPr>
          <w:rFonts w:cs="Arial"/>
          <w:kern w:val="0"/>
          <w14:ligatures w14:val="none"/>
        </w:rPr>
        <w:t>digitalisation</w:t>
      </w:r>
      <w:proofErr w:type="spellEnd"/>
      <w:r w:rsidRPr="00A333D5">
        <w:rPr>
          <w:rFonts w:cs="Arial"/>
          <w:kern w:val="0"/>
          <w14:ligatures w14:val="none"/>
        </w:rPr>
        <w:t>.</w:t>
      </w:r>
      <w:r w:rsidRPr="00A333D5">
        <w:rPr>
          <w:rFonts w:cs="Arial"/>
          <w:kern w:val="0"/>
        </w:rPr>
        <w:t xml:space="preserve"> Relevant to the percentage, as in the paper.</w:t>
      </w:r>
    </w:p>
    <w:p w14:paraId="52C4BE1A" w14:textId="77777777" w:rsidR="008721E5" w:rsidRPr="00A333D5" w:rsidRDefault="008721E5" w:rsidP="00D84CFA">
      <w:pPr>
        <w:autoSpaceDE w:val="0"/>
        <w:autoSpaceDN w:val="0"/>
        <w:adjustRightInd w:val="0"/>
        <w:spacing w:after="0" w:line="276" w:lineRule="auto"/>
        <w:ind w:left="720" w:hanging="720"/>
        <w:rPr>
          <w:rFonts w:cs="Arial"/>
          <w:kern w:val="0"/>
        </w:rPr>
      </w:pPr>
    </w:p>
    <w:p w14:paraId="26D13268" w14:textId="17ACEC9A" w:rsidR="00D84CFA" w:rsidRPr="00A333D5" w:rsidRDefault="00D84CFA" w:rsidP="00D84CFA">
      <w:pPr>
        <w:autoSpaceDE w:val="0"/>
        <w:autoSpaceDN w:val="0"/>
        <w:adjustRightInd w:val="0"/>
        <w:spacing w:after="0" w:line="276" w:lineRule="auto"/>
        <w:ind w:left="720" w:hanging="720"/>
        <w:rPr>
          <w:rFonts w:cs="Arial"/>
          <w:kern w:val="0"/>
        </w:rPr>
      </w:pPr>
      <w:proofErr w:type="spellStart"/>
      <w:r w:rsidRPr="00A333D5">
        <w:rPr>
          <w:rFonts w:cs="Arial"/>
          <w:kern w:val="0"/>
        </w:rPr>
        <w:t>Dağaşaner</w:t>
      </w:r>
      <w:proofErr w:type="spellEnd"/>
      <w:r w:rsidRPr="00A333D5">
        <w:rPr>
          <w:rFonts w:cs="Arial"/>
          <w:kern w:val="0"/>
        </w:rPr>
        <w:t>, S., &amp; Karaatmaca, A. G. (2025). The role of online banking service cues in enhancing individual and corporate customers’ satisfaction: The mediating role of customer experience as a corporate social responsibility.  Sustainability, 17 (8), 3457. https://doi.org/10.3390/su17083457</w:t>
      </w:r>
    </w:p>
    <w:p w14:paraId="428775F4" w14:textId="2383C06A"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Investigates the influence of online service quality and customer experience on satisfaction among individual and corporate clients.</w:t>
      </w:r>
    </w:p>
    <w:p w14:paraId="61C4F7FE" w14:textId="10797349"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Supports by reinforcing the role of perceived trust, service quality, and satisfaction as mediators in the adoption of digital banking.</w:t>
      </w:r>
    </w:p>
    <w:p w14:paraId="6F65226A" w14:textId="77777777" w:rsidR="00217F04" w:rsidRPr="00A333D5" w:rsidRDefault="00217F04" w:rsidP="00D84CFA">
      <w:pPr>
        <w:autoSpaceDE w:val="0"/>
        <w:autoSpaceDN w:val="0"/>
        <w:adjustRightInd w:val="0"/>
        <w:spacing w:after="0" w:line="276" w:lineRule="auto"/>
        <w:ind w:left="720"/>
        <w:rPr>
          <w:rFonts w:cs="Arial"/>
          <w:kern w:val="0"/>
        </w:rPr>
      </w:pPr>
    </w:p>
    <w:p w14:paraId="262DD515" w14:textId="77777777" w:rsidR="00217F04" w:rsidRPr="00A333D5" w:rsidRDefault="00217F04" w:rsidP="00217F04">
      <w:pPr>
        <w:autoSpaceDE w:val="0"/>
        <w:autoSpaceDN w:val="0"/>
        <w:adjustRightInd w:val="0"/>
        <w:spacing w:after="0" w:line="276" w:lineRule="auto"/>
        <w:ind w:left="720" w:hanging="720"/>
        <w:rPr>
          <w:rFonts w:cs="Arial"/>
          <w:kern w:val="0"/>
        </w:rPr>
      </w:pPr>
      <w:r w:rsidRPr="00A333D5">
        <w:rPr>
          <w:rFonts w:cs="Arial"/>
          <w:kern w:val="0"/>
        </w:rPr>
        <w:t xml:space="preserve">  Dewasiri, N. J., et al. (2023). Fusion of artificial intelligence and blockchain in the banking industry: Current application, adoption, and future challenges. In  Emerald publishing limited eBooks  (pp. 293–307). [https://doi.org/10.1108/978-1-80262-277-520231021](https://doi.org/10.1108/978-1-80262-277-520231021)  </w:t>
      </w:r>
    </w:p>
    <w:p w14:paraId="475443C5" w14:textId="5626AA3F" w:rsidR="00217F04" w:rsidRPr="00A333D5" w:rsidRDefault="00217F04" w:rsidP="00217F04">
      <w:pPr>
        <w:autoSpaceDE w:val="0"/>
        <w:autoSpaceDN w:val="0"/>
        <w:adjustRightInd w:val="0"/>
        <w:spacing w:after="0" w:line="276" w:lineRule="auto"/>
        <w:ind w:left="720"/>
        <w:rPr>
          <w:rFonts w:cs="Arial"/>
          <w:kern w:val="0"/>
        </w:rPr>
      </w:pPr>
      <w:r w:rsidRPr="00A333D5">
        <w:rPr>
          <w:rFonts w:cs="Arial"/>
          <w:kern w:val="0"/>
        </w:rPr>
        <w:t xml:space="preserve">Discusses </w:t>
      </w:r>
      <w:r w:rsidR="00020B96" w:rsidRPr="00A333D5">
        <w:rPr>
          <w:rFonts w:cs="Arial"/>
          <w:kern w:val="0"/>
        </w:rPr>
        <w:t>i</w:t>
      </w:r>
      <w:r w:rsidRPr="00A333D5">
        <w:rPr>
          <w:rFonts w:cs="Arial"/>
          <w:kern w:val="0"/>
        </w:rPr>
        <w:t>ntegration of AI and blockchain in banking, with adoption challenges highlighted.</w:t>
      </w:r>
    </w:p>
    <w:p w14:paraId="06B8BECD" w14:textId="77777777" w:rsidR="00217F04" w:rsidRPr="00A333D5" w:rsidRDefault="00217F04" w:rsidP="00217F04">
      <w:pPr>
        <w:autoSpaceDE w:val="0"/>
        <w:autoSpaceDN w:val="0"/>
        <w:adjustRightInd w:val="0"/>
        <w:spacing w:after="0" w:line="276" w:lineRule="auto"/>
        <w:ind w:left="720"/>
        <w:rPr>
          <w:rFonts w:cs="Arial"/>
          <w:kern w:val="0"/>
        </w:rPr>
      </w:pPr>
      <w:r w:rsidRPr="00A333D5">
        <w:rPr>
          <w:rFonts w:cs="Arial"/>
          <w:kern w:val="0"/>
        </w:rPr>
        <w:t>Relevant for illustrating technological enablers and risks within the TOE perspective.</w:t>
      </w:r>
    </w:p>
    <w:p w14:paraId="680F188D" w14:textId="77777777" w:rsidR="00217F04" w:rsidRPr="00A333D5" w:rsidRDefault="00217F04" w:rsidP="00D84CFA">
      <w:pPr>
        <w:autoSpaceDE w:val="0"/>
        <w:autoSpaceDN w:val="0"/>
        <w:adjustRightInd w:val="0"/>
        <w:spacing w:after="0" w:line="276" w:lineRule="auto"/>
        <w:ind w:left="720" w:hanging="720"/>
        <w:rPr>
          <w:rFonts w:cs="Arial"/>
          <w:kern w:val="0"/>
        </w:rPr>
      </w:pPr>
    </w:p>
    <w:p w14:paraId="3EF08FBE" w14:textId="73A70745" w:rsidR="00DC253E" w:rsidRPr="00A333D5" w:rsidRDefault="00DC253E" w:rsidP="00DC253E">
      <w:pPr>
        <w:spacing w:after="0" w:line="240" w:lineRule="auto"/>
        <w:ind w:left="720" w:hanging="720"/>
        <w:rPr>
          <w:rFonts w:cs="Arial"/>
          <w:kern w:val="0"/>
        </w:rPr>
      </w:pPr>
      <w:r w:rsidRPr="00A333D5">
        <w:rPr>
          <w:rFonts w:cs="Arial"/>
          <w:kern w:val="0"/>
        </w:rPr>
        <w:t>Fletcher, A.</w:t>
      </w:r>
      <w:r w:rsidRPr="00A333D5">
        <w:rPr>
          <w:rFonts w:ascii="Arial" w:hAnsi="Arial" w:cs="Arial"/>
          <w:kern w:val="0"/>
        </w:rPr>
        <w:t> </w:t>
      </w:r>
      <w:r w:rsidRPr="00A333D5">
        <w:rPr>
          <w:rFonts w:cs="Arial"/>
          <w:kern w:val="0"/>
        </w:rPr>
        <w:t>J. (2017). Applying critical realism in qualitative research: Methodology meets method. International Journal of Social Research Methodology, 20(2), 181–194. </w:t>
      </w:r>
      <w:hyperlink r:id="rId16" w:history="1">
        <w:r w:rsidRPr="00A333D5">
          <w:rPr>
            <w:rFonts w:cs="Arial"/>
            <w:kern w:val="0"/>
          </w:rPr>
          <w:t>https://www.tandfonline.com/doi/abs/10.1080/13645579.2016.1144401</w:t>
        </w:r>
      </w:hyperlink>
    </w:p>
    <w:p w14:paraId="4BBC0A89" w14:textId="4E0EE3C7" w:rsidR="00DC253E" w:rsidRPr="00A333D5" w:rsidRDefault="00020B96" w:rsidP="00DC253E">
      <w:pPr>
        <w:autoSpaceDE w:val="0"/>
        <w:autoSpaceDN w:val="0"/>
        <w:adjustRightInd w:val="0"/>
        <w:spacing w:after="0" w:line="276" w:lineRule="auto"/>
        <w:ind w:left="720"/>
        <w:rPr>
          <w:rFonts w:cs="Arial"/>
          <w:kern w:val="0"/>
        </w:rPr>
      </w:pPr>
      <w:r w:rsidRPr="00A333D5">
        <w:rPr>
          <w:rFonts w:cs="Arial"/>
          <w:kern w:val="0"/>
        </w:rPr>
        <w:lastRenderedPageBreak/>
        <w:t xml:space="preserve">Provides </w:t>
      </w:r>
      <w:r w:rsidR="00DC253E" w:rsidRPr="00A333D5">
        <w:rPr>
          <w:rFonts w:cs="Arial"/>
          <w:kern w:val="0"/>
        </w:rPr>
        <w:t xml:space="preserve">critical realism links research philosophy with qualitative methods to enhance </w:t>
      </w:r>
      <w:proofErr w:type="spellStart"/>
      <w:r w:rsidR="00DC253E" w:rsidRPr="00A333D5">
        <w:rPr>
          <w:rFonts w:cs="Arial"/>
          <w:kern w:val="0"/>
        </w:rPr>
        <w:t>rigo</w:t>
      </w:r>
      <w:r w:rsidR="0023484E">
        <w:rPr>
          <w:rFonts w:cs="Arial"/>
          <w:kern w:val="0"/>
        </w:rPr>
        <w:t>u</w:t>
      </w:r>
      <w:r w:rsidR="00DC253E" w:rsidRPr="00A333D5">
        <w:rPr>
          <w:rFonts w:cs="Arial"/>
          <w:kern w:val="0"/>
        </w:rPr>
        <w:t>r</w:t>
      </w:r>
      <w:proofErr w:type="spellEnd"/>
      <w:r w:rsidR="00DC253E" w:rsidRPr="00A333D5">
        <w:rPr>
          <w:rFonts w:cs="Arial"/>
          <w:kern w:val="0"/>
        </w:rPr>
        <w:t xml:space="preserve"> and causal explanation.</w:t>
      </w:r>
    </w:p>
    <w:p w14:paraId="07ED1718" w14:textId="68DD9194" w:rsidR="00DC253E" w:rsidRPr="00A333D5" w:rsidRDefault="00DC253E" w:rsidP="00DC253E">
      <w:pPr>
        <w:autoSpaceDE w:val="0"/>
        <w:autoSpaceDN w:val="0"/>
        <w:adjustRightInd w:val="0"/>
        <w:spacing w:after="0" w:line="276" w:lineRule="auto"/>
        <w:ind w:left="720"/>
        <w:rPr>
          <w:rFonts w:cs="Arial"/>
          <w:kern w:val="0"/>
        </w:rPr>
      </w:pPr>
      <w:r w:rsidRPr="00A333D5">
        <w:rPr>
          <w:rFonts w:cs="Arial"/>
          <w:kern w:val="0"/>
        </w:rPr>
        <w:t>Supports justifying case study and interview methods in your dissertation by grounding them in a strong methodological framework.</w:t>
      </w:r>
    </w:p>
    <w:p w14:paraId="036E70F8" w14:textId="77777777" w:rsidR="00DC253E" w:rsidRPr="00A333D5" w:rsidRDefault="00DC253E" w:rsidP="0071647D">
      <w:pPr>
        <w:autoSpaceDE w:val="0"/>
        <w:autoSpaceDN w:val="0"/>
        <w:adjustRightInd w:val="0"/>
        <w:spacing w:after="0" w:line="276" w:lineRule="auto"/>
        <w:rPr>
          <w:rFonts w:cs="Arial"/>
          <w:kern w:val="0"/>
        </w:rPr>
      </w:pPr>
    </w:p>
    <w:p w14:paraId="02FF5331" w14:textId="4C982273"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Gomber, P., et al. (2017). </w:t>
      </w:r>
      <w:r w:rsidRPr="00A333D5">
        <w:rPr>
          <w:rFonts w:cs="Arial"/>
          <w:i/>
          <w:iCs/>
          <w:kern w:val="0"/>
        </w:rPr>
        <w:t>Digital finance and fintech: Current research and future research directions.  Journal of Business Economics, 87 (5),</w:t>
      </w:r>
      <w:r w:rsidRPr="00A333D5">
        <w:rPr>
          <w:rFonts w:cs="Arial"/>
          <w:kern w:val="0"/>
        </w:rPr>
        <w:t xml:space="preserve"> 537–580. https://doi.org/10.1007/s11573-017-0852-x</w:t>
      </w:r>
    </w:p>
    <w:p w14:paraId="18273EDE"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Provides an overview of digital finance and fintech research trends, identifying key themes, gaps, and future research opportunities.</w:t>
      </w:r>
    </w:p>
    <w:p w14:paraId="34A389BE" w14:textId="746A151F" w:rsidR="00D84CFA" w:rsidRPr="00A333D5" w:rsidRDefault="00020B96" w:rsidP="00D84CFA">
      <w:pPr>
        <w:autoSpaceDE w:val="0"/>
        <w:autoSpaceDN w:val="0"/>
        <w:adjustRightInd w:val="0"/>
        <w:spacing w:after="0" w:line="276" w:lineRule="auto"/>
        <w:ind w:left="720"/>
        <w:rPr>
          <w:rFonts w:cs="Arial"/>
          <w:kern w:val="0"/>
        </w:rPr>
      </w:pPr>
      <w:r w:rsidRPr="00A333D5">
        <w:rPr>
          <w:rFonts w:cs="Arial"/>
          <w:kern w:val="0"/>
        </w:rPr>
        <w:t>Relevant to</w:t>
      </w:r>
      <w:r w:rsidR="00D84CFA" w:rsidRPr="00A333D5">
        <w:rPr>
          <w:rFonts w:cs="Arial"/>
          <w:kern w:val="0"/>
        </w:rPr>
        <w:t xml:space="preserve"> </w:t>
      </w:r>
      <w:r w:rsidR="0023484E">
        <w:rPr>
          <w:rFonts w:cs="Arial"/>
          <w:kern w:val="0"/>
        </w:rPr>
        <w:t xml:space="preserve">a </w:t>
      </w:r>
      <w:r w:rsidR="00D84CFA" w:rsidRPr="00A333D5">
        <w:rPr>
          <w:rFonts w:cs="Arial"/>
          <w:kern w:val="0"/>
        </w:rPr>
        <w:t>foundational piece for situating the adoption of digital trade finance within broader fintech scholarship.</w:t>
      </w:r>
    </w:p>
    <w:p w14:paraId="28164073" w14:textId="77777777" w:rsidR="00DC253E" w:rsidRPr="00A333D5" w:rsidRDefault="00D84CFA" w:rsidP="00AB7087">
      <w:pPr>
        <w:autoSpaceDE w:val="0"/>
        <w:autoSpaceDN w:val="0"/>
        <w:adjustRightInd w:val="0"/>
        <w:spacing w:after="0" w:line="276" w:lineRule="auto"/>
        <w:rPr>
          <w:rFonts w:cs="Arial"/>
          <w:kern w:val="0"/>
        </w:rPr>
      </w:pPr>
      <w:r w:rsidRPr="00A333D5">
        <w:rPr>
          <w:rFonts w:cs="Arial"/>
          <w:kern w:val="0"/>
        </w:rPr>
        <w:t xml:space="preserve">  </w:t>
      </w:r>
    </w:p>
    <w:p w14:paraId="6557652B" w14:textId="77777777" w:rsidR="003329F6" w:rsidRPr="00A333D5" w:rsidRDefault="00AB7087" w:rsidP="003329F6">
      <w:pPr>
        <w:autoSpaceDE w:val="0"/>
        <w:autoSpaceDN w:val="0"/>
        <w:adjustRightInd w:val="0"/>
        <w:spacing w:after="0" w:line="240" w:lineRule="auto"/>
        <w:ind w:left="720" w:hanging="720"/>
      </w:pPr>
      <w:r w:rsidRPr="00A333D5">
        <w:rPr>
          <w:rFonts w:cs="Arial"/>
          <w:kern w:val="0"/>
        </w:rPr>
        <w:t>Hidayat-</w:t>
      </w:r>
      <w:proofErr w:type="spellStart"/>
      <w:r w:rsidRPr="00A333D5">
        <w:rPr>
          <w:rFonts w:cs="Arial"/>
          <w:kern w:val="0"/>
        </w:rPr>
        <w:t>ur</w:t>
      </w:r>
      <w:proofErr w:type="spellEnd"/>
      <w:r w:rsidRPr="00A333D5">
        <w:rPr>
          <w:rFonts w:cs="Arial"/>
          <w:kern w:val="0"/>
        </w:rPr>
        <w:t>-Rehman, I., &amp; Hossain, M. N. (2024).</w:t>
      </w:r>
      <w:r w:rsidRPr="00A333D5">
        <w:rPr>
          <w:rStyle w:val="apple-converted-space"/>
          <w:color w:val="000000"/>
        </w:rPr>
        <w:t> </w:t>
      </w:r>
      <w:r w:rsidRPr="00A333D5">
        <w:rPr>
          <w:rStyle w:val="Emphasis"/>
          <w:color w:val="000000"/>
        </w:rPr>
        <w:t>The impacts of Fintech adoption, green finance and competitiveness on banks’ sustainable performance: Digital transformation as moderator</w:t>
      </w:r>
      <w:r w:rsidRPr="00A333D5">
        <w:rPr>
          <w:color w:val="000000"/>
        </w:rPr>
        <w:t>.</w:t>
      </w:r>
      <w:r w:rsidRPr="00A333D5">
        <w:rPr>
          <w:rStyle w:val="apple-converted-space"/>
          <w:color w:val="000000"/>
        </w:rPr>
        <w:t> </w:t>
      </w:r>
      <w:r w:rsidRPr="00A333D5">
        <w:rPr>
          <w:rStyle w:val="Emphasis"/>
          <w:color w:val="000000"/>
        </w:rPr>
        <w:t>Asia-Pacific Journal of Business Administration</w:t>
      </w:r>
      <w:r w:rsidRPr="00A333D5">
        <w:rPr>
          <w:color w:val="000000"/>
        </w:rPr>
        <w:t xml:space="preserve">. </w:t>
      </w:r>
      <w:hyperlink r:id="rId17" w:history="1">
        <w:r w:rsidRPr="00A333D5">
          <w:rPr>
            <w:rStyle w:val="Hyperlink"/>
          </w:rPr>
          <w:t>https://doi.org/10.1108/APJBA-10-2023-0497</w:t>
        </w:r>
      </w:hyperlink>
    </w:p>
    <w:p w14:paraId="1C0012BF" w14:textId="51C7614B" w:rsidR="003329F6" w:rsidRPr="00A333D5" w:rsidRDefault="003329F6" w:rsidP="003329F6">
      <w:pPr>
        <w:autoSpaceDE w:val="0"/>
        <w:autoSpaceDN w:val="0"/>
        <w:adjustRightInd w:val="0"/>
        <w:spacing w:after="0" w:line="240" w:lineRule="auto"/>
        <w:ind w:left="720"/>
      </w:pPr>
      <w:r w:rsidRPr="00A333D5">
        <w:rPr>
          <w:rFonts w:cs="Arial"/>
        </w:rPr>
        <w:t>Examine the adoption of fintech, green finance, and competitiveness influences banks’ sustainable performance, with digital transformation acting as a moderating factor. Relevant as it links digital transformation with financial performance and competitiveness, offering evidence that technology adoption aligned could drive fee-based income growth.</w:t>
      </w:r>
    </w:p>
    <w:p w14:paraId="047FBDF7" w14:textId="77777777" w:rsidR="00AB7087" w:rsidRPr="00A333D5" w:rsidRDefault="00AB7087" w:rsidP="00D84CFA">
      <w:pPr>
        <w:autoSpaceDE w:val="0"/>
        <w:autoSpaceDN w:val="0"/>
        <w:adjustRightInd w:val="0"/>
        <w:spacing w:after="0" w:line="276" w:lineRule="auto"/>
        <w:ind w:left="720" w:hanging="720"/>
        <w:rPr>
          <w:rFonts w:cs="Arial"/>
          <w:kern w:val="0"/>
        </w:rPr>
      </w:pPr>
    </w:p>
    <w:p w14:paraId="6044C959" w14:textId="35D5E056"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Ho, S. P. S., &amp; Chow, M. Y. C. (2025). </w:t>
      </w:r>
      <w:r w:rsidRPr="00A333D5">
        <w:rPr>
          <w:rFonts w:cs="Arial"/>
          <w:i/>
          <w:iCs/>
          <w:kern w:val="0"/>
        </w:rPr>
        <w:t xml:space="preserve">Factors </w:t>
      </w:r>
      <w:r w:rsidR="00750FB8" w:rsidRPr="00A333D5">
        <w:rPr>
          <w:rFonts w:cs="Arial"/>
          <w:i/>
          <w:iCs/>
          <w:kern w:val="0"/>
        </w:rPr>
        <w:t>S</w:t>
      </w:r>
      <w:r w:rsidRPr="00A333D5">
        <w:rPr>
          <w:rFonts w:cs="Arial"/>
          <w:i/>
          <w:iCs/>
          <w:kern w:val="0"/>
        </w:rPr>
        <w:t xml:space="preserve">haping </w:t>
      </w:r>
      <w:r w:rsidR="00750FB8" w:rsidRPr="00A333D5">
        <w:rPr>
          <w:rFonts w:cs="Arial"/>
          <w:i/>
          <w:iCs/>
          <w:kern w:val="0"/>
        </w:rPr>
        <w:t>C</w:t>
      </w:r>
      <w:r w:rsidRPr="00A333D5">
        <w:rPr>
          <w:rFonts w:cs="Arial"/>
          <w:i/>
          <w:iCs/>
          <w:kern w:val="0"/>
        </w:rPr>
        <w:t xml:space="preserve">onsumer </w:t>
      </w:r>
      <w:r w:rsidR="00750FB8" w:rsidRPr="00A333D5">
        <w:rPr>
          <w:rFonts w:cs="Arial"/>
          <w:i/>
          <w:iCs/>
          <w:kern w:val="0"/>
        </w:rPr>
        <w:t>A</w:t>
      </w:r>
      <w:r w:rsidRPr="00A333D5">
        <w:rPr>
          <w:rFonts w:cs="Arial"/>
          <w:i/>
          <w:iCs/>
          <w:kern w:val="0"/>
        </w:rPr>
        <w:t xml:space="preserve">doption of </w:t>
      </w:r>
      <w:r w:rsidR="00750FB8" w:rsidRPr="00A333D5">
        <w:rPr>
          <w:rFonts w:cs="Arial"/>
          <w:i/>
          <w:iCs/>
          <w:kern w:val="0"/>
        </w:rPr>
        <w:t>Digital-O</w:t>
      </w:r>
      <w:r w:rsidRPr="00A333D5">
        <w:rPr>
          <w:rFonts w:cs="Arial"/>
          <w:i/>
          <w:iCs/>
          <w:kern w:val="0"/>
        </w:rPr>
        <w:t xml:space="preserve">nly </w:t>
      </w:r>
      <w:r w:rsidR="00750FB8" w:rsidRPr="00A333D5">
        <w:rPr>
          <w:rFonts w:cs="Arial"/>
          <w:i/>
          <w:iCs/>
          <w:kern w:val="0"/>
        </w:rPr>
        <w:t>B</w:t>
      </w:r>
      <w:r w:rsidRPr="00A333D5">
        <w:rPr>
          <w:rFonts w:cs="Arial"/>
          <w:i/>
          <w:iCs/>
          <w:kern w:val="0"/>
        </w:rPr>
        <w:t xml:space="preserve">anking </w:t>
      </w:r>
      <w:r w:rsidR="00750FB8" w:rsidRPr="00A333D5">
        <w:rPr>
          <w:rFonts w:cs="Arial"/>
          <w:i/>
          <w:iCs/>
          <w:kern w:val="0"/>
        </w:rPr>
        <w:t>S</w:t>
      </w:r>
      <w:r w:rsidRPr="00A333D5">
        <w:rPr>
          <w:rFonts w:cs="Arial"/>
          <w:i/>
          <w:iCs/>
          <w:kern w:val="0"/>
        </w:rPr>
        <w:t>ervices in Hong Kong</w:t>
      </w:r>
      <w:r w:rsidR="00750FB8" w:rsidRPr="00A333D5">
        <w:rPr>
          <w:rFonts w:cs="Arial"/>
          <w:i/>
          <w:iCs/>
          <w:kern w:val="0"/>
        </w:rPr>
        <w:t>.</w:t>
      </w:r>
      <w:r w:rsidRPr="00A333D5">
        <w:rPr>
          <w:rFonts w:cs="Arial"/>
          <w:i/>
          <w:iCs/>
          <w:kern w:val="0"/>
        </w:rPr>
        <w:t xml:space="preserve"> Journal of Applied Finance &amp; Banking, 15(3),</w:t>
      </w:r>
      <w:r w:rsidRPr="00A333D5">
        <w:rPr>
          <w:rFonts w:cs="Arial"/>
          <w:kern w:val="0"/>
        </w:rPr>
        <w:t xml:space="preserve"> 75–87. https://doi.org/10.47260/jafb/1535 </w:t>
      </w:r>
    </w:p>
    <w:p w14:paraId="49ED3E17"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Analyses drivers of consumer adoption of digital-only banks in Hong Kong, focusing on trust, risk, and perceived usefulness.</w:t>
      </w:r>
    </w:p>
    <w:p w14:paraId="2D73C6BB"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Although consumer-focused, this local context study informs the behavioural dimensions of adoption in Hong Kong.</w:t>
      </w:r>
    </w:p>
    <w:p w14:paraId="4D9BCD9F" w14:textId="77777777" w:rsidR="00D84CFA" w:rsidRPr="00A333D5" w:rsidRDefault="00D84CFA" w:rsidP="00D84CFA">
      <w:pPr>
        <w:autoSpaceDE w:val="0"/>
        <w:autoSpaceDN w:val="0"/>
        <w:adjustRightInd w:val="0"/>
        <w:spacing w:after="0" w:line="276" w:lineRule="auto"/>
        <w:ind w:left="720" w:hanging="720"/>
        <w:rPr>
          <w:rFonts w:cs="Arial"/>
          <w:kern w:val="0"/>
        </w:rPr>
      </w:pPr>
    </w:p>
    <w:p w14:paraId="6D2C36DC" w14:textId="62EC576B"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 </w:t>
      </w:r>
      <w:r w:rsidR="00A17130" w:rsidRPr="00A333D5">
        <w:rPr>
          <w:rFonts w:cs="Arial"/>
          <w:kern w:val="0"/>
        </w:rPr>
        <w:t>Hong Kong Institute for Monetary and Financial Research. (2025, April). Financial services in the era of generative AI: Facilitating responsible adoption (HKIMR Applied Research Report No. 1/2025). Hong Kong Academy of Finance. https://www.aof.org.hk/docs/default-source/hkimr/applied-research-reports/financial-services-in-the-era-of-generative-ai.pdf</w:t>
      </w:r>
    </w:p>
    <w:p w14:paraId="0290F3EE" w14:textId="24C4E82C" w:rsidR="00217F04" w:rsidRPr="00A333D5" w:rsidRDefault="00D84CFA" w:rsidP="003329F6">
      <w:pPr>
        <w:autoSpaceDE w:val="0"/>
        <w:autoSpaceDN w:val="0"/>
        <w:adjustRightInd w:val="0"/>
        <w:spacing w:after="0" w:line="276" w:lineRule="auto"/>
        <w:ind w:left="720"/>
        <w:rPr>
          <w:rFonts w:cs="Arial"/>
          <w:kern w:val="0"/>
        </w:rPr>
      </w:pPr>
      <w:r w:rsidRPr="00A333D5">
        <w:rPr>
          <w:rFonts w:cs="Arial"/>
          <w:kern w:val="0"/>
        </w:rPr>
        <w:t xml:space="preserve">Highlights risk management challenges (model accuracy, data privacy, security) and industry-wide skills gaps (technical and compliance). Provides regulatory and </w:t>
      </w:r>
      <w:r w:rsidRPr="00A333D5">
        <w:rPr>
          <w:rFonts w:cs="Arial"/>
          <w:kern w:val="0"/>
        </w:rPr>
        <w:lastRenderedPageBreak/>
        <w:t xml:space="preserve">policy context directly applicable to adoption </w:t>
      </w:r>
      <w:proofErr w:type="spellStart"/>
      <w:r w:rsidRPr="00A333D5">
        <w:rPr>
          <w:rFonts w:cs="Arial"/>
          <w:kern w:val="0"/>
        </w:rPr>
        <w:t>monetisation</w:t>
      </w:r>
      <w:proofErr w:type="spellEnd"/>
      <w:r w:rsidRPr="00A333D5">
        <w:rPr>
          <w:rFonts w:cs="Arial"/>
          <w:kern w:val="0"/>
        </w:rPr>
        <w:t xml:space="preserve"> in </w:t>
      </w:r>
      <w:r w:rsidR="0023484E">
        <w:rPr>
          <w:rFonts w:cs="Arial"/>
          <w:kern w:val="0"/>
        </w:rPr>
        <w:t xml:space="preserve">the </w:t>
      </w:r>
      <w:r w:rsidR="00A82839" w:rsidRPr="00A333D5">
        <w:rPr>
          <w:rFonts w:cs="Arial"/>
          <w:kern w:val="0"/>
        </w:rPr>
        <w:t xml:space="preserve">HK </w:t>
      </w:r>
      <w:r w:rsidRPr="00A333D5">
        <w:rPr>
          <w:rFonts w:cs="Arial"/>
          <w:kern w:val="0"/>
        </w:rPr>
        <w:t>trade finance sector.</w:t>
      </w:r>
    </w:p>
    <w:p w14:paraId="6E945022" w14:textId="77777777" w:rsidR="00D84CFA" w:rsidRPr="00A333D5" w:rsidRDefault="00D84CFA" w:rsidP="00D84CFA">
      <w:pPr>
        <w:autoSpaceDE w:val="0"/>
        <w:autoSpaceDN w:val="0"/>
        <w:adjustRightInd w:val="0"/>
        <w:spacing w:after="0" w:line="276" w:lineRule="auto"/>
        <w:ind w:left="720" w:hanging="720"/>
        <w:rPr>
          <w:rFonts w:cs="Arial"/>
          <w:kern w:val="0"/>
        </w:rPr>
      </w:pPr>
    </w:p>
    <w:p w14:paraId="573D94C3" w14:textId="77777777" w:rsidR="003329F6" w:rsidRPr="00A333D5" w:rsidRDefault="003329F6" w:rsidP="003329F6">
      <w:pPr>
        <w:autoSpaceDE w:val="0"/>
        <w:autoSpaceDN w:val="0"/>
        <w:adjustRightInd w:val="0"/>
        <w:spacing w:after="0" w:line="276" w:lineRule="auto"/>
        <w:ind w:left="720" w:hanging="720"/>
        <w:rPr>
          <w:rFonts w:cs="Arial"/>
          <w:kern w:val="0"/>
        </w:rPr>
      </w:pPr>
      <w:r w:rsidRPr="00A333D5">
        <w:rPr>
          <w:rFonts w:cs="Arial"/>
          <w:kern w:val="0"/>
        </w:rPr>
        <w:t xml:space="preserve">  Hoffman, C. (2019, April 15). The digital trade revolution: The negative implications of smart contract-enabled distributed ledger technology platforms on the international trade finance industry.  Carter Hoffman Blog. https://carterhoffman.wordpress.com/the-digital-trade-revolution/ </w:t>
      </w:r>
    </w:p>
    <w:p w14:paraId="7080E344" w14:textId="77777777" w:rsidR="003329F6" w:rsidRPr="00A333D5" w:rsidRDefault="003329F6" w:rsidP="003329F6">
      <w:pPr>
        <w:autoSpaceDE w:val="0"/>
        <w:autoSpaceDN w:val="0"/>
        <w:adjustRightInd w:val="0"/>
        <w:spacing w:after="0" w:line="276" w:lineRule="auto"/>
        <w:ind w:left="720"/>
        <w:rPr>
          <w:rFonts w:cs="Arial"/>
          <w:kern w:val="0"/>
        </w:rPr>
      </w:pPr>
      <w:r w:rsidRPr="00A333D5">
        <w:rPr>
          <w:rFonts w:cs="Arial"/>
          <w:kern w:val="0"/>
        </w:rPr>
        <w:t>Highlights risks and challenges of blockchain and smart contracts in trade finance.</w:t>
      </w:r>
    </w:p>
    <w:p w14:paraId="1B9B8D29" w14:textId="2024A648" w:rsidR="003329F6" w:rsidRPr="00A333D5" w:rsidRDefault="003329F6" w:rsidP="003329F6">
      <w:pPr>
        <w:autoSpaceDE w:val="0"/>
        <w:autoSpaceDN w:val="0"/>
        <w:adjustRightInd w:val="0"/>
        <w:spacing w:after="0" w:line="276" w:lineRule="auto"/>
        <w:ind w:left="720"/>
        <w:rPr>
          <w:rFonts w:cs="Arial"/>
          <w:kern w:val="0"/>
        </w:rPr>
      </w:pPr>
      <w:r w:rsidRPr="00A333D5">
        <w:rPr>
          <w:rFonts w:cs="Arial"/>
          <w:kern w:val="0"/>
        </w:rPr>
        <w:t>Adds a critical counterpoint, showing adoption is not universally straightforward.</w:t>
      </w:r>
    </w:p>
    <w:p w14:paraId="39830F20" w14:textId="77777777" w:rsidR="003329F6" w:rsidRPr="00A333D5" w:rsidRDefault="003329F6" w:rsidP="003329F6">
      <w:pPr>
        <w:autoSpaceDE w:val="0"/>
        <w:autoSpaceDN w:val="0"/>
        <w:adjustRightInd w:val="0"/>
        <w:spacing w:after="0" w:line="276" w:lineRule="auto"/>
        <w:ind w:left="720"/>
        <w:rPr>
          <w:rFonts w:cs="Arial"/>
          <w:kern w:val="0"/>
        </w:rPr>
      </w:pPr>
    </w:p>
    <w:p w14:paraId="73E7FF0F" w14:textId="77777777" w:rsidR="003329F6" w:rsidRPr="00A333D5" w:rsidRDefault="003329F6" w:rsidP="003329F6">
      <w:pPr>
        <w:autoSpaceDE w:val="0"/>
        <w:autoSpaceDN w:val="0"/>
        <w:adjustRightInd w:val="0"/>
        <w:spacing w:after="0" w:line="276" w:lineRule="auto"/>
        <w:ind w:left="720" w:hanging="720"/>
        <w:rPr>
          <w:rFonts w:cs="Arial"/>
          <w:kern w:val="0"/>
        </w:rPr>
      </w:pPr>
    </w:p>
    <w:p w14:paraId="2630EABF" w14:textId="77777777" w:rsidR="003329F6" w:rsidRPr="00A333D5" w:rsidRDefault="003329F6" w:rsidP="003329F6">
      <w:pPr>
        <w:autoSpaceDE w:val="0"/>
        <w:autoSpaceDN w:val="0"/>
        <w:adjustRightInd w:val="0"/>
        <w:spacing w:after="0" w:line="276" w:lineRule="auto"/>
        <w:ind w:left="720" w:hanging="720"/>
        <w:rPr>
          <w:rFonts w:cs="Arial"/>
          <w:kern w:val="0"/>
        </w:rPr>
      </w:pPr>
      <w:r w:rsidRPr="00A333D5">
        <w:rPr>
          <w:rFonts w:cs="Arial"/>
          <w:kern w:val="0"/>
        </w:rPr>
        <w:t xml:space="preserve">  Hong Kong Monetary Authority. (2024, October 31).  Digital banks.  https://www.hkma.gov.hk/eng/key-functions/banking/banking-regulatory-and-supervisory-regime/digital-banks/](https://www.hkma.gov.hk/eng/key-functions/banking/banking-regulatory-and-supervisory-regime/digital-banks/</w:t>
      </w:r>
    </w:p>
    <w:p w14:paraId="3DAA6473" w14:textId="77777777" w:rsidR="003329F6" w:rsidRPr="00A333D5" w:rsidRDefault="003329F6" w:rsidP="003329F6">
      <w:pPr>
        <w:autoSpaceDE w:val="0"/>
        <w:autoSpaceDN w:val="0"/>
        <w:adjustRightInd w:val="0"/>
        <w:spacing w:after="0" w:line="276" w:lineRule="auto"/>
        <w:ind w:left="720"/>
        <w:rPr>
          <w:rFonts w:cs="Arial"/>
          <w:kern w:val="0"/>
        </w:rPr>
      </w:pPr>
      <w:r w:rsidRPr="00A333D5">
        <w:rPr>
          <w:rFonts w:cs="Arial"/>
          <w:kern w:val="0"/>
        </w:rPr>
        <w:t>Outlines the HKMA’s framework and supervision of digital banks in Hong Kong.</w:t>
      </w:r>
    </w:p>
    <w:p w14:paraId="4CDC590F" w14:textId="77777777" w:rsidR="003329F6" w:rsidRPr="00A333D5" w:rsidRDefault="003329F6" w:rsidP="003329F6">
      <w:pPr>
        <w:autoSpaceDE w:val="0"/>
        <w:autoSpaceDN w:val="0"/>
        <w:adjustRightInd w:val="0"/>
        <w:spacing w:after="0" w:line="276" w:lineRule="auto"/>
        <w:ind w:left="720"/>
        <w:rPr>
          <w:rFonts w:cs="Arial"/>
          <w:kern w:val="0"/>
        </w:rPr>
      </w:pPr>
      <w:r w:rsidRPr="00A333D5">
        <w:rPr>
          <w:rFonts w:cs="Arial"/>
          <w:kern w:val="0"/>
        </w:rPr>
        <w:t>Provides an authoritative regulatory context that underpins the study.</w:t>
      </w:r>
    </w:p>
    <w:p w14:paraId="05CE5272" w14:textId="6A187B15" w:rsidR="003329F6" w:rsidRPr="00A333D5" w:rsidRDefault="003329F6" w:rsidP="003329F6">
      <w:pPr>
        <w:autoSpaceDE w:val="0"/>
        <w:autoSpaceDN w:val="0"/>
        <w:adjustRightInd w:val="0"/>
        <w:spacing w:after="0" w:line="276" w:lineRule="auto"/>
        <w:rPr>
          <w:rFonts w:cs="Arial"/>
          <w:kern w:val="0"/>
        </w:rPr>
      </w:pPr>
    </w:p>
    <w:p w14:paraId="4AD3287B" w14:textId="05937A7A"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 Hu, M., et al. (2024). </w:t>
      </w:r>
      <w:r w:rsidRPr="00A333D5">
        <w:rPr>
          <w:rFonts w:cs="Arial"/>
          <w:i/>
          <w:iCs/>
          <w:kern w:val="0"/>
        </w:rPr>
        <w:t>Spillover effect of corporate digitalisation in the supply chain: Perspective of trade credit financing.  Global Finance Journal, 61,</w:t>
      </w:r>
      <w:r w:rsidRPr="00A333D5">
        <w:rPr>
          <w:rFonts w:cs="Arial"/>
          <w:kern w:val="0"/>
        </w:rPr>
        <w:t xml:space="preserve">  101009. https://doi.org/10.1016/j.gfj.2024.101009 </w:t>
      </w:r>
    </w:p>
    <w:p w14:paraId="21C4C164" w14:textId="154CE8C4"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 xml:space="preserve">Examines </w:t>
      </w:r>
      <w:r w:rsidR="0023484E">
        <w:rPr>
          <w:rFonts w:cs="Arial"/>
          <w:kern w:val="0"/>
        </w:rPr>
        <w:t xml:space="preserve">the influence of </w:t>
      </w:r>
      <w:r w:rsidRPr="00A333D5">
        <w:rPr>
          <w:rFonts w:cs="Arial"/>
          <w:kern w:val="0"/>
        </w:rPr>
        <w:t xml:space="preserve">corporate </w:t>
      </w:r>
      <w:proofErr w:type="spellStart"/>
      <w:r w:rsidRPr="00A333D5">
        <w:rPr>
          <w:rFonts w:cs="Arial"/>
          <w:kern w:val="0"/>
        </w:rPr>
        <w:t>digitalisation</w:t>
      </w:r>
      <w:proofErr w:type="spellEnd"/>
      <w:r w:rsidRPr="00A333D5">
        <w:rPr>
          <w:rFonts w:cs="Arial"/>
          <w:kern w:val="0"/>
        </w:rPr>
        <w:t xml:space="preserve"> </w:t>
      </w:r>
      <w:r w:rsidR="0023484E">
        <w:rPr>
          <w:rFonts w:cs="Arial"/>
          <w:kern w:val="0"/>
        </w:rPr>
        <w:t>on</w:t>
      </w:r>
      <w:r w:rsidRPr="00A333D5">
        <w:rPr>
          <w:rFonts w:cs="Arial"/>
          <w:kern w:val="0"/>
        </w:rPr>
        <w:t xml:space="preserve"> supply chain financing and trade credit.</w:t>
      </w:r>
    </w:p>
    <w:p w14:paraId="143BD07A"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Directly relevant to linking the adoption of digital platforms with financial and operational performance outcomes.</w:t>
      </w:r>
    </w:p>
    <w:p w14:paraId="55B9A62B" w14:textId="77777777" w:rsidR="00D84CFA" w:rsidRPr="00A333D5" w:rsidRDefault="00D84CFA" w:rsidP="00D84CFA">
      <w:pPr>
        <w:autoSpaceDE w:val="0"/>
        <w:autoSpaceDN w:val="0"/>
        <w:adjustRightInd w:val="0"/>
        <w:spacing w:after="0" w:line="276" w:lineRule="auto"/>
        <w:ind w:left="720" w:hanging="720"/>
        <w:rPr>
          <w:rFonts w:cs="Arial"/>
          <w:kern w:val="0"/>
        </w:rPr>
      </w:pPr>
    </w:p>
    <w:p w14:paraId="4E28B542" w14:textId="174DED64"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  Hui, C. (2025). </w:t>
      </w:r>
      <w:r w:rsidRPr="00A333D5">
        <w:rPr>
          <w:rFonts w:cs="Arial"/>
          <w:i/>
          <w:iCs/>
          <w:kern w:val="0"/>
        </w:rPr>
        <w:t xml:space="preserve">Hong Kong </w:t>
      </w:r>
      <w:r w:rsidR="00750FB8" w:rsidRPr="00A333D5">
        <w:rPr>
          <w:rFonts w:cs="Arial"/>
          <w:i/>
          <w:iCs/>
          <w:kern w:val="0"/>
        </w:rPr>
        <w:t>i</w:t>
      </w:r>
      <w:r w:rsidRPr="00A333D5">
        <w:rPr>
          <w:rFonts w:cs="Arial"/>
          <w:i/>
          <w:iCs/>
          <w:kern w:val="0"/>
        </w:rPr>
        <w:t>s the global superconnector in a changing world.  Horizons: Journal of International Relations and Sustainable Development, 30,</w:t>
      </w:r>
      <w:r w:rsidRPr="00A333D5">
        <w:rPr>
          <w:rFonts w:cs="Arial"/>
          <w:kern w:val="0"/>
        </w:rPr>
        <w:t xml:space="preserve">  226–237. https://doi.org/10.2307/48829695 </w:t>
      </w:r>
    </w:p>
    <w:p w14:paraId="0ABE8590"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Discusses Hong Kong’s positioning as a connector in global trade and finance, especially under digitalisation and geopolitical shifts.</w:t>
      </w:r>
    </w:p>
    <w:p w14:paraId="4A169DF5"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Provides policy-level justification for the research problem and Hong Kong’s role as an international financial centre.</w:t>
      </w:r>
    </w:p>
    <w:p w14:paraId="60B6A621" w14:textId="77777777" w:rsidR="00D84CFA" w:rsidRPr="00A333D5" w:rsidRDefault="00D84CFA" w:rsidP="00D84CFA">
      <w:pPr>
        <w:autoSpaceDE w:val="0"/>
        <w:autoSpaceDN w:val="0"/>
        <w:adjustRightInd w:val="0"/>
        <w:spacing w:after="0" w:line="276" w:lineRule="auto"/>
        <w:ind w:left="720" w:hanging="720"/>
        <w:rPr>
          <w:rFonts w:cs="Arial"/>
          <w:kern w:val="0"/>
        </w:rPr>
      </w:pPr>
    </w:p>
    <w:p w14:paraId="5A102FEE" w14:textId="37B6E92A"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  Ismail, N. W. (2020). Digital trade facilitation and bilateral trade in selected Asian countries.  Studies in Economics and Finance.  Advance online publication. https://doi.org/10.1108/sef-10-2019-0406 </w:t>
      </w:r>
    </w:p>
    <w:p w14:paraId="3A0BA589"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Investigates how digital trade facilitation affects bilateral trade flows in Asia.</w:t>
      </w:r>
    </w:p>
    <w:p w14:paraId="5AFFBFCA" w14:textId="3EFC7ABD" w:rsidR="00217F04" w:rsidRPr="00A333D5" w:rsidRDefault="00D84CFA" w:rsidP="003329F6">
      <w:pPr>
        <w:autoSpaceDE w:val="0"/>
        <w:autoSpaceDN w:val="0"/>
        <w:adjustRightInd w:val="0"/>
        <w:spacing w:after="0" w:line="276" w:lineRule="auto"/>
        <w:ind w:left="720"/>
        <w:rPr>
          <w:rFonts w:cs="Arial"/>
          <w:kern w:val="0"/>
        </w:rPr>
      </w:pPr>
      <w:r w:rsidRPr="00A333D5">
        <w:rPr>
          <w:rFonts w:cs="Arial"/>
          <w:kern w:val="0"/>
        </w:rPr>
        <w:lastRenderedPageBreak/>
        <w:t>Helps situate Hong Kong’s digitalisation agenda within the broader Asian trade context.</w:t>
      </w:r>
    </w:p>
    <w:p w14:paraId="3357C88F" w14:textId="77777777" w:rsidR="00D84CFA" w:rsidRPr="00A333D5" w:rsidRDefault="00D84CFA" w:rsidP="00D84CFA">
      <w:pPr>
        <w:autoSpaceDE w:val="0"/>
        <w:autoSpaceDN w:val="0"/>
        <w:adjustRightInd w:val="0"/>
        <w:spacing w:after="0" w:line="276" w:lineRule="auto"/>
        <w:ind w:left="720" w:hanging="720"/>
        <w:rPr>
          <w:rFonts w:cs="Arial"/>
          <w:kern w:val="0"/>
        </w:rPr>
      </w:pPr>
    </w:p>
    <w:p w14:paraId="49B5DEB4" w14:textId="67C61705"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  Ketterer, J. A. (2017).  Digital finance: New times, new challenges, new opportunities.  Inter-American Development Bank. https://doi.org/10.18235/0007028 </w:t>
      </w:r>
    </w:p>
    <w:p w14:paraId="612D878A"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A policy-oriented paper on the opportunities and risks of digital finance.</w:t>
      </w:r>
    </w:p>
    <w:p w14:paraId="2AB5A568"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Provides conceptual background to frame the transformative potential and risks of digital trade finance.</w:t>
      </w:r>
    </w:p>
    <w:p w14:paraId="15974C51" w14:textId="77777777" w:rsidR="00D84CFA" w:rsidRPr="00A333D5" w:rsidRDefault="00D84CFA" w:rsidP="00D84CFA">
      <w:pPr>
        <w:autoSpaceDE w:val="0"/>
        <w:autoSpaceDN w:val="0"/>
        <w:adjustRightInd w:val="0"/>
        <w:spacing w:after="0" w:line="276" w:lineRule="auto"/>
        <w:ind w:left="720" w:hanging="720"/>
        <w:rPr>
          <w:rFonts w:cs="Arial"/>
          <w:kern w:val="0"/>
        </w:rPr>
      </w:pPr>
    </w:p>
    <w:p w14:paraId="6857887B" w14:textId="59633F44"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  Khalil, M. A., et al. (2025). AI driven transformation in trade finance: A roadmap for automating letter of credit document examination.  Digital Business, 2,  100130. https://doi.org/10.1016/j.digbus.2025.100130 </w:t>
      </w:r>
    </w:p>
    <w:p w14:paraId="011BB459"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Explores AI’s role in automating trade finance documentation, particularly letters of credit.</w:t>
      </w:r>
    </w:p>
    <w:p w14:paraId="1EE26FC2"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Supports arguments about efficiency and compliance gains as relative benefits of digital adoption.</w:t>
      </w:r>
    </w:p>
    <w:p w14:paraId="6FE62C82" w14:textId="77777777" w:rsidR="00D84CFA" w:rsidRPr="00A333D5" w:rsidRDefault="00D84CFA" w:rsidP="00D84CFA">
      <w:pPr>
        <w:autoSpaceDE w:val="0"/>
        <w:autoSpaceDN w:val="0"/>
        <w:adjustRightInd w:val="0"/>
        <w:spacing w:after="0" w:line="276" w:lineRule="auto"/>
        <w:ind w:left="720" w:hanging="720"/>
        <w:rPr>
          <w:rFonts w:cs="Arial"/>
          <w:kern w:val="0"/>
        </w:rPr>
      </w:pPr>
    </w:p>
    <w:p w14:paraId="6C46640F" w14:textId="43F64659"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  Khan, H. H., et al. (2025). </w:t>
      </w:r>
      <w:r w:rsidRPr="00A333D5">
        <w:rPr>
          <w:rFonts w:cs="Arial"/>
          <w:i/>
          <w:iCs/>
          <w:kern w:val="0"/>
        </w:rPr>
        <w:t>Digital disruption in financing: Are fintech and bigtech credit reshaping corporate access to capital?  Journal of International Financial Markets, Institutions and Money, 103,</w:t>
      </w:r>
      <w:r w:rsidRPr="00A333D5">
        <w:rPr>
          <w:rFonts w:cs="Arial"/>
          <w:kern w:val="0"/>
        </w:rPr>
        <w:t xml:space="preserve">  102198. https://doi.org/10.1016/j.intfin.2025.102198 </w:t>
      </w:r>
    </w:p>
    <w:p w14:paraId="63797A06" w14:textId="78A967B0"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Investigation into fintech are reshaping corporate access to finance and credit markets.</w:t>
      </w:r>
    </w:p>
    <w:p w14:paraId="6FBA117B" w14:textId="399EDCB9" w:rsidR="00DC253E" w:rsidRDefault="00D84CFA" w:rsidP="00A206C2">
      <w:pPr>
        <w:autoSpaceDE w:val="0"/>
        <w:autoSpaceDN w:val="0"/>
        <w:adjustRightInd w:val="0"/>
        <w:spacing w:after="0" w:line="276" w:lineRule="auto"/>
        <w:ind w:left="720"/>
        <w:rPr>
          <w:rFonts w:cs="Arial"/>
          <w:kern w:val="0"/>
        </w:rPr>
      </w:pPr>
      <w:r w:rsidRPr="00A333D5">
        <w:rPr>
          <w:rFonts w:cs="Arial"/>
          <w:kern w:val="0"/>
        </w:rPr>
        <w:t>Relevant for contextualising competitive pressures faced by banks in adopting digital trade finance.</w:t>
      </w:r>
    </w:p>
    <w:p w14:paraId="2C5C97F2" w14:textId="77777777" w:rsidR="00A6464D" w:rsidRPr="00A6464D" w:rsidRDefault="00A6464D" w:rsidP="00A206C2">
      <w:pPr>
        <w:autoSpaceDE w:val="0"/>
        <w:autoSpaceDN w:val="0"/>
        <w:adjustRightInd w:val="0"/>
        <w:spacing w:after="0" w:line="276" w:lineRule="auto"/>
        <w:ind w:left="720"/>
        <w:rPr>
          <w:rFonts w:cs="Arial"/>
          <w:kern w:val="0"/>
        </w:rPr>
      </w:pPr>
    </w:p>
    <w:p w14:paraId="1D04723D" w14:textId="202A9248" w:rsidR="00A6464D" w:rsidRPr="00A6464D" w:rsidRDefault="00A6464D" w:rsidP="00A6464D">
      <w:pPr>
        <w:autoSpaceDE w:val="0"/>
        <w:autoSpaceDN w:val="0"/>
        <w:adjustRightInd w:val="0"/>
        <w:spacing w:after="0" w:line="276" w:lineRule="auto"/>
        <w:rPr>
          <w:rFonts w:cs="Arial"/>
          <w:kern w:val="0"/>
        </w:rPr>
      </w:pPr>
      <w:proofErr w:type="spellStart"/>
      <w:r w:rsidRPr="00A6464D">
        <w:rPr>
          <w:color w:val="000000"/>
        </w:rPr>
        <w:t>Komgo</w:t>
      </w:r>
      <w:proofErr w:type="spellEnd"/>
      <w:r w:rsidRPr="00A6464D">
        <w:rPr>
          <w:color w:val="000000"/>
        </w:rPr>
        <w:t>. (n.d.).</w:t>
      </w:r>
      <w:r w:rsidRPr="00A6464D">
        <w:rPr>
          <w:rStyle w:val="apple-converted-space"/>
          <w:color w:val="000000"/>
        </w:rPr>
        <w:t> </w:t>
      </w:r>
      <w:r w:rsidRPr="00A6464D">
        <w:rPr>
          <w:rStyle w:val="Emphasis"/>
          <w:color w:val="000000"/>
        </w:rPr>
        <w:t>About us</w:t>
      </w:r>
      <w:r w:rsidRPr="00A6464D">
        <w:rPr>
          <w:color w:val="000000"/>
        </w:rPr>
        <w:t xml:space="preserve">. </w:t>
      </w:r>
      <w:proofErr w:type="spellStart"/>
      <w:r w:rsidRPr="00A6464D">
        <w:rPr>
          <w:color w:val="000000"/>
        </w:rPr>
        <w:t>Komgo</w:t>
      </w:r>
      <w:proofErr w:type="spellEnd"/>
      <w:r w:rsidRPr="00A6464D">
        <w:rPr>
          <w:color w:val="000000"/>
        </w:rPr>
        <w:t>.</w:t>
      </w:r>
      <w:r w:rsidRPr="00A6464D">
        <w:rPr>
          <w:rStyle w:val="apple-converted-space"/>
          <w:color w:val="000000"/>
        </w:rPr>
        <w:t> </w:t>
      </w:r>
      <w:hyperlink r:id="rId18" w:tgtFrame="_new" w:history="1">
        <w:r w:rsidRPr="00A6464D">
          <w:rPr>
            <w:rStyle w:val="Hyperlink"/>
          </w:rPr>
          <w:t>https://www.komgo.io/about</w:t>
        </w:r>
      </w:hyperlink>
    </w:p>
    <w:p w14:paraId="1EF49CC9" w14:textId="77777777" w:rsidR="00462179" w:rsidRPr="00A333D5" w:rsidRDefault="00462179" w:rsidP="00A206C2">
      <w:pPr>
        <w:autoSpaceDE w:val="0"/>
        <w:autoSpaceDN w:val="0"/>
        <w:adjustRightInd w:val="0"/>
        <w:spacing w:after="0" w:line="276" w:lineRule="auto"/>
        <w:ind w:left="720"/>
        <w:rPr>
          <w:rFonts w:cs="Arial"/>
          <w:kern w:val="0"/>
        </w:rPr>
      </w:pPr>
    </w:p>
    <w:p w14:paraId="70AC6F64" w14:textId="77777777" w:rsidR="00462179" w:rsidRPr="00A333D5" w:rsidRDefault="00462179" w:rsidP="00462179">
      <w:pPr>
        <w:spacing w:after="0" w:line="240" w:lineRule="auto"/>
        <w:ind w:left="720" w:hanging="720"/>
        <w:rPr>
          <w:rFonts w:cs="Arial"/>
          <w:kern w:val="0"/>
        </w:rPr>
      </w:pPr>
      <w:r w:rsidRPr="00A333D5">
        <w:rPr>
          <w:rFonts w:cs="Arial"/>
          <w:kern w:val="0"/>
        </w:rPr>
        <w:t>Kumar, R., Singh, R., Kumar, K., Khan, S., &amp; Corvello, V. (2023). </w:t>
      </w:r>
      <w:r w:rsidRPr="00A333D5">
        <w:rPr>
          <w:rFonts w:cs="Arial"/>
          <w:i/>
          <w:iCs/>
          <w:kern w:val="0"/>
        </w:rPr>
        <w:t>How does perceived risk and trust affect mobile banking adoption? Empirical evidence from India</w:t>
      </w:r>
      <w:r w:rsidRPr="00A333D5">
        <w:rPr>
          <w:rFonts w:cs="Arial"/>
          <w:kern w:val="0"/>
        </w:rPr>
        <w:t>. </w:t>
      </w:r>
      <w:r w:rsidRPr="00A333D5">
        <w:rPr>
          <w:rFonts w:cs="Arial"/>
          <w:i/>
          <w:iCs/>
          <w:kern w:val="0"/>
        </w:rPr>
        <w:t>Sustainability, 15</w:t>
      </w:r>
      <w:r w:rsidRPr="00A333D5">
        <w:rPr>
          <w:rFonts w:cs="Arial"/>
          <w:kern w:val="0"/>
        </w:rPr>
        <w:t>(5), 4053. </w:t>
      </w:r>
      <w:hyperlink r:id="rId19" w:tgtFrame="_new" w:history="1">
        <w:r w:rsidRPr="00A333D5">
          <w:rPr>
            <w:rFonts w:cs="Arial"/>
            <w:kern w:val="0"/>
          </w:rPr>
          <w:t>https://doi.org/10.3390/su15054053</w:t>
        </w:r>
      </w:hyperlink>
    </w:p>
    <w:p w14:paraId="71A9EB21" w14:textId="725CE43A" w:rsidR="00462179" w:rsidRDefault="00462179" w:rsidP="00462179">
      <w:pPr>
        <w:spacing w:after="0" w:line="240" w:lineRule="auto"/>
        <w:ind w:left="720"/>
        <w:rPr>
          <w:rFonts w:cs="Arial"/>
        </w:rPr>
      </w:pPr>
      <w:r w:rsidRPr="00A333D5">
        <w:rPr>
          <w:rFonts w:cs="Arial"/>
        </w:rPr>
        <w:t xml:space="preserve">Trust positively and perceived risk negatively influence mobile banking adoption in India, with implications for consumer </w:t>
      </w:r>
      <w:proofErr w:type="spellStart"/>
      <w:r w:rsidRPr="00A333D5">
        <w:rPr>
          <w:rFonts w:cs="Arial"/>
        </w:rPr>
        <w:t>behaviour</w:t>
      </w:r>
      <w:proofErr w:type="spellEnd"/>
      <w:r w:rsidRPr="00A333D5">
        <w:rPr>
          <w:rFonts w:cs="Arial"/>
        </w:rPr>
        <w:t xml:space="preserve"> in digital finance. Relevant as it highlights how user perceptions of risk and trust directly affect adoption of digital financial platforms, a dynamic equally critical for client uptake of digital trade finance services.</w:t>
      </w:r>
    </w:p>
    <w:p w14:paraId="790633F8" w14:textId="77777777" w:rsidR="0071647D" w:rsidRPr="00A333D5" w:rsidRDefault="0071647D" w:rsidP="00462179">
      <w:pPr>
        <w:spacing w:after="0" w:line="240" w:lineRule="auto"/>
        <w:ind w:left="720"/>
        <w:rPr>
          <w:rFonts w:cs="Arial"/>
          <w:kern w:val="0"/>
        </w:rPr>
      </w:pPr>
    </w:p>
    <w:p w14:paraId="1879469B" w14:textId="40E45ADE" w:rsidR="007709CB" w:rsidRPr="00A333D5" w:rsidRDefault="007709CB" w:rsidP="007709CB">
      <w:pPr>
        <w:spacing w:after="0" w:line="240" w:lineRule="auto"/>
        <w:rPr>
          <w:rFonts w:eastAsia="Times New Roman" w:cs="Times New Roman"/>
          <w:color w:val="000000"/>
          <w:kern w:val="0"/>
          <w14:ligatures w14:val="none"/>
        </w:rPr>
      </w:pPr>
      <w:r w:rsidRPr="00A333D5">
        <w:rPr>
          <w:rFonts w:eastAsia="Times New Roman" w:cs="Times New Roman"/>
          <w:color w:val="000000"/>
          <w:kern w:val="0"/>
          <w14:ligatures w14:val="none"/>
        </w:rPr>
        <w:t>Landis, J.</w:t>
      </w:r>
      <w:r w:rsidRPr="00A333D5">
        <w:rPr>
          <w:rFonts w:ascii="Arial" w:eastAsia="Times New Roman" w:hAnsi="Arial" w:cs="Arial"/>
          <w:color w:val="000000"/>
          <w:kern w:val="0"/>
          <w14:ligatures w14:val="none"/>
        </w:rPr>
        <w:t> </w:t>
      </w:r>
      <w:r w:rsidRPr="00A333D5">
        <w:rPr>
          <w:rFonts w:eastAsia="Times New Roman" w:cs="Times New Roman"/>
          <w:color w:val="000000"/>
          <w:kern w:val="0"/>
          <w14:ligatures w14:val="none"/>
        </w:rPr>
        <w:t>R., &amp; Koch, G.</w:t>
      </w:r>
      <w:r w:rsidRPr="00A333D5">
        <w:rPr>
          <w:rFonts w:ascii="Arial" w:eastAsia="Times New Roman" w:hAnsi="Arial" w:cs="Arial"/>
          <w:color w:val="000000"/>
          <w:kern w:val="0"/>
          <w14:ligatures w14:val="none"/>
        </w:rPr>
        <w:t> </w:t>
      </w:r>
      <w:r w:rsidRPr="00A333D5">
        <w:rPr>
          <w:rFonts w:eastAsia="Times New Roman" w:cs="Times New Roman"/>
          <w:color w:val="000000"/>
          <w:kern w:val="0"/>
          <w14:ligatures w14:val="none"/>
        </w:rPr>
        <w:t>G. (1977). The measurement of observer agreement for categorical data. </w:t>
      </w:r>
      <w:r w:rsidRPr="00A333D5">
        <w:rPr>
          <w:rFonts w:eastAsia="Times New Roman" w:cs="Times New Roman"/>
          <w:i/>
          <w:iCs/>
          <w:color w:val="000000"/>
          <w:kern w:val="0"/>
          <w14:ligatures w14:val="none"/>
        </w:rPr>
        <w:t>Biometrics, 33</w:t>
      </w:r>
      <w:r w:rsidRPr="00A333D5">
        <w:rPr>
          <w:rFonts w:eastAsia="Times New Roman" w:cs="Times New Roman"/>
          <w:color w:val="000000"/>
          <w:kern w:val="0"/>
          <w14:ligatures w14:val="none"/>
        </w:rPr>
        <w:t>(1), 159–174. </w:t>
      </w:r>
      <w:hyperlink r:id="rId20" w:history="1">
        <w:r w:rsidRPr="00A333D5">
          <w:rPr>
            <w:rFonts w:eastAsia="Times New Roman" w:cs="Times New Roman"/>
            <w:color w:val="0000FF"/>
            <w:kern w:val="0"/>
            <w:u w:val="single"/>
            <w14:ligatures w14:val="none"/>
          </w:rPr>
          <w:t>https://doi.org/10.2307/2529310</w:t>
        </w:r>
      </w:hyperlink>
      <w:r w:rsidRPr="00A333D5">
        <w:rPr>
          <w:rFonts w:eastAsia="Times New Roman" w:cs="Times New Roman"/>
          <w:color w:val="000000"/>
          <w:kern w:val="0"/>
          <w14:ligatures w14:val="none"/>
        </w:rPr>
        <w:t> </w:t>
      </w:r>
    </w:p>
    <w:p w14:paraId="00176DBE" w14:textId="43DF144A" w:rsidR="007709CB" w:rsidRPr="00A333D5" w:rsidRDefault="007709CB" w:rsidP="007709CB">
      <w:pPr>
        <w:spacing w:after="0" w:line="240" w:lineRule="auto"/>
        <w:rPr>
          <w:rFonts w:eastAsia="Times New Roman" w:cs="Times New Roman"/>
          <w:color w:val="000000"/>
          <w:kern w:val="0"/>
          <w14:ligatures w14:val="none"/>
        </w:rPr>
      </w:pPr>
      <w:r w:rsidRPr="00A333D5">
        <w:rPr>
          <w:rFonts w:eastAsia="Times New Roman" w:cs="Times New Roman"/>
          <w:color w:val="000000"/>
          <w:kern w:val="0"/>
          <w14:ligatures w14:val="none"/>
        </w:rPr>
        <w:tab/>
        <w:t>Define calculation logic for analysis</w:t>
      </w:r>
    </w:p>
    <w:p w14:paraId="48A5B764" w14:textId="77777777" w:rsidR="007709CB" w:rsidRPr="00A333D5" w:rsidRDefault="007709CB" w:rsidP="00D84CFA">
      <w:pPr>
        <w:autoSpaceDE w:val="0"/>
        <w:autoSpaceDN w:val="0"/>
        <w:adjustRightInd w:val="0"/>
        <w:spacing w:after="0" w:line="276" w:lineRule="auto"/>
        <w:ind w:left="720" w:hanging="720"/>
        <w:rPr>
          <w:rFonts w:cs="Arial"/>
          <w:kern w:val="0"/>
        </w:rPr>
      </w:pPr>
    </w:p>
    <w:p w14:paraId="4E1D8F8F" w14:textId="253DA312"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lastRenderedPageBreak/>
        <w:t xml:space="preserve">Li, H., et al. (2025). How does digital finance affect imports, exports and trade balance: Evidence from China.  International Review of Economics &amp; Finance, 99,  104054. https://doi.org/10.1016/j.iref.2025.104054 </w:t>
      </w:r>
    </w:p>
    <w:p w14:paraId="5F193684"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Analyses the impact of digital finance on trade outcomes in China.</w:t>
      </w:r>
    </w:p>
    <w:p w14:paraId="654D506D"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Offers valuable empirical evidence for comparison with Hong Kong’s trade finance ecosystem.</w:t>
      </w:r>
    </w:p>
    <w:p w14:paraId="621343B5" w14:textId="77777777" w:rsidR="00D84CFA" w:rsidRPr="00A333D5" w:rsidRDefault="00D84CFA" w:rsidP="00D84CFA">
      <w:pPr>
        <w:autoSpaceDE w:val="0"/>
        <w:autoSpaceDN w:val="0"/>
        <w:adjustRightInd w:val="0"/>
        <w:spacing w:after="0" w:line="276" w:lineRule="auto"/>
        <w:ind w:left="720" w:hanging="720"/>
        <w:rPr>
          <w:rFonts w:cs="Arial"/>
          <w:kern w:val="0"/>
        </w:rPr>
      </w:pPr>
    </w:p>
    <w:p w14:paraId="181955FE" w14:textId="1C2A04DE"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  Luo, S. (2022). </w:t>
      </w:r>
      <w:r w:rsidRPr="00A333D5">
        <w:rPr>
          <w:rFonts w:cs="Arial"/>
          <w:i/>
          <w:iCs/>
          <w:kern w:val="0"/>
        </w:rPr>
        <w:t>Digital finance development and the digital transformation of enterprises: Based on the perspective of financing constraint and innovation drive.  Journal of Mathematics, 2022,</w:t>
      </w:r>
      <w:r w:rsidRPr="00A333D5">
        <w:rPr>
          <w:rFonts w:cs="Arial"/>
          <w:kern w:val="0"/>
        </w:rPr>
        <w:t xml:space="preserve">  Article 1607020. https://doi.org/10.1155/2022/1607020 </w:t>
      </w:r>
    </w:p>
    <w:p w14:paraId="1F049F95"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Links digital finance to enterprise digital transformation, focusing on financing constraints.</w:t>
      </w:r>
    </w:p>
    <w:p w14:paraId="0F6AD459" w14:textId="2ED2743F"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Helps adoption behaviour within broader corporate innovation strategies.</w:t>
      </w:r>
    </w:p>
    <w:p w14:paraId="10611D2C" w14:textId="77777777" w:rsidR="00D84CFA" w:rsidRPr="00A333D5" w:rsidRDefault="00D84CFA" w:rsidP="00D84CFA">
      <w:pPr>
        <w:autoSpaceDE w:val="0"/>
        <w:autoSpaceDN w:val="0"/>
        <w:adjustRightInd w:val="0"/>
        <w:spacing w:after="0" w:line="276" w:lineRule="auto"/>
        <w:ind w:left="720" w:hanging="720"/>
        <w:rPr>
          <w:rFonts w:cs="Arial"/>
          <w:kern w:val="0"/>
        </w:rPr>
      </w:pPr>
    </w:p>
    <w:p w14:paraId="78A8D55B" w14:textId="6FD5A7A2"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  Miglani, A., et al. (2025). A comprehensive study on energy trading and finance using blockchain technology.  Unconventional Resources, 6,  100160. https://doi.org/10.1016/j.uncres.2025.100160 </w:t>
      </w:r>
    </w:p>
    <w:p w14:paraId="000E02FE"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Examines blockchain applications in energy trading and finance.</w:t>
      </w:r>
    </w:p>
    <w:p w14:paraId="34957236" w14:textId="77A09E21" w:rsidR="00D84CFA" w:rsidRPr="00A333D5" w:rsidRDefault="00A82839" w:rsidP="00D84CFA">
      <w:pPr>
        <w:autoSpaceDE w:val="0"/>
        <w:autoSpaceDN w:val="0"/>
        <w:adjustRightInd w:val="0"/>
        <w:spacing w:after="0" w:line="276" w:lineRule="auto"/>
        <w:ind w:left="720"/>
        <w:rPr>
          <w:rFonts w:cs="Arial"/>
          <w:kern w:val="0"/>
        </w:rPr>
      </w:pPr>
      <w:r w:rsidRPr="00A333D5">
        <w:rPr>
          <w:rFonts w:cs="Arial"/>
          <w:kern w:val="0"/>
        </w:rPr>
        <w:t xml:space="preserve">Relevant where the </w:t>
      </w:r>
      <w:r w:rsidR="00D84CFA" w:rsidRPr="00A333D5">
        <w:rPr>
          <w:rFonts w:cs="Arial"/>
          <w:kern w:val="0"/>
        </w:rPr>
        <w:t>cross-industry potential of blockchain for transaction efficiency and transparency.</w:t>
      </w:r>
    </w:p>
    <w:p w14:paraId="644B5456" w14:textId="77777777" w:rsidR="00D84CFA" w:rsidRPr="00A333D5" w:rsidRDefault="00D84CFA" w:rsidP="00D84CFA">
      <w:pPr>
        <w:autoSpaceDE w:val="0"/>
        <w:autoSpaceDN w:val="0"/>
        <w:adjustRightInd w:val="0"/>
        <w:spacing w:after="0" w:line="276" w:lineRule="auto"/>
        <w:ind w:left="720" w:hanging="720"/>
        <w:rPr>
          <w:rFonts w:cs="Arial"/>
          <w:kern w:val="0"/>
        </w:rPr>
      </w:pPr>
    </w:p>
    <w:p w14:paraId="38EF6319" w14:textId="22ADA62A"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  Montazemi, A. R., &amp; Qahri-Saremi, H. (2015). Factors affecting adoption of online banking: A meta-analytic structural equation modelling study.  Information &amp; Management, 52 (2), 210–226. https://doi.org/10.1016/j.im.2014.11.002 </w:t>
      </w:r>
    </w:p>
    <w:p w14:paraId="52B99996"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A meta-analysis of adoption factors in online banking, validated through structural equation modelling.</w:t>
      </w:r>
    </w:p>
    <w:p w14:paraId="3545F1B9"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Provides a firm empirical foundation for behavioural adoption constructs, such as trust and risk.</w:t>
      </w:r>
    </w:p>
    <w:p w14:paraId="5FF2AA37" w14:textId="77777777" w:rsidR="00D84CFA" w:rsidRPr="00A333D5" w:rsidRDefault="00D84CFA" w:rsidP="00A82839">
      <w:pPr>
        <w:autoSpaceDE w:val="0"/>
        <w:autoSpaceDN w:val="0"/>
        <w:adjustRightInd w:val="0"/>
        <w:spacing w:after="0" w:line="276" w:lineRule="auto"/>
        <w:rPr>
          <w:rFonts w:cs="Arial"/>
          <w:kern w:val="0"/>
        </w:rPr>
      </w:pPr>
    </w:p>
    <w:p w14:paraId="7B78F2D8" w14:textId="0DEA3478"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  Pun, K. F., et al. (2008). </w:t>
      </w:r>
      <w:r w:rsidRPr="00A333D5">
        <w:rPr>
          <w:rFonts w:cs="Arial"/>
          <w:i/>
          <w:iCs/>
          <w:kern w:val="0"/>
        </w:rPr>
        <w:t xml:space="preserve">Towards e-business and supply chain operations: An empirical study of Hong Kong’s trading industry.  International Journal of Value Chain Management, 2 (4), </w:t>
      </w:r>
      <w:r w:rsidRPr="00A333D5">
        <w:rPr>
          <w:rFonts w:cs="Arial"/>
          <w:kern w:val="0"/>
        </w:rPr>
        <w:t xml:space="preserve">450–470. https://doi.org/10.1504/ijvcm.2008.019851 </w:t>
      </w:r>
    </w:p>
    <w:p w14:paraId="6A0933C4"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Provides early empirical evidence on e-business adoption in Hong Kong’s trading sector, which is relevant for contextualising the adoption of digital trade finance.</w:t>
      </w:r>
    </w:p>
    <w:p w14:paraId="7E13C43C" w14:textId="7B07C522"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Directly aligning with the TOE framework</w:t>
      </w:r>
      <w:r w:rsidR="00A82839" w:rsidRPr="00A333D5">
        <w:rPr>
          <w:rFonts w:cs="Arial"/>
          <w:kern w:val="0"/>
        </w:rPr>
        <w:t xml:space="preserve">, </w:t>
      </w:r>
      <w:r w:rsidRPr="00A333D5">
        <w:rPr>
          <w:rFonts w:cs="Arial"/>
          <w:kern w:val="0"/>
        </w:rPr>
        <w:t>allowing us to draw a line between earlier e-business barriers and today’s adoption–monetisation gap in digital trade finance.</w:t>
      </w:r>
    </w:p>
    <w:p w14:paraId="402B57BE" w14:textId="77777777" w:rsidR="00217F04" w:rsidRPr="00A333D5" w:rsidRDefault="00217F04" w:rsidP="00D84CFA">
      <w:pPr>
        <w:autoSpaceDE w:val="0"/>
        <w:autoSpaceDN w:val="0"/>
        <w:adjustRightInd w:val="0"/>
        <w:spacing w:after="0" w:line="276" w:lineRule="auto"/>
        <w:ind w:left="720"/>
        <w:rPr>
          <w:rFonts w:cs="Arial"/>
          <w:kern w:val="0"/>
        </w:rPr>
      </w:pPr>
    </w:p>
    <w:p w14:paraId="0A36FDD2" w14:textId="29A6EB16" w:rsidR="00A206C2" w:rsidRPr="00A333D5" w:rsidRDefault="00217F04" w:rsidP="00A206C2">
      <w:pPr>
        <w:spacing w:after="0" w:line="240" w:lineRule="auto"/>
        <w:rPr>
          <w:rFonts w:eastAsia="Times New Roman" w:cs="Times New Roman"/>
          <w:color w:val="000000" w:themeColor="text1"/>
          <w:kern w:val="0"/>
          <w14:ligatures w14:val="none"/>
        </w:rPr>
      </w:pPr>
      <w:r w:rsidRPr="00A333D5">
        <w:rPr>
          <w:rFonts w:eastAsia="Times New Roman" w:cs="Times New Roman"/>
          <w:color w:val="000000" w:themeColor="text1"/>
          <w:kern w:val="0"/>
          <w14:ligatures w14:val="none"/>
        </w:rPr>
        <w:lastRenderedPageBreak/>
        <w:t>Rochet, J.</w:t>
      </w:r>
      <w:r w:rsidRPr="00A333D5">
        <w:rPr>
          <w:rFonts w:eastAsia="Times New Roman" w:cs="Times New Roman"/>
          <w:color w:val="000000" w:themeColor="text1"/>
          <w:kern w:val="0"/>
          <w14:ligatures w14:val="none"/>
        </w:rPr>
        <w:noBreakHyphen/>
        <w:t xml:space="preserve">C., &amp; </w:t>
      </w:r>
      <w:proofErr w:type="spellStart"/>
      <w:r w:rsidRPr="00A333D5">
        <w:rPr>
          <w:rFonts w:eastAsia="Times New Roman" w:cs="Times New Roman"/>
          <w:color w:val="000000" w:themeColor="text1"/>
          <w:kern w:val="0"/>
          <w14:ligatures w14:val="none"/>
        </w:rPr>
        <w:t>Tirole</w:t>
      </w:r>
      <w:proofErr w:type="spellEnd"/>
      <w:r w:rsidRPr="00A333D5">
        <w:rPr>
          <w:rFonts w:eastAsia="Times New Roman" w:cs="Times New Roman"/>
          <w:color w:val="000000" w:themeColor="text1"/>
          <w:kern w:val="0"/>
          <w14:ligatures w14:val="none"/>
        </w:rPr>
        <w:t>, J. (2003). </w:t>
      </w:r>
      <w:r w:rsidRPr="00A333D5">
        <w:rPr>
          <w:rFonts w:eastAsia="Times New Roman" w:cs="Times New Roman"/>
          <w:i/>
          <w:iCs/>
          <w:color w:val="000000" w:themeColor="text1"/>
          <w:kern w:val="0"/>
          <w14:ligatures w14:val="none"/>
        </w:rPr>
        <w:t>Platform competition in two-sided markets</w:t>
      </w:r>
      <w:r w:rsidRPr="00A333D5">
        <w:rPr>
          <w:rFonts w:eastAsia="Times New Roman" w:cs="Times New Roman"/>
          <w:color w:val="000000" w:themeColor="text1"/>
          <w:kern w:val="0"/>
          <w14:ligatures w14:val="none"/>
        </w:rPr>
        <w:t>. </w:t>
      </w:r>
      <w:r w:rsidRPr="00A333D5">
        <w:rPr>
          <w:rFonts w:eastAsia="Times New Roman" w:cs="Times New Roman"/>
          <w:i/>
          <w:iCs/>
          <w:color w:val="000000" w:themeColor="text1"/>
          <w:kern w:val="0"/>
          <w14:ligatures w14:val="none"/>
        </w:rPr>
        <w:t>Journal of the European Economic Association, 1</w:t>
      </w:r>
      <w:r w:rsidRPr="00A333D5">
        <w:rPr>
          <w:rFonts w:eastAsia="Times New Roman" w:cs="Times New Roman"/>
          <w:color w:val="000000" w:themeColor="text1"/>
          <w:kern w:val="0"/>
          <w14:ligatures w14:val="none"/>
        </w:rPr>
        <w:t>(4), 990–1029.</w:t>
      </w:r>
      <w:r w:rsidR="00A206C2" w:rsidRPr="00A333D5">
        <w:rPr>
          <w:rFonts w:eastAsia="Times New Roman" w:cs="Times New Roman"/>
          <w:color w:val="000000" w:themeColor="text1"/>
          <w:kern w:val="0"/>
          <w14:ligatures w14:val="none"/>
        </w:rPr>
        <w:t xml:space="preserve"> </w:t>
      </w:r>
      <w:hyperlink r:id="rId21" w:history="1">
        <w:r w:rsidR="00A206C2" w:rsidRPr="00A333D5">
          <w:rPr>
            <w:rStyle w:val="Hyperlink"/>
            <w:rFonts w:eastAsia="Times New Roman" w:cs="Times New Roman"/>
            <w:color w:val="000000" w:themeColor="text1"/>
            <w:kern w:val="0"/>
            <w14:ligatures w14:val="none"/>
          </w:rPr>
          <w:t>https://www.researchgate.net/profile/Richard-Schmalensee/publication/297823521_An_Instant_Classic_Rochet_Tirole_Platform_Competition_in_Two-Sided_Markets/links/587d1cb608aed3826af00b3e/An-Instant-Classic-Rochet-Tirole-Platform-Competition-in-Two-Sided-Markets.pdf</w:t>
        </w:r>
      </w:hyperlink>
    </w:p>
    <w:p w14:paraId="65C46746" w14:textId="7422A49B" w:rsidR="00217F04" w:rsidRPr="00A333D5" w:rsidRDefault="00A206C2" w:rsidP="00A206C2">
      <w:pPr>
        <w:pStyle w:val="NormalWeb"/>
        <w:spacing w:before="0" w:beforeAutospacing="0" w:after="0" w:afterAutospacing="0"/>
        <w:ind w:left="720"/>
        <w:rPr>
          <w:rFonts w:asciiTheme="minorHAnsi" w:hAnsiTheme="minorHAnsi"/>
          <w:color w:val="000000" w:themeColor="text1"/>
        </w:rPr>
      </w:pPr>
      <w:r w:rsidRPr="00A333D5">
        <w:rPr>
          <w:rFonts w:asciiTheme="minorHAnsi" w:hAnsiTheme="minorHAnsi"/>
          <w:color w:val="000000" w:themeColor="text1"/>
        </w:rPr>
        <w:t>Provides two-sided platforms manage pricing and network effects by subsidizing one group to attract the other. Relevant because digital trade finance function as two-sided markets, requiring similar pricing and adoption strategies to grow and monetize.</w:t>
      </w:r>
    </w:p>
    <w:p w14:paraId="575C306D" w14:textId="77777777" w:rsidR="00D84CFA" w:rsidRPr="00A333D5" w:rsidRDefault="00D84CFA" w:rsidP="00D84CFA">
      <w:pPr>
        <w:autoSpaceDE w:val="0"/>
        <w:autoSpaceDN w:val="0"/>
        <w:adjustRightInd w:val="0"/>
        <w:spacing w:after="0" w:line="276" w:lineRule="auto"/>
        <w:ind w:left="720" w:hanging="720"/>
        <w:rPr>
          <w:rFonts w:cs="Arial"/>
          <w:kern w:val="0"/>
        </w:rPr>
      </w:pPr>
    </w:p>
    <w:p w14:paraId="06BA9E64" w14:textId="23847614"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  Sayari, K. (2025). The AI revolution in financial markets: Balancing innovation opportunities and challenges. In  Education, future jobs and smart systems in the age of artificial intelligence, Part A  (pp. 141–160). Emerald Publishing. https://doi.org/10.1108/978-1-83608-904-920251009 </w:t>
      </w:r>
    </w:p>
    <w:p w14:paraId="405B1F2C"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Explores AI’s disruptive role in financial markets, balancing benefits and challenges.</w:t>
      </w:r>
    </w:p>
    <w:p w14:paraId="04404890" w14:textId="25661F12" w:rsidR="00217F04" w:rsidRPr="00A333D5" w:rsidRDefault="00D84CFA" w:rsidP="00462179">
      <w:pPr>
        <w:autoSpaceDE w:val="0"/>
        <w:autoSpaceDN w:val="0"/>
        <w:adjustRightInd w:val="0"/>
        <w:spacing w:after="0" w:line="276" w:lineRule="auto"/>
        <w:ind w:left="720"/>
        <w:rPr>
          <w:rFonts w:cs="Arial"/>
          <w:kern w:val="0"/>
        </w:rPr>
      </w:pPr>
      <w:r w:rsidRPr="00A333D5">
        <w:rPr>
          <w:rFonts w:cs="Arial"/>
          <w:kern w:val="0"/>
        </w:rPr>
        <w:t>Supports discussion of AI-enabled insights as part of perceived relative benefits.</w:t>
      </w:r>
    </w:p>
    <w:p w14:paraId="4770FBC7" w14:textId="77777777" w:rsidR="00217F04" w:rsidRPr="00A333D5" w:rsidRDefault="00217F04" w:rsidP="00462179">
      <w:pPr>
        <w:autoSpaceDE w:val="0"/>
        <w:autoSpaceDN w:val="0"/>
        <w:adjustRightInd w:val="0"/>
        <w:spacing w:after="0" w:line="276" w:lineRule="auto"/>
        <w:rPr>
          <w:rFonts w:cs="Arial"/>
          <w:kern w:val="0"/>
        </w:rPr>
      </w:pPr>
    </w:p>
    <w:p w14:paraId="02EBEBC4" w14:textId="77777777" w:rsidR="00217F04" w:rsidRPr="00A333D5" w:rsidRDefault="00217F04" w:rsidP="00217F04">
      <w:pPr>
        <w:autoSpaceDE w:val="0"/>
        <w:autoSpaceDN w:val="0"/>
        <w:adjustRightInd w:val="0"/>
        <w:spacing w:after="0" w:line="276" w:lineRule="auto"/>
        <w:ind w:left="720" w:hanging="720"/>
        <w:rPr>
          <w:rFonts w:cs="Arial"/>
          <w:kern w:val="0"/>
        </w:rPr>
      </w:pPr>
      <w:r w:rsidRPr="00A333D5">
        <w:rPr>
          <w:rFonts w:cs="Arial"/>
          <w:kern w:val="0"/>
        </w:rPr>
        <w:t>Susanty, A., et al. (2025). Factors influencing the intention of textile and garment SMEs to adopt digital technologies and their impact on performance.  Scientific Reports, 15 (1), 94625. https://doi.org/10.1038/s41598-025-94625-7</w:t>
      </w:r>
    </w:p>
    <w:p w14:paraId="2FC07726" w14:textId="5FD7972D" w:rsidR="00217F04" w:rsidRPr="00A333D5" w:rsidRDefault="00A82839" w:rsidP="00217F04">
      <w:pPr>
        <w:autoSpaceDE w:val="0"/>
        <w:autoSpaceDN w:val="0"/>
        <w:adjustRightInd w:val="0"/>
        <w:spacing w:after="0" w:line="276" w:lineRule="auto"/>
        <w:ind w:left="720"/>
        <w:rPr>
          <w:rFonts w:cs="Arial"/>
          <w:kern w:val="0"/>
        </w:rPr>
      </w:pPr>
      <w:r w:rsidRPr="00A333D5">
        <w:rPr>
          <w:rFonts w:cs="Arial"/>
          <w:kern w:val="0"/>
        </w:rPr>
        <w:t>Examines</w:t>
      </w:r>
      <w:r w:rsidR="00217F04" w:rsidRPr="00A333D5">
        <w:rPr>
          <w:rFonts w:cs="Arial"/>
          <w:kern w:val="0"/>
        </w:rPr>
        <w:t xml:space="preserve"> the adoption factors of digital technology in SMEs, such as performance expectancy, effort expectancy, and social influence, and linking them to performance outcomes.</w:t>
      </w:r>
    </w:p>
    <w:p w14:paraId="05A7C873" w14:textId="77777777" w:rsidR="00217F04" w:rsidRPr="00A333D5" w:rsidRDefault="00217F04" w:rsidP="00217F04">
      <w:pPr>
        <w:autoSpaceDE w:val="0"/>
        <w:autoSpaceDN w:val="0"/>
        <w:adjustRightInd w:val="0"/>
        <w:spacing w:after="0" w:line="276" w:lineRule="auto"/>
        <w:ind w:left="720"/>
        <w:rPr>
          <w:rFonts w:cs="Arial"/>
          <w:kern w:val="0"/>
        </w:rPr>
      </w:pPr>
      <w:r w:rsidRPr="00A333D5">
        <w:rPr>
          <w:rFonts w:cs="Arial"/>
          <w:kern w:val="0"/>
        </w:rPr>
        <w:t xml:space="preserve">Although SME-focused, this article provides transferable </w:t>
      </w:r>
      <w:proofErr w:type="spellStart"/>
      <w:r w:rsidRPr="00A333D5">
        <w:rPr>
          <w:rFonts w:cs="Arial"/>
          <w:kern w:val="0"/>
        </w:rPr>
        <w:t>behavioural</w:t>
      </w:r>
      <w:proofErr w:type="spellEnd"/>
      <w:r w:rsidRPr="00A333D5">
        <w:rPr>
          <w:rFonts w:cs="Arial"/>
          <w:kern w:val="0"/>
        </w:rPr>
        <w:t xml:space="preserve"> constructs relevant to treasurers’ adoption of digital trade finance platforms.</w:t>
      </w:r>
    </w:p>
    <w:p w14:paraId="3F8575F3" w14:textId="77777777" w:rsidR="00D84CFA" w:rsidRPr="00A333D5" w:rsidRDefault="00D84CFA" w:rsidP="00D84CFA">
      <w:pPr>
        <w:autoSpaceDE w:val="0"/>
        <w:autoSpaceDN w:val="0"/>
        <w:adjustRightInd w:val="0"/>
        <w:spacing w:after="0" w:line="276" w:lineRule="auto"/>
        <w:ind w:left="720" w:hanging="720"/>
        <w:rPr>
          <w:rFonts w:cs="Arial"/>
          <w:kern w:val="0"/>
        </w:rPr>
      </w:pPr>
    </w:p>
    <w:p w14:paraId="33742D6F" w14:textId="3072C39D" w:rsidR="00217F04" w:rsidRPr="00A333D5" w:rsidRDefault="00462179" w:rsidP="00462179">
      <w:pPr>
        <w:autoSpaceDE w:val="0"/>
        <w:autoSpaceDN w:val="0"/>
        <w:adjustRightInd w:val="0"/>
        <w:spacing w:after="0" w:line="276" w:lineRule="auto"/>
      </w:pPr>
      <w:r w:rsidRPr="00A333D5">
        <w:rPr>
          <w:color w:val="000000"/>
        </w:rPr>
        <w:t>Tanveer, U., Hoang, T. G., &amp; Ishaq, S. (2025).</w:t>
      </w:r>
      <w:r w:rsidRPr="00A333D5">
        <w:rPr>
          <w:rStyle w:val="apple-converted-space"/>
          <w:color w:val="000000"/>
        </w:rPr>
        <w:t> </w:t>
      </w:r>
      <w:r w:rsidRPr="00A333D5">
        <w:rPr>
          <w:rStyle w:val="Emphasis"/>
          <w:color w:val="000000"/>
        </w:rPr>
        <w:t>Reshaping global trade finance and supply chains through digital supply chain finance platforms</w:t>
      </w:r>
      <w:r w:rsidRPr="00A333D5">
        <w:rPr>
          <w:color w:val="000000"/>
        </w:rPr>
        <w:t>.</w:t>
      </w:r>
      <w:r w:rsidRPr="00A333D5">
        <w:rPr>
          <w:rStyle w:val="apple-converted-space"/>
          <w:color w:val="000000"/>
        </w:rPr>
        <w:t> </w:t>
      </w:r>
      <w:r w:rsidRPr="00A333D5">
        <w:rPr>
          <w:rStyle w:val="Emphasis"/>
          <w:color w:val="000000"/>
        </w:rPr>
        <w:t>Journal of Business Logistics</w:t>
      </w:r>
      <w:r w:rsidRPr="00A333D5">
        <w:rPr>
          <w:color w:val="000000"/>
        </w:rPr>
        <w:t>. Advance online publication.</w:t>
      </w:r>
      <w:r w:rsidRPr="00A333D5">
        <w:rPr>
          <w:rStyle w:val="apple-converted-space"/>
          <w:color w:val="000000"/>
        </w:rPr>
        <w:t> </w:t>
      </w:r>
      <w:hyperlink r:id="rId22" w:history="1">
        <w:r w:rsidR="00766555" w:rsidRPr="00A333D5">
          <w:rPr>
            <w:rStyle w:val="Hyperlink"/>
          </w:rPr>
          <w:t>https://doi.org/10.1111/jbl.70022</w:t>
        </w:r>
      </w:hyperlink>
    </w:p>
    <w:p w14:paraId="6E389A77" w14:textId="43C80C8D" w:rsidR="00766555" w:rsidRPr="00A333D5" w:rsidRDefault="00766555" w:rsidP="00766555">
      <w:pPr>
        <w:pStyle w:val="NormalWeb"/>
        <w:spacing w:before="0" w:beforeAutospacing="0" w:after="0" w:afterAutospacing="0"/>
        <w:ind w:left="360"/>
        <w:rPr>
          <w:rFonts w:asciiTheme="minorHAnsi" w:hAnsiTheme="minorHAnsi"/>
          <w:color w:val="000000"/>
        </w:rPr>
      </w:pPr>
      <w:r w:rsidRPr="00A333D5">
        <w:rPr>
          <w:rFonts w:asciiTheme="minorHAnsi" w:hAnsiTheme="minorHAnsi"/>
          <w:color w:val="000000"/>
        </w:rPr>
        <w:t>Provide digital supply chain finance platforms enhance efficiency, transparency, and financing access in global trade. Relevant as it highlights how digital platforms create value and new fee-based income opportunities in trade finance.</w:t>
      </w:r>
    </w:p>
    <w:p w14:paraId="0FDBA963" w14:textId="77777777" w:rsidR="00217F04" w:rsidRPr="00A333D5" w:rsidRDefault="00217F04" w:rsidP="00766555">
      <w:pPr>
        <w:autoSpaceDE w:val="0"/>
        <w:autoSpaceDN w:val="0"/>
        <w:adjustRightInd w:val="0"/>
        <w:spacing w:after="0" w:line="276" w:lineRule="auto"/>
        <w:rPr>
          <w:rFonts w:cs="Arial"/>
          <w:kern w:val="0"/>
        </w:rPr>
      </w:pPr>
    </w:p>
    <w:p w14:paraId="2B9870B4" w14:textId="16A36D19" w:rsidR="00D84CFA" w:rsidRPr="00A333D5" w:rsidRDefault="00D84CFA" w:rsidP="00766555">
      <w:pPr>
        <w:autoSpaceDE w:val="0"/>
        <w:autoSpaceDN w:val="0"/>
        <w:adjustRightInd w:val="0"/>
        <w:spacing w:after="0" w:line="276" w:lineRule="auto"/>
        <w:ind w:left="360" w:hanging="360"/>
        <w:rPr>
          <w:rFonts w:cs="Arial"/>
          <w:kern w:val="0"/>
        </w:rPr>
      </w:pPr>
      <w:r w:rsidRPr="00A333D5">
        <w:rPr>
          <w:rFonts w:cs="Arial"/>
          <w:kern w:val="0"/>
        </w:rPr>
        <w:t xml:space="preserve">Tsui, Y., et al. (2019). Fintech development in Hong Kong, China.  Econstor.  https://www.econstor.eu/handle/10419/222780 </w:t>
      </w:r>
    </w:p>
    <w:p w14:paraId="12288016" w14:textId="77777777" w:rsidR="00D84CFA" w:rsidRPr="00A333D5" w:rsidRDefault="00D84CFA" w:rsidP="00D84CFA">
      <w:pPr>
        <w:autoSpaceDE w:val="0"/>
        <w:autoSpaceDN w:val="0"/>
        <w:adjustRightInd w:val="0"/>
        <w:spacing w:after="0" w:line="276" w:lineRule="auto"/>
        <w:ind w:left="1440" w:hanging="720"/>
        <w:rPr>
          <w:rFonts w:cs="Arial"/>
          <w:kern w:val="0"/>
        </w:rPr>
      </w:pPr>
      <w:r w:rsidRPr="00A333D5">
        <w:rPr>
          <w:rFonts w:cs="Arial"/>
          <w:kern w:val="0"/>
        </w:rPr>
        <w:t>Discusses fintech development trends in Hong Kong, including regulatory measures.</w:t>
      </w:r>
    </w:p>
    <w:p w14:paraId="62F53095" w14:textId="4FF96B0E" w:rsidR="00DC253E" w:rsidRPr="00A333D5" w:rsidRDefault="00D84CFA" w:rsidP="00766555">
      <w:pPr>
        <w:autoSpaceDE w:val="0"/>
        <w:autoSpaceDN w:val="0"/>
        <w:adjustRightInd w:val="0"/>
        <w:spacing w:after="0" w:line="276" w:lineRule="auto"/>
        <w:ind w:left="1440" w:hanging="720"/>
        <w:rPr>
          <w:rFonts w:cs="Arial"/>
          <w:kern w:val="0"/>
        </w:rPr>
      </w:pPr>
      <w:r w:rsidRPr="00A333D5">
        <w:rPr>
          <w:rFonts w:cs="Arial"/>
          <w:kern w:val="0"/>
        </w:rPr>
        <w:t>Provides helpful background on Hong Kong’s digital finance environment.</w:t>
      </w:r>
    </w:p>
    <w:p w14:paraId="3A99BB3D" w14:textId="63480A86" w:rsidR="00D84CFA" w:rsidRPr="00A333D5" w:rsidRDefault="00D84CFA" w:rsidP="0071647D">
      <w:pPr>
        <w:autoSpaceDE w:val="0"/>
        <w:autoSpaceDN w:val="0"/>
        <w:adjustRightInd w:val="0"/>
        <w:spacing w:after="0" w:line="276" w:lineRule="auto"/>
        <w:ind w:left="720" w:hanging="720"/>
        <w:rPr>
          <w:rFonts w:cs="Arial"/>
          <w:kern w:val="0"/>
        </w:rPr>
      </w:pPr>
      <w:r w:rsidRPr="00A333D5">
        <w:rPr>
          <w:rFonts w:cs="Arial"/>
          <w:kern w:val="0"/>
        </w:rPr>
        <w:lastRenderedPageBreak/>
        <w:t xml:space="preserve">Weber, R. H. (2015). </w:t>
      </w:r>
      <w:r w:rsidRPr="00A333D5">
        <w:rPr>
          <w:rFonts w:cs="Arial"/>
          <w:i/>
          <w:iCs/>
          <w:kern w:val="0"/>
        </w:rPr>
        <w:t>Digital trade and e-commerce: Challenges and opportunities of the Asia-Pacific regionalism.  Asian Journal of WTO and International Health Law and Policy, 10,</w:t>
      </w:r>
      <w:r w:rsidRPr="00A333D5">
        <w:rPr>
          <w:rFonts w:cs="Arial"/>
          <w:kern w:val="0"/>
        </w:rPr>
        <w:t xml:space="preserve">  321–343.  </w:t>
      </w:r>
    </w:p>
    <w:p w14:paraId="36B0D95E"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Examines regional e-commerce and trade policy issues in the Asia-Pacific.</w:t>
      </w:r>
    </w:p>
    <w:p w14:paraId="398FCC8E"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Helpful in positioning Hong Kong’s digital trade within broader regional frameworks.</w:t>
      </w:r>
    </w:p>
    <w:p w14:paraId="5CA74285" w14:textId="77777777" w:rsidR="00D84CFA" w:rsidRPr="00A333D5" w:rsidRDefault="00D84CFA" w:rsidP="00D84CFA">
      <w:pPr>
        <w:autoSpaceDE w:val="0"/>
        <w:autoSpaceDN w:val="0"/>
        <w:adjustRightInd w:val="0"/>
        <w:spacing w:after="0" w:line="276" w:lineRule="auto"/>
        <w:ind w:left="720" w:hanging="720"/>
        <w:rPr>
          <w:rFonts w:cs="Arial"/>
          <w:kern w:val="0"/>
        </w:rPr>
      </w:pPr>
    </w:p>
    <w:p w14:paraId="17AFC77A" w14:textId="717BBEDD"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  Xiao, N., et al. (2023). </w:t>
      </w:r>
      <w:r w:rsidRPr="00A333D5">
        <w:rPr>
          <w:rFonts w:cs="Arial"/>
          <w:i/>
          <w:iCs/>
          <w:kern w:val="0"/>
        </w:rPr>
        <w:t>Role of digital finance, investment, and trade in technological progress.  Global Finance Journal, 57,</w:t>
      </w:r>
      <w:r w:rsidRPr="00A333D5">
        <w:rPr>
          <w:rFonts w:cs="Arial"/>
          <w:kern w:val="0"/>
        </w:rPr>
        <w:t xml:space="preserve">  100853. https://doi.org/10.1016/j.gfj.2023.100853 </w:t>
      </w:r>
    </w:p>
    <w:p w14:paraId="4D846105" w14:textId="77777777" w:rsidR="00D84CFA" w:rsidRPr="00A333D5" w:rsidRDefault="00D84CFA" w:rsidP="00D84CFA">
      <w:pPr>
        <w:autoSpaceDE w:val="0"/>
        <w:autoSpaceDN w:val="0"/>
        <w:adjustRightInd w:val="0"/>
        <w:spacing w:after="0" w:line="276" w:lineRule="auto"/>
        <w:ind w:left="1440" w:hanging="720"/>
        <w:rPr>
          <w:rFonts w:cs="Arial"/>
          <w:kern w:val="0"/>
        </w:rPr>
      </w:pPr>
      <w:r w:rsidRPr="00A333D5">
        <w:rPr>
          <w:rFonts w:cs="Arial"/>
          <w:kern w:val="0"/>
        </w:rPr>
        <w:t>Explores how digital finance and trade contribute to technological progress.</w:t>
      </w:r>
    </w:p>
    <w:p w14:paraId="6A8AE484" w14:textId="77777777" w:rsidR="00D84CFA" w:rsidRPr="00A333D5" w:rsidRDefault="00D84CFA" w:rsidP="00D84CFA">
      <w:pPr>
        <w:autoSpaceDE w:val="0"/>
        <w:autoSpaceDN w:val="0"/>
        <w:adjustRightInd w:val="0"/>
        <w:spacing w:after="0" w:line="276" w:lineRule="auto"/>
        <w:ind w:left="1440" w:hanging="720"/>
        <w:rPr>
          <w:rFonts w:cs="Arial"/>
          <w:kern w:val="0"/>
        </w:rPr>
      </w:pPr>
      <w:r w:rsidRPr="00A333D5">
        <w:rPr>
          <w:rFonts w:cs="Arial"/>
          <w:kern w:val="0"/>
        </w:rPr>
        <w:t>Relevant for linking adoption to broader innovation and competitiveness outcomes.</w:t>
      </w:r>
    </w:p>
    <w:p w14:paraId="6F489B02" w14:textId="77777777" w:rsidR="00DC253E" w:rsidRPr="00A333D5" w:rsidRDefault="00D84CFA" w:rsidP="00766555">
      <w:pPr>
        <w:autoSpaceDE w:val="0"/>
        <w:autoSpaceDN w:val="0"/>
        <w:adjustRightInd w:val="0"/>
        <w:spacing w:after="0" w:line="276" w:lineRule="auto"/>
        <w:rPr>
          <w:rFonts w:cs="Arial"/>
          <w:kern w:val="0"/>
        </w:rPr>
      </w:pPr>
      <w:r w:rsidRPr="00A333D5">
        <w:rPr>
          <w:rFonts w:cs="Arial"/>
          <w:kern w:val="0"/>
        </w:rPr>
        <w:t xml:space="preserve">  </w:t>
      </w:r>
    </w:p>
    <w:p w14:paraId="1D8BA48E" w14:textId="1A19EA92" w:rsidR="00D84CFA" w:rsidRPr="00A333D5" w:rsidRDefault="00D84CFA" w:rsidP="009B55CA">
      <w:pPr>
        <w:autoSpaceDE w:val="0"/>
        <w:autoSpaceDN w:val="0"/>
        <w:adjustRightInd w:val="0"/>
        <w:spacing w:after="0" w:line="276" w:lineRule="auto"/>
        <w:ind w:left="90" w:hanging="90"/>
        <w:rPr>
          <w:rFonts w:cs="Arial"/>
          <w:kern w:val="0"/>
        </w:rPr>
      </w:pPr>
      <w:r w:rsidRPr="00A333D5">
        <w:rPr>
          <w:rFonts w:cs="Arial"/>
          <w:kern w:val="0"/>
        </w:rPr>
        <w:t xml:space="preserve">Yin, Q., &amp; Wang, C. (2025). Research on the mechanisms and effects of digital finance on </w:t>
      </w:r>
      <w:r w:rsidR="00750FB8" w:rsidRPr="00A333D5">
        <w:rPr>
          <w:rFonts w:cs="Arial"/>
          <w:kern w:val="0"/>
        </w:rPr>
        <w:t xml:space="preserve">the </w:t>
      </w:r>
      <w:r w:rsidRPr="00A333D5">
        <w:rPr>
          <w:rFonts w:cs="Arial"/>
          <w:kern w:val="0"/>
        </w:rPr>
        <w:t xml:space="preserve">high-quality development of foreign trade.  Sustainability, 17 (13), 5777. https://doi.org/10.3390/su17135777 </w:t>
      </w:r>
    </w:p>
    <w:p w14:paraId="1134A265" w14:textId="77777777" w:rsidR="00D84CFA" w:rsidRPr="00A333D5" w:rsidRDefault="00D84CFA" w:rsidP="00D84CFA">
      <w:pPr>
        <w:autoSpaceDE w:val="0"/>
        <w:autoSpaceDN w:val="0"/>
        <w:adjustRightInd w:val="0"/>
        <w:spacing w:after="0" w:line="276" w:lineRule="auto"/>
        <w:ind w:left="1440" w:hanging="720"/>
        <w:rPr>
          <w:rFonts w:cs="Arial"/>
          <w:kern w:val="0"/>
        </w:rPr>
      </w:pPr>
      <w:r w:rsidRPr="00A333D5">
        <w:rPr>
          <w:rFonts w:cs="Arial"/>
          <w:kern w:val="0"/>
        </w:rPr>
        <w:t>Studies how digital finance promotes high-quality development in foreign trade.</w:t>
      </w:r>
    </w:p>
    <w:p w14:paraId="2B46C91F" w14:textId="6CCF871D"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Supports argument that digital adoption underpins systemic and trade level growth.</w:t>
      </w:r>
    </w:p>
    <w:p w14:paraId="559E683A" w14:textId="77777777" w:rsidR="00D84CFA" w:rsidRPr="00A333D5" w:rsidRDefault="00D84CFA" w:rsidP="00D84CFA">
      <w:pPr>
        <w:autoSpaceDE w:val="0"/>
        <w:autoSpaceDN w:val="0"/>
        <w:adjustRightInd w:val="0"/>
        <w:spacing w:after="0" w:line="276" w:lineRule="auto"/>
        <w:ind w:left="720" w:hanging="720"/>
        <w:rPr>
          <w:rFonts w:cs="Arial"/>
          <w:kern w:val="0"/>
        </w:rPr>
      </w:pPr>
    </w:p>
    <w:p w14:paraId="39115B3A" w14:textId="42131558"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  Zhang, J., et al. (2025). Firm digitalisation and inter-firm financing along the supply chain.  Economic Analysis and Policy, 86,  98–116. https://doi.org/10.1016/j.eap.2025.02.043 </w:t>
      </w:r>
    </w:p>
    <w:p w14:paraId="69E597F5" w14:textId="4E2C50E9"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 xml:space="preserve">Analyses firm </w:t>
      </w:r>
      <w:proofErr w:type="spellStart"/>
      <w:r w:rsidRPr="00A333D5">
        <w:rPr>
          <w:rFonts w:cs="Arial"/>
          <w:kern w:val="0"/>
        </w:rPr>
        <w:t>digitalisation</w:t>
      </w:r>
      <w:proofErr w:type="spellEnd"/>
      <w:r w:rsidRPr="00A333D5">
        <w:rPr>
          <w:rFonts w:cs="Arial"/>
          <w:kern w:val="0"/>
        </w:rPr>
        <w:t xml:space="preserve"> facilitates financing along supply chains.</w:t>
      </w:r>
    </w:p>
    <w:p w14:paraId="280394AE"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Strengthens the connection between digital adoption, financing efficiency, and trade flows.</w:t>
      </w:r>
    </w:p>
    <w:p w14:paraId="2C6BA8A9" w14:textId="77777777" w:rsidR="00D84CFA" w:rsidRPr="00A333D5" w:rsidRDefault="00D84CFA" w:rsidP="00D84CFA">
      <w:pPr>
        <w:autoSpaceDE w:val="0"/>
        <w:autoSpaceDN w:val="0"/>
        <w:adjustRightInd w:val="0"/>
        <w:spacing w:after="0" w:line="276" w:lineRule="auto"/>
        <w:ind w:left="720" w:hanging="720"/>
        <w:rPr>
          <w:rFonts w:cs="Arial"/>
          <w:kern w:val="0"/>
        </w:rPr>
      </w:pPr>
    </w:p>
    <w:p w14:paraId="39321FE1" w14:textId="7564E27F"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  Zhang, Y., et al. (2020). </w:t>
      </w:r>
      <w:r w:rsidRPr="00A333D5">
        <w:rPr>
          <w:rFonts w:cs="Arial"/>
          <w:i/>
          <w:iCs/>
          <w:kern w:val="0"/>
        </w:rPr>
        <w:t>Critical success factors of green innovation: Technology, organisation and environment readiness.  Journal of Cleaner Production, 264,</w:t>
      </w:r>
      <w:r w:rsidRPr="00A333D5">
        <w:rPr>
          <w:rFonts w:cs="Arial"/>
          <w:kern w:val="0"/>
        </w:rPr>
        <w:t xml:space="preserve">  121701. https://doi.org/10.1016/j.jclepro.2020.121701 </w:t>
      </w:r>
    </w:p>
    <w:p w14:paraId="52FDD553" w14:textId="77777777" w:rsidR="00D84CFA" w:rsidRPr="00A333D5" w:rsidRDefault="00D84CFA" w:rsidP="00D84CFA">
      <w:pPr>
        <w:autoSpaceDE w:val="0"/>
        <w:autoSpaceDN w:val="0"/>
        <w:adjustRightInd w:val="0"/>
        <w:spacing w:after="0" w:line="276" w:lineRule="auto"/>
        <w:ind w:left="1440" w:hanging="720"/>
        <w:rPr>
          <w:rFonts w:cs="Arial"/>
          <w:kern w:val="0"/>
        </w:rPr>
      </w:pPr>
      <w:r w:rsidRPr="00A333D5">
        <w:rPr>
          <w:rFonts w:cs="Arial"/>
          <w:kern w:val="0"/>
        </w:rPr>
        <w:t>Applies TOE to analyse readiness factors for green innovation adoption.</w:t>
      </w:r>
    </w:p>
    <w:p w14:paraId="6EEDC224" w14:textId="77777777" w:rsidR="00D84CFA" w:rsidRPr="00A333D5" w:rsidRDefault="00D84CFA" w:rsidP="00D84CFA">
      <w:pPr>
        <w:autoSpaceDE w:val="0"/>
        <w:autoSpaceDN w:val="0"/>
        <w:adjustRightInd w:val="0"/>
        <w:spacing w:after="0" w:line="276" w:lineRule="auto"/>
        <w:ind w:left="1440" w:hanging="720"/>
        <w:rPr>
          <w:rFonts w:cs="Arial"/>
          <w:kern w:val="0"/>
        </w:rPr>
      </w:pPr>
      <w:r w:rsidRPr="00A333D5">
        <w:rPr>
          <w:rFonts w:cs="Arial"/>
          <w:kern w:val="0"/>
        </w:rPr>
        <w:t>Useful for methodological parallels in applying TOE to digitalisation in trade finance.</w:t>
      </w:r>
    </w:p>
    <w:p w14:paraId="323DDBFC" w14:textId="77777777" w:rsidR="00D84CFA" w:rsidRPr="00A333D5" w:rsidRDefault="00D84CFA" w:rsidP="00D84CFA">
      <w:pPr>
        <w:autoSpaceDE w:val="0"/>
        <w:autoSpaceDN w:val="0"/>
        <w:adjustRightInd w:val="0"/>
        <w:spacing w:after="0" w:line="276" w:lineRule="auto"/>
        <w:ind w:left="720" w:hanging="720"/>
        <w:rPr>
          <w:rFonts w:cs="Arial"/>
          <w:kern w:val="0"/>
        </w:rPr>
      </w:pPr>
    </w:p>
    <w:p w14:paraId="0A2D2499" w14:textId="09F80B8D"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  Zheng, M. (2025). Digital finance, e-commerce development, and regional trade development.  Finance Research Letters, 81,  107532. https://doi.org/10.1016/j.frl.2025.107532 </w:t>
      </w:r>
    </w:p>
    <w:p w14:paraId="00E1B117" w14:textId="1528C773"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Explores digital finance and e-commerce in driving regional trade growth.</w:t>
      </w:r>
    </w:p>
    <w:p w14:paraId="6D5378F9"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Provides evidence of digital finance’s role in trade facilitation, which is relevant to Hong Kong’s GBA role.</w:t>
      </w:r>
    </w:p>
    <w:p w14:paraId="3654DC73" w14:textId="77777777" w:rsidR="00D84CFA" w:rsidRPr="00A333D5" w:rsidRDefault="00D84CFA" w:rsidP="00D84CFA">
      <w:pPr>
        <w:autoSpaceDE w:val="0"/>
        <w:autoSpaceDN w:val="0"/>
        <w:adjustRightInd w:val="0"/>
        <w:spacing w:after="0" w:line="276" w:lineRule="auto"/>
        <w:ind w:left="720" w:hanging="720"/>
        <w:rPr>
          <w:rFonts w:cs="Arial"/>
          <w:kern w:val="0"/>
        </w:rPr>
      </w:pPr>
    </w:p>
    <w:p w14:paraId="7099EDAF" w14:textId="52919C3D"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lastRenderedPageBreak/>
        <w:t xml:space="preserve">  Zheng, M. (2025). Digital finance, financing constraints, and regional trade development.  Finance Research Letters, 85,  108037. </w:t>
      </w:r>
      <w:hyperlink r:id="rId23" w:history="1">
        <w:r w:rsidR="004A205C" w:rsidRPr="00A333D5">
          <w:rPr>
            <w:rStyle w:val="Hyperlink"/>
            <w:rFonts w:cs="Arial"/>
            <w:kern w:val="0"/>
          </w:rPr>
          <w:t>https://doi.org/10.1016/j.frl.2025.108037</w:t>
        </w:r>
      </w:hyperlink>
      <w:r w:rsidR="004A205C" w:rsidRPr="00A333D5">
        <w:rPr>
          <w:rFonts w:cs="Arial"/>
          <w:kern w:val="0"/>
        </w:rPr>
        <w:tab/>
      </w:r>
      <w:r w:rsidRPr="00A333D5">
        <w:rPr>
          <w:rFonts w:cs="Arial"/>
          <w:kern w:val="0"/>
        </w:rPr>
        <w:t xml:space="preserve"> </w:t>
      </w:r>
    </w:p>
    <w:p w14:paraId="27A97104" w14:textId="22FA4215" w:rsidR="00D84CFA" w:rsidRPr="00A333D5" w:rsidRDefault="00D84CFA" w:rsidP="004A205C">
      <w:pPr>
        <w:autoSpaceDE w:val="0"/>
        <w:autoSpaceDN w:val="0"/>
        <w:adjustRightInd w:val="0"/>
        <w:spacing w:after="0" w:line="276" w:lineRule="auto"/>
        <w:ind w:left="720"/>
        <w:rPr>
          <w:rFonts w:cs="Arial"/>
          <w:kern w:val="0"/>
        </w:rPr>
      </w:pPr>
      <w:proofErr w:type="spellStart"/>
      <w:r w:rsidRPr="00A333D5">
        <w:rPr>
          <w:rFonts w:cs="Arial"/>
          <w:kern w:val="0"/>
        </w:rPr>
        <w:t>Examinesdigital</w:t>
      </w:r>
      <w:proofErr w:type="spellEnd"/>
      <w:r w:rsidRPr="00A333D5">
        <w:rPr>
          <w:rFonts w:cs="Arial"/>
          <w:kern w:val="0"/>
        </w:rPr>
        <w:t xml:space="preserve"> finance alleviates financing constraints and enhances regional trade.</w:t>
      </w:r>
      <w:r w:rsidR="004A205C" w:rsidRPr="00A333D5">
        <w:rPr>
          <w:rFonts w:cs="Arial"/>
          <w:kern w:val="0"/>
        </w:rPr>
        <w:t xml:space="preserve"> </w:t>
      </w:r>
      <w:r w:rsidRPr="00A333D5">
        <w:rPr>
          <w:rFonts w:cs="Arial"/>
          <w:kern w:val="0"/>
        </w:rPr>
        <w:t>Supports the study’s link between digital adoption and improved financing outcomes.</w:t>
      </w:r>
    </w:p>
    <w:p w14:paraId="2A615DC0" w14:textId="77777777" w:rsidR="00D84CFA" w:rsidRPr="00A333D5" w:rsidRDefault="00D84CFA" w:rsidP="00D84CFA">
      <w:pPr>
        <w:autoSpaceDE w:val="0"/>
        <w:autoSpaceDN w:val="0"/>
        <w:adjustRightInd w:val="0"/>
        <w:spacing w:after="0" w:line="276" w:lineRule="auto"/>
        <w:ind w:left="720" w:hanging="720"/>
        <w:rPr>
          <w:rFonts w:cs="Arial"/>
          <w:kern w:val="0"/>
        </w:rPr>
      </w:pPr>
    </w:p>
    <w:p w14:paraId="74566A89" w14:textId="1B210384"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  Zhou, Z., &amp; Li, Z. (2023). </w:t>
      </w:r>
      <w:r w:rsidRPr="00A333D5">
        <w:rPr>
          <w:rFonts w:cs="Arial"/>
          <w:i/>
          <w:iCs/>
          <w:kern w:val="0"/>
        </w:rPr>
        <w:t xml:space="preserve">Corporate digital transformation and trade credit financing. Journal of Business Research, 160, </w:t>
      </w:r>
      <w:r w:rsidRPr="00A333D5">
        <w:rPr>
          <w:rFonts w:cs="Arial"/>
          <w:kern w:val="0"/>
        </w:rPr>
        <w:t xml:space="preserve"> 113793. https://doi.org/10.1016/j.jbusres.2023.113793 </w:t>
      </w:r>
    </w:p>
    <w:p w14:paraId="4CD8FCCC" w14:textId="7C26BA7F" w:rsidR="004A205C" w:rsidRPr="00A333D5" w:rsidRDefault="004A205C" w:rsidP="004A205C">
      <w:pPr>
        <w:autoSpaceDE w:val="0"/>
        <w:autoSpaceDN w:val="0"/>
        <w:adjustRightInd w:val="0"/>
        <w:spacing w:after="0" w:line="276" w:lineRule="auto"/>
        <w:ind w:left="1440" w:hanging="720"/>
        <w:rPr>
          <w:rFonts w:cs="Arial"/>
          <w:kern w:val="0"/>
        </w:rPr>
      </w:pPr>
      <w:r w:rsidRPr="00A333D5">
        <w:rPr>
          <w:rFonts w:cs="Arial"/>
          <w:kern w:val="0"/>
        </w:rPr>
        <w:t>Analyses corporate digital transformation affects trade credit financing.</w:t>
      </w:r>
    </w:p>
    <w:p w14:paraId="3BC863D2" w14:textId="3B670583" w:rsidR="00D84CFA" w:rsidRPr="00A333D5" w:rsidRDefault="004A205C" w:rsidP="004A205C">
      <w:pPr>
        <w:autoSpaceDE w:val="0"/>
        <w:autoSpaceDN w:val="0"/>
        <w:adjustRightInd w:val="0"/>
        <w:spacing w:after="0" w:line="276" w:lineRule="auto"/>
        <w:ind w:left="720"/>
        <w:rPr>
          <w:rFonts w:cs="Arial"/>
          <w:kern w:val="0"/>
        </w:rPr>
      </w:pPr>
      <w:r w:rsidRPr="00A333D5">
        <w:rPr>
          <w:rFonts w:cs="Arial"/>
          <w:kern w:val="0"/>
        </w:rPr>
        <w:t>Directly relevant to understanding the financial outcomes of digital adoption in trade finance.</w:t>
      </w:r>
    </w:p>
    <w:p w14:paraId="6F0EDB83" w14:textId="77777777" w:rsidR="00974724" w:rsidRPr="00A333D5" w:rsidRDefault="00974724" w:rsidP="00D84CFA">
      <w:pPr>
        <w:tabs>
          <w:tab w:val="left" w:pos="0"/>
          <w:tab w:val="left" w:pos="360"/>
        </w:tabs>
        <w:spacing w:before="100" w:beforeAutospacing="1" w:after="100" w:afterAutospacing="1" w:line="276" w:lineRule="auto"/>
        <w:ind w:left="720" w:hanging="720"/>
        <w:jc w:val="both"/>
        <w:rPr>
          <w:rFonts w:eastAsia="Times New Roman" w:cs="Arial"/>
          <w:color w:val="000000"/>
          <w:kern w:val="0"/>
          <w14:ligatures w14:val="none"/>
        </w:rPr>
      </w:pPr>
    </w:p>
    <w:sectPr w:rsidR="00974724" w:rsidRPr="00A333D5">
      <w:footerReference w:type="even" r:id="rId24"/>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429888" w14:textId="77777777" w:rsidR="00BA485A" w:rsidRDefault="00BA485A" w:rsidP="00974724">
      <w:pPr>
        <w:spacing w:after="0" w:line="240" w:lineRule="auto"/>
      </w:pPr>
      <w:r>
        <w:separator/>
      </w:r>
    </w:p>
  </w:endnote>
  <w:endnote w:type="continuationSeparator" w:id="0">
    <w:p w14:paraId="27444DE7" w14:textId="77777777" w:rsidR="00BA485A" w:rsidRDefault="00BA485A" w:rsidP="009747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04988378"/>
      <w:docPartObj>
        <w:docPartGallery w:val="Page Numbers (Bottom of Page)"/>
        <w:docPartUnique/>
      </w:docPartObj>
    </w:sdtPr>
    <w:sdtContent>
      <w:p w14:paraId="2204B686" w14:textId="4FC1C6EC" w:rsidR="00974724" w:rsidRDefault="00974724" w:rsidP="00774F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5FF664F" w14:textId="77777777" w:rsidR="00974724" w:rsidRDefault="00974724" w:rsidP="0097472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5BDD57" w14:textId="252ED03A" w:rsidR="00974724" w:rsidRDefault="00000000" w:rsidP="00774F9B">
    <w:pPr>
      <w:pStyle w:val="Footer"/>
      <w:framePr w:wrap="none" w:vAnchor="text" w:hAnchor="margin" w:xAlign="right" w:y="1"/>
      <w:rPr>
        <w:rStyle w:val="PageNumber"/>
      </w:rPr>
    </w:pPr>
    <w:sdt>
      <w:sdtPr>
        <w:rPr>
          <w:rStyle w:val="PageNumber"/>
        </w:rPr>
        <w:id w:val="66621470"/>
        <w:docPartObj>
          <w:docPartGallery w:val="Page Numbers (Bottom of Page)"/>
          <w:docPartUnique/>
        </w:docPartObj>
      </w:sdtPr>
      <w:sdtContent>
        <w:r w:rsidR="00974724">
          <w:rPr>
            <w:rStyle w:val="PageNumber"/>
          </w:rPr>
          <w:fldChar w:fldCharType="begin"/>
        </w:r>
        <w:r w:rsidR="00974724">
          <w:rPr>
            <w:rStyle w:val="PageNumber"/>
          </w:rPr>
          <w:instrText xml:space="preserve"> PAGE </w:instrText>
        </w:r>
        <w:r w:rsidR="00974724">
          <w:rPr>
            <w:rStyle w:val="PageNumber"/>
          </w:rPr>
          <w:fldChar w:fldCharType="separate"/>
        </w:r>
        <w:r w:rsidR="00974724">
          <w:rPr>
            <w:rStyle w:val="PageNumber"/>
            <w:noProof/>
          </w:rPr>
          <w:t>1</w:t>
        </w:r>
        <w:r w:rsidR="00974724">
          <w:rPr>
            <w:rStyle w:val="PageNumber"/>
          </w:rPr>
          <w:fldChar w:fldCharType="end"/>
        </w:r>
      </w:sdtContent>
    </w:sdt>
    <w:r w:rsidR="006241CE">
      <w:rPr>
        <w:rStyle w:val="PageNumber"/>
      </w:rPr>
      <w:t xml:space="preserve"> of 3</w:t>
    </w:r>
    <w:r w:rsidR="0071647D">
      <w:rPr>
        <w:rStyle w:val="PageNumber"/>
      </w:rPr>
      <w:t>5</w:t>
    </w:r>
  </w:p>
  <w:p w14:paraId="25E3630E" w14:textId="77777777" w:rsidR="00974724" w:rsidRDefault="00974724" w:rsidP="0097472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1CF69C" w14:textId="77777777" w:rsidR="00BA485A" w:rsidRDefault="00BA485A" w:rsidP="00974724">
      <w:pPr>
        <w:spacing w:after="0" w:line="240" w:lineRule="auto"/>
      </w:pPr>
      <w:r>
        <w:separator/>
      </w:r>
    </w:p>
  </w:footnote>
  <w:footnote w:type="continuationSeparator" w:id="0">
    <w:p w14:paraId="15D2C237" w14:textId="77777777" w:rsidR="00BA485A" w:rsidRDefault="00BA485A" w:rsidP="009747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B085A"/>
    <w:multiLevelType w:val="multilevel"/>
    <w:tmpl w:val="211697E2"/>
    <w:lvl w:ilvl="0">
      <w:start w:val="3"/>
      <w:numFmt w:val="decimal"/>
      <w:lvlText w:val="%1"/>
      <w:lvlJc w:val="left"/>
      <w:pPr>
        <w:ind w:left="3750" w:hanging="420"/>
      </w:pPr>
      <w:rPr>
        <w:rFonts w:hint="default"/>
      </w:rPr>
    </w:lvl>
    <w:lvl w:ilvl="1">
      <w:start w:val="1"/>
      <w:numFmt w:val="decimal"/>
      <w:lvlText w:val="%1.%2"/>
      <w:lvlJc w:val="left"/>
      <w:pPr>
        <w:ind w:left="4050" w:hanging="720"/>
      </w:pPr>
      <w:rPr>
        <w:rFonts w:hint="default"/>
      </w:rPr>
    </w:lvl>
    <w:lvl w:ilvl="2">
      <w:start w:val="1"/>
      <w:numFmt w:val="decimal"/>
      <w:lvlText w:val="%1.%2.%3"/>
      <w:lvlJc w:val="left"/>
      <w:pPr>
        <w:ind w:left="4050" w:hanging="720"/>
      </w:pPr>
      <w:rPr>
        <w:rFonts w:hint="default"/>
      </w:rPr>
    </w:lvl>
    <w:lvl w:ilvl="3">
      <w:start w:val="1"/>
      <w:numFmt w:val="decimal"/>
      <w:lvlText w:val="%1.%2.%3.%4"/>
      <w:lvlJc w:val="left"/>
      <w:pPr>
        <w:ind w:left="4410" w:hanging="1080"/>
      </w:pPr>
      <w:rPr>
        <w:rFonts w:hint="default"/>
      </w:rPr>
    </w:lvl>
    <w:lvl w:ilvl="4">
      <w:start w:val="1"/>
      <w:numFmt w:val="decimal"/>
      <w:lvlText w:val="%1.%2.%3.%4.%5"/>
      <w:lvlJc w:val="left"/>
      <w:pPr>
        <w:ind w:left="4770" w:hanging="1440"/>
      </w:pPr>
      <w:rPr>
        <w:rFonts w:hint="default"/>
      </w:rPr>
    </w:lvl>
    <w:lvl w:ilvl="5">
      <w:start w:val="1"/>
      <w:numFmt w:val="decimal"/>
      <w:lvlText w:val="%1.%2.%3.%4.%5.%6"/>
      <w:lvlJc w:val="left"/>
      <w:pPr>
        <w:ind w:left="4770" w:hanging="1440"/>
      </w:pPr>
      <w:rPr>
        <w:rFonts w:hint="default"/>
      </w:rPr>
    </w:lvl>
    <w:lvl w:ilvl="6">
      <w:start w:val="1"/>
      <w:numFmt w:val="decimal"/>
      <w:lvlText w:val="%1.%2.%3.%4.%5.%6.%7"/>
      <w:lvlJc w:val="left"/>
      <w:pPr>
        <w:ind w:left="5130" w:hanging="1800"/>
      </w:pPr>
      <w:rPr>
        <w:rFonts w:hint="default"/>
      </w:rPr>
    </w:lvl>
    <w:lvl w:ilvl="7">
      <w:start w:val="1"/>
      <w:numFmt w:val="decimal"/>
      <w:lvlText w:val="%1.%2.%3.%4.%5.%6.%7.%8"/>
      <w:lvlJc w:val="left"/>
      <w:pPr>
        <w:ind w:left="5490" w:hanging="2160"/>
      </w:pPr>
      <w:rPr>
        <w:rFonts w:hint="default"/>
      </w:rPr>
    </w:lvl>
    <w:lvl w:ilvl="8">
      <w:start w:val="1"/>
      <w:numFmt w:val="decimal"/>
      <w:lvlText w:val="%1.%2.%3.%4.%5.%6.%7.%8.%9"/>
      <w:lvlJc w:val="left"/>
      <w:pPr>
        <w:ind w:left="5490" w:hanging="2160"/>
      </w:pPr>
      <w:rPr>
        <w:rFonts w:hint="default"/>
      </w:rPr>
    </w:lvl>
  </w:abstractNum>
  <w:abstractNum w:abstractNumId="1" w15:restartNumberingAfterBreak="0">
    <w:nsid w:val="03E528A6"/>
    <w:multiLevelType w:val="multilevel"/>
    <w:tmpl w:val="4B544068"/>
    <w:lvl w:ilvl="0">
      <w:start w:val="4"/>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059847CB"/>
    <w:multiLevelType w:val="multilevel"/>
    <w:tmpl w:val="E120263C"/>
    <w:lvl w:ilvl="0">
      <w:start w:val="4"/>
      <w:numFmt w:val="decimal"/>
      <w:lvlText w:val="%1"/>
      <w:lvlJc w:val="left"/>
      <w:pPr>
        <w:ind w:left="440" w:hanging="440"/>
      </w:pPr>
      <w:rPr>
        <w:rFonts w:hint="default"/>
      </w:rPr>
    </w:lvl>
    <w:lvl w:ilvl="1">
      <w:start w:val="8"/>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3" w15:restartNumberingAfterBreak="0">
    <w:nsid w:val="0AEF2009"/>
    <w:multiLevelType w:val="multilevel"/>
    <w:tmpl w:val="B4E06AD6"/>
    <w:lvl w:ilvl="0">
      <w:start w:val="1"/>
      <w:numFmt w:val="decimal"/>
      <w:lvlText w:val="%1."/>
      <w:lvlJc w:val="left"/>
      <w:pPr>
        <w:ind w:left="720" w:hanging="360"/>
      </w:pPr>
    </w:lvl>
    <w:lvl w:ilvl="1">
      <w:start w:val="9"/>
      <w:numFmt w:val="decimal"/>
      <w:isLgl/>
      <w:lvlText w:val="%1.%2"/>
      <w:lvlJc w:val="left"/>
      <w:pPr>
        <w:ind w:left="800" w:hanging="440"/>
      </w:pPr>
      <w:rPr>
        <w:rFonts w:eastAsiaTheme="majorEastAsia" w:cstheme="majorBidi" w:hint="default"/>
        <w:color w:val="0F4761" w:themeColor="accent1" w:themeShade="BF"/>
        <w:sz w:val="32"/>
      </w:rPr>
    </w:lvl>
    <w:lvl w:ilvl="2">
      <w:start w:val="1"/>
      <w:numFmt w:val="decimal"/>
      <w:isLgl/>
      <w:lvlText w:val="%1.%2.%3"/>
      <w:lvlJc w:val="left"/>
      <w:pPr>
        <w:ind w:left="1080" w:hanging="720"/>
      </w:pPr>
      <w:rPr>
        <w:rFonts w:eastAsiaTheme="majorEastAsia" w:cstheme="majorBidi" w:hint="default"/>
        <w:color w:val="0F4761" w:themeColor="accent1" w:themeShade="BF"/>
        <w:sz w:val="32"/>
      </w:rPr>
    </w:lvl>
    <w:lvl w:ilvl="3">
      <w:start w:val="1"/>
      <w:numFmt w:val="decimal"/>
      <w:isLgl/>
      <w:lvlText w:val="%1.%2.%3.%4"/>
      <w:lvlJc w:val="left"/>
      <w:pPr>
        <w:ind w:left="1080" w:hanging="720"/>
      </w:pPr>
      <w:rPr>
        <w:rFonts w:eastAsiaTheme="majorEastAsia" w:cstheme="majorBidi" w:hint="default"/>
        <w:color w:val="0F4761" w:themeColor="accent1" w:themeShade="BF"/>
        <w:sz w:val="32"/>
      </w:rPr>
    </w:lvl>
    <w:lvl w:ilvl="4">
      <w:start w:val="1"/>
      <w:numFmt w:val="decimal"/>
      <w:isLgl/>
      <w:lvlText w:val="%1.%2.%3.%4.%5"/>
      <w:lvlJc w:val="left"/>
      <w:pPr>
        <w:ind w:left="1440" w:hanging="1080"/>
      </w:pPr>
      <w:rPr>
        <w:rFonts w:eastAsiaTheme="majorEastAsia" w:cstheme="majorBidi" w:hint="default"/>
        <w:color w:val="0F4761" w:themeColor="accent1" w:themeShade="BF"/>
        <w:sz w:val="32"/>
      </w:rPr>
    </w:lvl>
    <w:lvl w:ilvl="5">
      <w:start w:val="1"/>
      <w:numFmt w:val="decimal"/>
      <w:isLgl/>
      <w:lvlText w:val="%1.%2.%3.%4.%5.%6"/>
      <w:lvlJc w:val="left"/>
      <w:pPr>
        <w:ind w:left="1440" w:hanging="1080"/>
      </w:pPr>
      <w:rPr>
        <w:rFonts w:eastAsiaTheme="majorEastAsia" w:cstheme="majorBidi" w:hint="default"/>
        <w:color w:val="0F4761" w:themeColor="accent1" w:themeShade="BF"/>
        <w:sz w:val="32"/>
      </w:rPr>
    </w:lvl>
    <w:lvl w:ilvl="6">
      <w:start w:val="1"/>
      <w:numFmt w:val="decimal"/>
      <w:isLgl/>
      <w:lvlText w:val="%1.%2.%3.%4.%5.%6.%7"/>
      <w:lvlJc w:val="left"/>
      <w:pPr>
        <w:ind w:left="1800" w:hanging="1440"/>
      </w:pPr>
      <w:rPr>
        <w:rFonts w:eastAsiaTheme="majorEastAsia" w:cstheme="majorBidi" w:hint="default"/>
        <w:color w:val="0F4761" w:themeColor="accent1" w:themeShade="BF"/>
        <w:sz w:val="32"/>
      </w:rPr>
    </w:lvl>
    <w:lvl w:ilvl="7">
      <w:start w:val="1"/>
      <w:numFmt w:val="decimal"/>
      <w:isLgl/>
      <w:lvlText w:val="%1.%2.%3.%4.%5.%6.%7.%8"/>
      <w:lvlJc w:val="left"/>
      <w:pPr>
        <w:ind w:left="1800" w:hanging="1440"/>
      </w:pPr>
      <w:rPr>
        <w:rFonts w:eastAsiaTheme="majorEastAsia" w:cstheme="majorBidi" w:hint="default"/>
        <w:color w:val="0F4761" w:themeColor="accent1" w:themeShade="BF"/>
        <w:sz w:val="32"/>
      </w:rPr>
    </w:lvl>
    <w:lvl w:ilvl="8">
      <w:start w:val="1"/>
      <w:numFmt w:val="decimal"/>
      <w:isLgl/>
      <w:lvlText w:val="%1.%2.%3.%4.%5.%6.%7.%8.%9"/>
      <w:lvlJc w:val="left"/>
      <w:pPr>
        <w:ind w:left="2160" w:hanging="1800"/>
      </w:pPr>
      <w:rPr>
        <w:rFonts w:eastAsiaTheme="majorEastAsia" w:cstheme="majorBidi" w:hint="default"/>
        <w:color w:val="0F4761" w:themeColor="accent1" w:themeShade="BF"/>
        <w:sz w:val="32"/>
      </w:rPr>
    </w:lvl>
  </w:abstractNum>
  <w:abstractNum w:abstractNumId="4" w15:restartNumberingAfterBreak="0">
    <w:nsid w:val="44250A4F"/>
    <w:multiLevelType w:val="multilevel"/>
    <w:tmpl w:val="BE2E6A52"/>
    <w:lvl w:ilvl="0">
      <w:start w:val="1"/>
      <w:numFmt w:val="decimal"/>
      <w:lvlText w:val="%1."/>
      <w:lvlJc w:val="left"/>
      <w:pPr>
        <w:ind w:left="360" w:hanging="360"/>
      </w:pPr>
      <w:rPr>
        <w:rFonts w:hint="default"/>
      </w:rPr>
    </w:lvl>
    <w:lvl w:ilvl="1">
      <w:start w:val="2"/>
      <w:numFmt w:val="decimal"/>
      <w:isLgl/>
      <w:lvlText w:val="%1.%2"/>
      <w:lvlJc w:val="left"/>
      <w:pPr>
        <w:ind w:left="480" w:hanging="48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5" w15:restartNumberingAfterBreak="0">
    <w:nsid w:val="4C482C78"/>
    <w:multiLevelType w:val="multilevel"/>
    <w:tmpl w:val="8428851E"/>
    <w:lvl w:ilvl="0">
      <w:start w:val="5"/>
      <w:numFmt w:val="decimal"/>
      <w:lvlText w:val="%1"/>
      <w:lvlJc w:val="left"/>
      <w:pPr>
        <w:ind w:left="420" w:hanging="420"/>
      </w:pPr>
      <w:rPr>
        <w:rFonts w:asciiTheme="majorHAnsi" w:eastAsiaTheme="majorEastAsia" w:hAnsiTheme="majorHAnsi" w:cstheme="majorBidi" w:hint="default"/>
        <w:color w:val="0F4761" w:themeColor="accent1" w:themeShade="BF"/>
        <w:sz w:val="32"/>
      </w:rPr>
    </w:lvl>
    <w:lvl w:ilvl="1">
      <w:start w:val="1"/>
      <w:numFmt w:val="decimal"/>
      <w:lvlText w:val="%1.%2"/>
      <w:lvlJc w:val="left"/>
      <w:pPr>
        <w:ind w:left="420" w:hanging="420"/>
      </w:pPr>
      <w:rPr>
        <w:rFonts w:asciiTheme="majorHAnsi" w:eastAsiaTheme="majorEastAsia" w:hAnsiTheme="majorHAnsi" w:cstheme="majorBidi" w:hint="default"/>
        <w:color w:val="0F4761" w:themeColor="accent1" w:themeShade="BF"/>
        <w:sz w:val="32"/>
      </w:rPr>
    </w:lvl>
    <w:lvl w:ilvl="2">
      <w:start w:val="1"/>
      <w:numFmt w:val="decimal"/>
      <w:lvlText w:val="%1.%2.%3"/>
      <w:lvlJc w:val="left"/>
      <w:pPr>
        <w:ind w:left="720" w:hanging="720"/>
      </w:pPr>
      <w:rPr>
        <w:rFonts w:asciiTheme="majorHAnsi" w:eastAsiaTheme="majorEastAsia" w:hAnsiTheme="majorHAnsi" w:cstheme="majorBidi" w:hint="default"/>
        <w:color w:val="0F4761" w:themeColor="accent1" w:themeShade="BF"/>
        <w:sz w:val="32"/>
      </w:rPr>
    </w:lvl>
    <w:lvl w:ilvl="3">
      <w:start w:val="1"/>
      <w:numFmt w:val="decimal"/>
      <w:lvlText w:val="%1.%2.%3.%4"/>
      <w:lvlJc w:val="left"/>
      <w:pPr>
        <w:ind w:left="720" w:hanging="720"/>
      </w:pPr>
      <w:rPr>
        <w:rFonts w:asciiTheme="majorHAnsi" w:eastAsiaTheme="majorEastAsia" w:hAnsiTheme="majorHAnsi" w:cstheme="majorBidi" w:hint="default"/>
        <w:color w:val="0F4761" w:themeColor="accent1" w:themeShade="BF"/>
        <w:sz w:val="32"/>
      </w:rPr>
    </w:lvl>
    <w:lvl w:ilvl="4">
      <w:start w:val="1"/>
      <w:numFmt w:val="decimal"/>
      <w:lvlText w:val="%1.%2.%3.%4.%5"/>
      <w:lvlJc w:val="left"/>
      <w:pPr>
        <w:ind w:left="1080" w:hanging="1080"/>
      </w:pPr>
      <w:rPr>
        <w:rFonts w:asciiTheme="majorHAnsi" w:eastAsiaTheme="majorEastAsia" w:hAnsiTheme="majorHAnsi" w:cstheme="majorBidi" w:hint="default"/>
        <w:color w:val="0F4761" w:themeColor="accent1" w:themeShade="BF"/>
        <w:sz w:val="32"/>
      </w:rPr>
    </w:lvl>
    <w:lvl w:ilvl="5">
      <w:start w:val="1"/>
      <w:numFmt w:val="decimal"/>
      <w:lvlText w:val="%1.%2.%3.%4.%5.%6"/>
      <w:lvlJc w:val="left"/>
      <w:pPr>
        <w:ind w:left="1080" w:hanging="1080"/>
      </w:pPr>
      <w:rPr>
        <w:rFonts w:asciiTheme="majorHAnsi" w:eastAsiaTheme="majorEastAsia" w:hAnsiTheme="majorHAnsi" w:cstheme="majorBidi" w:hint="default"/>
        <w:color w:val="0F4761" w:themeColor="accent1" w:themeShade="BF"/>
        <w:sz w:val="32"/>
      </w:rPr>
    </w:lvl>
    <w:lvl w:ilvl="6">
      <w:start w:val="1"/>
      <w:numFmt w:val="decimal"/>
      <w:lvlText w:val="%1.%2.%3.%4.%5.%6.%7"/>
      <w:lvlJc w:val="left"/>
      <w:pPr>
        <w:ind w:left="1440" w:hanging="1440"/>
      </w:pPr>
      <w:rPr>
        <w:rFonts w:asciiTheme="majorHAnsi" w:eastAsiaTheme="majorEastAsia" w:hAnsiTheme="majorHAnsi" w:cstheme="majorBidi" w:hint="default"/>
        <w:color w:val="0F4761" w:themeColor="accent1" w:themeShade="BF"/>
        <w:sz w:val="32"/>
      </w:rPr>
    </w:lvl>
    <w:lvl w:ilvl="7">
      <w:start w:val="1"/>
      <w:numFmt w:val="decimal"/>
      <w:lvlText w:val="%1.%2.%3.%4.%5.%6.%7.%8"/>
      <w:lvlJc w:val="left"/>
      <w:pPr>
        <w:ind w:left="1440" w:hanging="1440"/>
      </w:pPr>
      <w:rPr>
        <w:rFonts w:asciiTheme="majorHAnsi" w:eastAsiaTheme="majorEastAsia" w:hAnsiTheme="majorHAnsi" w:cstheme="majorBidi" w:hint="default"/>
        <w:color w:val="0F4761" w:themeColor="accent1" w:themeShade="BF"/>
        <w:sz w:val="32"/>
      </w:rPr>
    </w:lvl>
    <w:lvl w:ilvl="8">
      <w:start w:val="1"/>
      <w:numFmt w:val="decimal"/>
      <w:lvlText w:val="%1.%2.%3.%4.%5.%6.%7.%8.%9"/>
      <w:lvlJc w:val="left"/>
      <w:pPr>
        <w:ind w:left="1800" w:hanging="1800"/>
      </w:pPr>
      <w:rPr>
        <w:rFonts w:asciiTheme="majorHAnsi" w:eastAsiaTheme="majorEastAsia" w:hAnsiTheme="majorHAnsi" w:cstheme="majorBidi" w:hint="default"/>
        <w:color w:val="0F4761" w:themeColor="accent1" w:themeShade="BF"/>
        <w:sz w:val="32"/>
      </w:rPr>
    </w:lvl>
  </w:abstractNum>
  <w:abstractNum w:abstractNumId="6" w15:restartNumberingAfterBreak="0">
    <w:nsid w:val="634943F0"/>
    <w:multiLevelType w:val="multilevel"/>
    <w:tmpl w:val="FBDEF68A"/>
    <w:lvl w:ilvl="0">
      <w:start w:val="3"/>
      <w:numFmt w:val="decimal"/>
      <w:lvlText w:val="%1"/>
      <w:lvlJc w:val="left"/>
      <w:pPr>
        <w:ind w:left="420" w:hanging="42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16cid:durableId="891305277">
    <w:abstractNumId w:val="4"/>
  </w:num>
  <w:num w:numId="2" w16cid:durableId="346448360">
    <w:abstractNumId w:val="1"/>
  </w:num>
  <w:num w:numId="3" w16cid:durableId="707527707">
    <w:abstractNumId w:val="5"/>
  </w:num>
  <w:num w:numId="4" w16cid:durableId="496305431">
    <w:abstractNumId w:val="0"/>
  </w:num>
  <w:num w:numId="5" w16cid:durableId="1248032849">
    <w:abstractNumId w:val="3"/>
  </w:num>
  <w:num w:numId="6" w16cid:durableId="1721786042">
    <w:abstractNumId w:val="6"/>
  </w:num>
  <w:num w:numId="7" w16cid:durableId="318577660">
    <w:abstractNumId w:val="2"/>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6CE"/>
    <w:rsid w:val="000133C0"/>
    <w:rsid w:val="00014A9C"/>
    <w:rsid w:val="00020B96"/>
    <w:rsid w:val="0003332D"/>
    <w:rsid w:val="00033C44"/>
    <w:rsid w:val="000573F5"/>
    <w:rsid w:val="00062EAD"/>
    <w:rsid w:val="000A2857"/>
    <w:rsid w:val="000B727F"/>
    <w:rsid w:val="000C1051"/>
    <w:rsid w:val="000F443F"/>
    <w:rsid w:val="000F744C"/>
    <w:rsid w:val="00102CB6"/>
    <w:rsid w:val="001060A9"/>
    <w:rsid w:val="001308FA"/>
    <w:rsid w:val="001350AC"/>
    <w:rsid w:val="00153F53"/>
    <w:rsid w:val="00154066"/>
    <w:rsid w:val="0015556C"/>
    <w:rsid w:val="001774CC"/>
    <w:rsid w:val="00193739"/>
    <w:rsid w:val="001944B7"/>
    <w:rsid w:val="001A6F7E"/>
    <w:rsid w:val="001B73C9"/>
    <w:rsid w:val="001B75C1"/>
    <w:rsid w:val="001C2AB5"/>
    <w:rsid w:val="001C7952"/>
    <w:rsid w:val="001D226B"/>
    <w:rsid w:val="001D513C"/>
    <w:rsid w:val="001D57C7"/>
    <w:rsid w:val="001E016A"/>
    <w:rsid w:val="001E5792"/>
    <w:rsid w:val="001F0DFC"/>
    <w:rsid w:val="0020709D"/>
    <w:rsid w:val="00217F04"/>
    <w:rsid w:val="0023484E"/>
    <w:rsid w:val="0024157B"/>
    <w:rsid w:val="002539C4"/>
    <w:rsid w:val="00274244"/>
    <w:rsid w:val="0028780F"/>
    <w:rsid w:val="002A0A2D"/>
    <w:rsid w:val="002A4A96"/>
    <w:rsid w:val="002A5E3D"/>
    <w:rsid w:val="002C2D1D"/>
    <w:rsid w:val="002C58BE"/>
    <w:rsid w:val="002D436F"/>
    <w:rsid w:val="002F0A01"/>
    <w:rsid w:val="002F4757"/>
    <w:rsid w:val="002F6B04"/>
    <w:rsid w:val="00306101"/>
    <w:rsid w:val="00322C06"/>
    <w:rsid w:val="003329F6"/>
    <w:rsid w:val="00343893"/>
    <w:rsid w:val="0034731E"/>
    <w:rsid w:val="003776B2"/>
    <w:rsid w:val="003A2D1D"/>
    <w:rsid w:val="003C6290"/>
    <w:rsid w:val="003D5563"/>
    <w:rsid w:val="003E2169"/>
    <w:rsid w:val="003E36A3"/>
    <w:rsid w:val="003E7503"/>
    <w:rsid w:val="003F13B4"/>
    <w:rsid w:val="00431E99"/>
    <w:rsid w:val="00434C6F"/>
    <w:rsid w:val="004453B5"/>
    <w:rsid w:val="0045178D"/>
    <w:rsid w:val="00462179"/>
    <w:rsid w:val="004771BC"/>
    <w:rsid w:val="00477402"/>
    <w:rsid w:val="004858D3"/>
    <w:rsid w:val="004A11E1"/>
    <w:rsid w:val="004A1710"/>
    <w:rsid w:val="004A205C"/>
    <w:rsid w:val="004B7844"/>
    <w:rsid w:val="004C092D"/>
    <w:rsid w:val="004C59E9"/>
    <w:rsid w:val="004D2B08"/>
    <w:rsid w:val="004E1D4F"/>
    <w:rsid w:val="004F2797"/>
    <w:rsid w:val="004F5947"/>
    <w:rsid w:val="005142BC"/>
    <w:rsid w:val="0052685D"/>
    <w:rsid w:val="00566B6E"/>
    <w:rsid w:val="005814E9"/>
    <w:rsid w:val="005A1F8F"/>
    <w:rsid w:val="005A3FAF"/>
    <w:rsid w:val="005A6B7A"/>
    <w:rsid w:val="005B246A"/>
    <w:rsid w:val="005B570C"/>
    <w:rsid w:val="005C0101"/>
    <w:rsid w:val="005C7F52"/>
    <w:rsid w:val="005D7843"/>
    <w:rsid w:val="005E03DE"/>
    <w:rsid w:val="00612F21"/>
    <w:rsid w:val="006241CE"/>
    <w:rsid w:val="0062431B"/>
    <w:rsid w:val="0065670B"/>
    <w:rsid w:val="00672EE4"/>
    <w:rsid w:val="00687F8F"/>
    <w:rsid w:val="006A6C97"/>
    <w:rsid w:val="006A7E13"/>
    <w:rsid w:val="006B5A12"/>
    <w:rsid w:val="006D2E36"/>
    <w:rsid w:val="00705062"/>
    <w:rsid w:val="00712FF8"/>
    <w:rsid w:val="0071647D"/>
    <w:rsid w:val="00727B3A"/>
    <w:rsid w:val="007365DD"/>
    <w:rsid w:val="00750FB8"/>
    <w:rsid w:val="00765E8C"/>
    <w:rsid w:val="00766555"/>
    <w:rsid w:val="0077086E"/>
    <w:rsid w:val="007709CB"/>
    <w:rsid w:val="0077194C"/>
    <w:rsid w:val="00777963"/>
    <w:rsid w:val="007779A3"/>
    <w:rsid w:val="00792548"/>
    <w:rsid w:val="007A648D"/>
    <w:rsid w:val="007C41CC"/>
    <w:rsid w:val="007D518F"/>
    <w:rsid w:val="007E3CE0"/>
    <w:rsid w:val="007E7123"/>
    <w:rsid w:val="0080662E"/>
    <w:rsid w:val="00810AD7"/>
    <w:rsid w:val="00835FEE"/>
    <w:rsid w:val="008721E5"/>
    <w:rsid w:val="00875391"/>
    <w:rsid w:val="00885802"/>
    <w:rsid w:val="0088603D"/>
    <w:rsid w:val="00891817"/>
    <w:rsid w:val="00892EE9"/>
    <w:rsid w:val="008A4135"/>
    <w:rsid w:val="008B0C70"/>
    <w:rsid w:val="008F1DCF"/>
    <w:rsid w:val="008F74B3"/>
    <w:rsid w:val="00904CD8"/>
    <w:rsid w:val="00942496"/>
    <w:rsid w:val="009621DF"/>
    <w:rsid w:val="009640D9"/>
    <w:rsid w:val="0097449C"/>
    <w:rsid w:val="00974724"/>
    <w:rsid w:val="00975C7B"/>
    <w:rsid w:val="0099453E"/>
    <w:rsid w:val="009B55CA"/>
    <w:rsid w:val="009C4E7A"/>
    <w:rsid w:val="009E27E0"/>
    <w:rsid w:val="009E4847"/>
    <w:rsid w:val="00A0651B"/>
    <w:rsid w:val="00A1315D"/>
    <w:rsid w:val="00A17130"/>
    <w:rsid w:val="00A206C2"/>
    <w:rsid w:val="00A268CF"/>
    <w:rsid w:val="00A333D5"/>
    <w:rsid w:val="00A5003D"/>
    <w:rsid w:val="00A6464D"/>
    <w:rsid w:val="00A74482"/>
    <w:rsid w:val="00A82839"/>
    <w:rsid w:val="00A91628"/>
    <w:rsid w:val="00AA1AEA"/>
    <w:rsid w:val="00AB2901"/>
    <w:rsid w:val="00AB7087"/>
    <w:rsid w:val="00AD72BD"/>
    <w:rsid w:val="00AE734E"/>
    <w:rsid w:val="00AF5365"/>
    <w:rsid w:val="00B01BAE"/>
    <w:rsid w:val="00B064B8"/>
    <w:rsid w:val="00B11B75"/>
    <w:rsid w:val="00B26836"/>
    <w:rsid w:val="00B33440"/>
    <w:rsid w:val="00B430C3"/>
    <w:rsid w:val="00B54B64"/>
    <w:rsid w:val="00B73319"/>
    <w:rsid w:val="00B8545B"/>
    <w:rsid w:val="00BA1EF5"/>
    <w:rsid w:val="00BA485A"/>
    <w:rsid w:val="00BB006D"/>
    <w:rsid w:val="00BB141F"/>
    <w:rsid w:val="00BB6AAE"/>
    <w:rsid w:val="00BB6C3A"/>
    <w:rsid w:val="00BC3EE0"/>
    <w:rsid w:val="00BD3046"/>
    <w:rsid w:val="00BE21A2"/>
    <w:rsid w:val="00BF616A"/>
    <w:rsid w:val="00BF79CC"/>
    <w:rsid w:val="00C21C38"/>
    <w:rsid w:val="00C26FF6"/>
    <w:rsid w:val="00C35A3C"/>
    <w:rsid w:val="00C44FCA"/>
    <w:rsid w:val="00C66C8E"/>
    <w:rsid w:val="00C873B4"/>
    <w:rsid w:val="00C92079"/>
    <w:rsid w:val="00C934E1"/>
    <w:rsid w:val="00CA1223"/>
    <w:rsid w:val="00CA33C2"/>
    <w:rsid w:val="00CC15CA"/>
    <w:rsid w:val="00CC5E1F"/>
    <w:rsid w:val="00CF2701"/>
    <w:rsid w:val="00D00C32"/>
    <w:rsid w:val="00D00CF3"/>
    <w:rsid w:val="00D0477C"/>
    <w:rsid w:val="00D25527"/>
    <w:rsid w:val="00D31375"/>
    <w:rsid w:val="00D326CE"/>
    <w:rsid w:val="00D4226C"/>
    <w:rsid w:val="00D443D6"/>
    <w:rsid w:val="00D54E6F"/>
    <w:rsid w:val="00D70150"/>
    <w:rsid w:val="00D84674"/>
    <w:rsid w:val="00D84CFA"/>
    <w:rsid w:val="00DA2E56"/>
    <w:rsid w:val="00DC253E"/>
    <w:rsid w:val="00DC74BD"/>
    <w:rsid w:val="00DD2776"/>
    <w:rsid w:val="00DF092E"/>
    <w:rsid w:val="00DF79FF"/>
    <w:rsid w:val="00E266F6"/>
    <w:rsid w:val="00E4603A"/>
    <w:rsid w:val="00E47E6E"/>
    <w:rsid w:val="00E5237C"/>
    <w:rsid w:val="00E54E80"/>
    <w:rsid w:val="00E65319"/>
    <w:rsid w:val="00E67B87"/>
    <w:rsid w:val="00E81240"/>
    <w:rsid w:val="00E9306D"/>
    <w:rsid w:val="00E966D8"/>
    <w:rsid w:val="00EB066B"/>
    <w:rsid w:val="00EB1D99"/>
    <w:rsid w:val="00ED2D81"/>
    <w:rsid w:val="00ED33B5"/>
    <w:rsid w:val="00EF220C"/>
    <w:rsid w:val="00EF27CB"/>
    <w:rsid w:val="00F04E42"/>
    <w:rsid w:val="00F1353D"/>
    <w:rsid w:val="00F32744"/>
    <w:rsid w:val="00F63318"/>
    <w:rsid w:val="00F72705"/>
    <w:rsid w:val="00F7499E"/>
    <w:rsid w:val="00F92EDB"/>
    <w:rsid w:val="00FC0735"/>
    <w:rsid w:val="00FC351E"/>
    <w:rsid w:val="00FD7CCA"/>
    <w:rsid w:val="00FE2725"/>
    <w:rsid w:val="00FE413F"/>
    <w:rsid w:val="00FE5F2B"/>
    <w:rsid w:val="00FE72F8"/>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C52E8"/>
  <w15:chartTrackingRefBased/>
  <w15:docId w15:val="{813DAF81-6F4C-DA40-B7FA-E2B10524E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26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326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326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326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26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26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26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26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26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26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326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326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326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26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26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26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26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26CE"/>
    <w:rPr>
      <w:rFonts w:eastAsiaTheme="majorEastAsia" w:cstheme="majorBidi"/>
      <w:color w:val="272727" w:themeColor="text1" w:themeTint="D8"/>
    </w:rPr>
  </w:style>
  <w:style w:type="paragraph" w:styleId="Title">
    <w:name w:val="Title"/>
    <w:basedOn w:val="Normal"/>
    <w:next w:val="Normal"/>
    <w:link w:val="TitleChar"/>
    <w:uiPriority w:val="10"/>
    <w:qFormat/>
    <w:rsid w:val="00D326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26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26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26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26CE"/>
    <w:pPr>
      <w:spacing w:before="160"/>
      <w:jc w:val="center"/>
    </w:pPr>
    <w:rPr>
      <w:i/>
      <w:iCs/>
      <w:color w:val="404040" w:themeColor="text1" w:themeTint="BF"/>
    </w:rPr>
  </w:style>
  <w:style w:type="character" w:customStyle="1" w:styleId="QuoteChar">
    <w:name w:val="Quote Char"/>
    <w:basedOn w:val="DefaultParagraphFont"/>
    <w:link w:val="Quote"/>
    <w:uiPriority w:val="29"/>
    <w:rsid w:val="00D326CE"/>
    <w:rPr>
      <w:i/>
      <w:iCs/>
      <w:color w:val="404040" w:themeColor="text1" w:themeTint="BF"/>
    </w:rPr>
  </w:style>
  <w:style w:type="paragraph" w:styleId="ListParagraph">
    <w:name w:val="List Paragraph"/>
    <w:basedOn w:val="Normal"/>
    <w:uiPriority w:val="34"/>
    <w:qFormat/>
    <w:rsid w:val="00D326CE"/>
    <w:pPr>
      <w:ind w:left="720"/>
      <w:contextualSpacing/>
    </w:pPr>
  </w:style>
  <w:style w:type="character" w:styleId="IntenseEmphasis">
    <w:name w:val="Intense Emphasis"/>
    <w:basedOn w:val="DefaultParagraphFont"/>
    <w:uiPriority w:val="21"/>
    <w:qFormat/>
    <w:rsid w:val="00D326CE"/>
    <w:rPr>
      <w:i/>
      <w:iCs/>
      <w:color w:val="0F4761" w:themeColor="accent1" w:themeShade="BF"/>
    </w:rPr>
  </w:style>
  <w:style w:type="paragraph" w:styleId="IntenseQuote">
    <w:name w:val="Intense Quote"/>
    <w:basedOn w:val="Normal"/>
    <w:next w:val="Normal"/>
    <w:link w:val="IntenseQuoteChar"/>
    <w:uiPriority w:val="30"/>
    <w:qFormat/>
    <w:rsid w:val="00D326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26CE"/>
    <w:rPr>
      <w:i/>
      <w:iCs/>
      <w:color w:val="0F4761" w:themeColor="accent1" w:themeShade="BF"/>
    </w:rPr>
  </w:style>
  <w:style w:type="character" w:styleId="IntenseReference">
    <w:name w:val="Intense Reference"/>
    <w:basedOn w:val="DefaultParagraphFont"/>
    <w:uiPriority w:val="32"/>
    <w:qFormat/>
    <w:rsid w:val="00D326CE"/>
    <w:rPr>
      <w:b/>
      <w:bCs/>
      <w:smallCaps/>
      <w:color w:val="0F4761" w:themeColor="accent1" w:themeShade="BF"/>
      <w:spacing w:val="5"/>
    </w:rPr>
  </w:style>
  <w:style w:type="paragraph" w:styleId="NormalWeb">
    <w:name w:val="Normal (Web)"/>
    <w:basedOn w:val="Normal"/>
    <w:uiPriority w:val="99"/>
    <w:unhideWhenUsed/>
    <w:rsid w:val="00D326CE"/>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pple-converted-space">
    <w:name w:val="apple-converted-space"/>
    <w:basedOn w:val="DefaultParagraphFont"/>
    <w:rsid w:val="00D326CE"/>
  </w:style>
  <w:style w:type="character" w:styleId="Strong">
    <w:name w:val="Strong"/>
    <w:basedOn w:val="DefaultParagraphFont"/>
    <w:uiPriority w:val="22"/>
    <w:qFormat/>
    <w:rsid w:val="00D326CE"/>
    <w:rPr>
      <w:b/>
      <w:bCs/>
    </w:rPr>
  </w:style>
  <w:style w:type="character" w:styleId="Emphasis">
    <w:name w:val="Emphasis"/>
    <w:basedOn w:val="DefaultParagraphFont"/>
    <w:uiPriority w:val="20"/>
    <w:qFormat/>
    <w:rsid w:val="00D326CE"/>
    <w:rPr>
      <w:i/>
      <w:iCs/>
    </w:rPr>
  </w:style>
  <w:style w:type="paragraph" w:styleId="Footer">
    <w:name w:val="footer"/>
    <w:basedOn w:val="Normal"/>
    <w:link w:val="FooterChar"/>
    <w:uiPriority w:val="99"/>
    <w:unhideWhenUsed/>
    <w:rsid w:val="009747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4724"/>
  </w:style>
  <w:style w:type="character" w:styleId="PageNumber">
    <w:name w:val="page number"/>
    <w:basedOn w:val="DefaultParagraphFont"/>
    <w:uiPriority w:val="99"/>
    <w:semiHidden/>
    <w:unhideWhenUsed/>
    <w:rsid w:val="00974724"/>
  </w:style>
  <w:style w:type="paragraph" w:styleId="TOCHeading">
    <w:name w:val="TOC Heading"/>
    <w:basedOn w:val="Heading1"/>
    <w:next w:val="Normal"/>
    <w:uiPriority w:val="39"/>
    <w:unhideWhenUsed/>
    <w:qFormat/>
    <w:rsid w:val="00C934E1"/>
    <w:pPr>
      <w:spacing w:before="480" w:after="0" w:line="276" w:lineRule="auto"/>
      <w:outlineLvl w:val="9"/>
    </w:pPr>
    <w:rPr>
      <w:b/>
      <w:bCs/>
      <w:kern w:val="0"/>
      <w:sz w:val="28"/>
      <w:szCs w:val="28"/>
      <w:lang w:eastAsia="en-US"/>
      <w14:ligatures w14:val="none"/>
    </w:rPr>
  </w:style>
  <w:style w:type="paragraph" w:styleId="TOC1">
    <w:name w:val="toc 1"/>
    <w:basedOn w:val="Normal"/>
    <w:next w:val="Normal"/>
    <w:autoRedefine/>
    <w:uiPriority w:val="39"/>
    <w:unhideWhenUsed/>
    <w:rsid w:val="00C934E1"/>
    <w:pPr>
      <w:spacing w:before="360" w:after="360"/>
    </w:pPr>
    <w:rPr>
      <w:b/>
      <w:bCs/>
      <w:caps/>
      <w:sz w:val="22"/>
      <w:szCs w:val="22"/>
      <w:u w:val="single"/>
    </w:rPr>
  </w:style>
  <w:style w:type="paragraph" w:styleId="TOC2">
    <w:name w:val="toc 2"/>
    <w:basedOn w:val="Normal"/>
    <w:next w:val="Normal"/>
    <w:autoRedefine/>
    <w:uiPriority w:val="39"/>
    <w:unhideWhenUsed/>
    <w:rsid w:val="00C934E1"/>
    <w:pPr>
      <w:spacing w:after="0"/>
    </w:pPr>
    <w:rPr>
      <w:b/>
      <w:bCs/>
      <w:smallCaps/>
      <w:sz w:val="22"/>
      <w:szCs w:val="22"/>
    </w:rPr>
  </w:style>
  <w:style w:type="character" w:styleId="Hyperlink">
    <w:name w:val="Hyperlink"/>
    <w:basedOn w:val="DefaultParagraphFont"/>
    <w:uiPriority w:val="99"/>
    <w:unhideWhenUsed/>
    <w:rsid w:val="00C934E1"/>
    <w:rPr>
      <w:color w:val="467886" w:themeColor="hyperlink"/>
      <w:u w:val="single"/>
    </w:rPr>
  </w:style>
  <w:style w:type="paragraph" w:styleId="TOC3">
    <w:name w:val="toc 3"/>
    <w:basedOn w:val="Normal"/>
    <w:next w:val="Normal"/>
    <w:autoRedefine/>
    <w:uiPriority w:val="39"/>
    <w:unhideWhenUsed/>
    <w:rsid w:val="00C934E1"/>
    <w:pPr>
      <w:spacing w:after="0"/>
    </w:pPr>
    <w:rPr>
      <w:smallCaps/>
      <w:sz w:val="22"/>
      <w:szCs w:val="22"/>
    </w:rPr>
  </w:style>
  <w:style w:type="paragraph" w:styleId="TOC4">
    <w:name w:val="toc 4"/>
    <w:basedOn w:val="Normal"/>
    <w:next w:val="Normal"/>
    <w:autoRedefine/>
    <w:uiPriority w:val="39"/>
    <w:semiHidden/>
    <w:unhideWhenUsed/>
    <w:rsid w:val="00C934E1"/>
    <w:pPr>
      <w:spacing w:after="0"/>
    </w:pPr>
    <w:rPr>
      <w:sz w:val="22"/>
      <w:szCs w:val="22"/>
    </w:rPr>
  </w:style>
  <w:style w:type="paragraph" w:styleId="TOC5">
    <w:name w:val="toc 5"/>
    <w:basedOn w:val="Normal"/>
    <w:next w:val="Normal"/>
    <w:autoRedefine/>
    <w:uiPriority w:val="39"/>
    <w:semiHidden/>
    <w:unhideWhenUsed/>
    <w:rsid w:val="00C934E1"/>
    <w:pPr>
      <w:spacing w:after="0"/>
    </w:pPr>
    <w:rPr>
      <w:sz w:val="22"/>
      <w:szCs w:val="22"/>
    </w:rPr>
  </w:style>
  <w:style w:type="paragraph" w:styleId="TOC6">
    <w:name w:val="toc 6"/>
    <w:basedOn w:val="Normal"/>
    <w:next w:val="Normal"/>
    <w:autoRedefine/>
    <w:uiPriority w:val="39"/>
    <w:semiHidden/>
    <w:unhideWhenUsed/>
    <w:rsid w:val="00C934E1"/>
    <w:pPr>
      <w:spacing w:after="0"/>
    </w:pPr>
    <w:rPr>
      <w:sz w:val="22"/>
      <w:szCs w:val="22"/>
    </w:rPr>
  </w:style>
  <w:style w:type="paragraph" w:styleId="TOC7">
    <w:name w:val="toc 7"/>
    <w:basedOn w:val="Normal"/>
    <w:next w:val="Normal"/>
    <w:autoRedefine/>
    <w:uiPriority w:val="39"/>
    <w:semiHidden/>
    <w:unhideWhenUsed/>
    <w:rsid w:val="00C934E1"/>
    <w:pPr>
      <w:spacing w:after="0"/>
    </w:pPr>
    <w:rPr>
      <w:sz w:val="22"/>
      <w:szCs w:val="22"/>
    </w:rPr>
  </w:style>
  <w:style w:type="paragraph" w:styleId="TOC8">
    <w:name w:val="toc 8"/>
    <w:basedOn w:val="Normal"/>
    <w:next w:val="Normal"/>
    <w:autoRedefine/>
    <w:uiPriority w:val="39"/>
    <w:semiHidden/>
    <w:unhideWhenUsed/>
    <w:rsid w:val="00C934E1"/>
    <w:pPr>
      <w:spacing w:after="0"/>
    </w:pPr>
    <w:rPr>
      <w:sz w:val="22"/>
      <w:szCs w:val="22"/>
    </w:rPr>
  </w:style>
  <w:style w:type="paragraph" w:styleId="TOC9">
    <w:name w:val="toc 9"/>
    <w:basedOn w:val="Normal"/>
    <w:next w:val="Normal"/>
    <w:autoRedefine/>
    <w:uiPriority w:val="39"/>
    <w:semiHidden/>
    <w:unhideWhenUsed/>
    <w:rsid w:val="00C934E1"/>
    <w:pPr>
      <w:spacing w:after="0"/>
    </w:pPr>
    <w:rPr>
      <w:sz w:val="22"/>
      <w:szCs w:val="22"/>
    </w:rPr>
  </w:style>
  <w:style w:type="paragraph" w:styleId="Header">
    <w:name w:val="header"/>
    <w:basedOn w:val="Normal"/>
    <w:link w:val="HeaderChar"/>
    <w:uiPriority w:val="99"/>
    <w:unhideWhenUsed/>
    <w:rsid w:val="00C934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34E1"/>
  </w:style>
  <w:style w:type="character" w:styleId="UnresolvedMention">
    <w:name w:val="Unresolved Mention"/>
    <w:basedOn w:val="DefaultParagraphFont"/>
    <w:uiPriority w:val="99"/>
    <w:semiHidden/>
    <w:unhideWhenUsed/>
    <w:rsid w:val="005C7F52"/>
    <w:rPr>
      <w:color w:val="605E5C"/>
      <w:shd w:val="clear" w:color="auto" w:fill="E1DFDD"/>
    </w:rPr>
  </w:style>
  <w:style w:type="paragraph" w:styleId="NoSpacing">
    <w:name w:val="No Spacing"/>
    <w:uiPriority w:val="1"/>
    <w:qFormat/>
    <w:rsid w:val="001F0DFC"/>
    <w:pPr>
      <w:spacing w:after="0" w:line="240" w:lineRule="auto"/>
    </w:pPr>
  </w:style>
  <w:style w:type="paragraph" w:customStyle="1" w:styleId="p1">
    <w:name w:val="p1"/>
    <w:basedOn w:val="Normal"/>
    <w:rsid w:val="008721E5"/>
    <w:pPr>
      <w:spacing w:after="0" w:line="240" w:lineRule="auto"/>
    </w:pPr>
    <w:rPr>
      <w:rFonts w:ascii="Helvetica" w:eastAsia="Times New Roman" w:hAnsi="Helvetica" w:cs="Times New Roman"/>
      <w:color w:val="414141"/>
      <w:kern w:val="0"/>
      <w:sz w:val="15"/>
      <w:szCs w:val="15"/>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komgo.io/about"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researchgate.net/profile/Richard-Schmalensee/publication/297823521_An_Instant_Classic_Rochet_Tirole_Platform_Competition_in_Two-Sided_Markets/links/587d1cb608aed3826af00b3e/An-Instant-Classic-Rochet-Tirole-Platform-Competition-in-Two-Sided-Markets.pdf" TargetMode="Externa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hyperlink" Target="https://doi.org/10.1108/APJBA-10-2023-0497"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tandfonline.com/doi/abs/10.1080/13645579.2016.1144401" TargetMode="External"/><Relationship Id="rId20" Type="http://schemas.openxmlformats.org/officeDocument/2006/relationships/hyperlink" Target="https://doi.org/10.2307/252931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media-publications.bcg.com/The-forthcoming-revolution-in-small-business-lending.pdf" TargetMode="External"/><Relationship Id="rId23" Type="http://schemas.openxmlformats.org/officeDocument/2006/relationships/hyperlink" Target="https://doi.org/10.1016/j.frl.2025.108037" TargetMode="External"/><Relationship Id="rId10" Type="http://schemas.openxmlformats.org/officeDocument/2006/relationships/image" Target="media/image2.emf"/><Relationship Id="rId19" Type="http://schemas.openxmlformats.org/officeDocument/2006/relationships/hyperlink" Target="https://doi.org/10.3390/su15054053"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oi.org/10.1016/j.joitmc.2024.100215" TargetMode="External"/><Relationship Id="rId22" Type="http://schemas.openxmlformats.org/officeDocument/2006/relationships/hyperlink" Target="https://doi.org/10.1111/jbl.70022"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3D9226-878D-E84F-B63C-5D570564D4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TotalTime>
  <Pages>35</Pages>
  <Words>9875</Words>
  <Characters>56289</Characters>
  <Application>Microsoft Office Word</Application>
  <DocSecurity>0</DocSecurity>
  <Lines>469</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Maureen Chan</dc:creator>
  <cp:keywords/>
  <dc:description/>
  <cp:lastModifiedBy>Maureen Chan</cp:lastModifiedBy>
  <cp:revision>15</cp:revision>
  <cp:lastPrinted>2025-09-07T16:30:00Z</cp:lastPrinted>
  <dcterms:created xsi:type="dcterms:W3CDTF">2025-09-07T16:30:00Z</dcterms:created>
  <dcterms:modified xsi:type="dcterms:W3CDTF">2025-09-13T15:38:00Z</dcterms:modified>
</cp:coreProperties>
</file>