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rPr>
          <w:lang w:val="en-US"/>
        </w:rPr>
      </w:pPr>
      <w:r>
        <w:rPr>
          <w:lang w:val="en-US"/>
        </w:rPr>
        <w:drawing>
          <wp:inline distT="0" distB="0" distL="0" distR="0">
            <wp:extent cx="2430704" cy="951891"/>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jpeg"/>
                    <pic:cNvPicPr>
                      <a:picLocks noChangeAspect="1"/>
                    </pic:cNvPicPr>
                  </pic:nvPicPr>
                  <pic:blipFill>
                    <a:blip r:embed="rId4">
                      <a:extLst/>
                    </a:blip>
                    <a:stretch>
                      <a:fillRect/>
                    </a:stretch>
                  </pic:blipFill>
                  <pic:spPr>
                    <a:xfrm>
                      <a:off x="0" y="0"/>
                      <a:ext cx="2430704" cy="951891"/>
                    </a:xfrm>
                    <a:prstGeom prst="rect">
                      <a:avLst/>
                    </a:prstGeom>
                    <a:ln w="12700" cap="flat">
                      <a:noFill/>
                      <a:miter lim="400000"/>
                    </a:ln>
                    <a:effectLst/>
                  </pic:spPr>
                </pic:pic>
              </a:graphicData>
            </a:graphic>
          </wp:inline>
        </w:drawing>
      </w:r>
    </w:p>
    <w:p>
      <w:pPr>
        <w:pStyle w:val="Body"/>
        <w:rPr>
          <w:lang w:val="en-US"/>
        </w:rPr>
      </w:pPr>
    </w:p>
    <w:p>
      <w:pPr>
        <w:pStyle w:val="Body"/>
        <w:rPr>
          <w:lang w:val="en-US"/>
        </w:rPr>
      </w:pPr>
    </w:p>
    <w:p>
      <w:pPr>
        <w:pStyle w:val="Body"/>
        <w:rPr>
          <w:lang w:val="en-US"/>
        </w:rPr>
      </w:pPr>
    </w:p>
    <w:p>
      <w:pPr>
        <w:pStyle w:val="Body"/>
        <w:jc w:val="center"/>
        <w:rPr>
          <w:b w:val="1"/>
          <w:bCs w:val="1"/>
          <w:i w:val="1"/>
          <w:iCs w:val="1"/>
          <w:sz w:val="28"/>
          <w:szCs w:val="28"/>
          <w:lang w:val="en-US"/>
        </w:rPr>
      </w:pPr>
      <w:r>
        <w:rPr>
          <w:b w:val="1"/>
          <w:bCs w:val="1"/>
          <w:i w:val="1"/>
          <w:iCs w:val="1"/>
          <w:sz w:val="28"/>
          <w:szCs w:val="28"/>
          <w:rtl w:val="0"/>
          <w:lang w:val="en-US"/>
        </w:rPr>
        <w:t>University of Wales Modular M.A. (Ed.) Programme</w:t>
      </w:r>
    </w:p>
    <w:p>
      <w:pPr>
        <w:pStyle w:val="Body"/>
        <w:jc w:val="center"/>
        <w:rPr>
          <w:b w:val="1"/>
          <w:bCs w:val="1"/>
          <w:i w:val="1"/>
          <w:iCs w:val="1"/>
          <w:sz w:val="28"/>
          <w:szCs w:val="28"/>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jc w:val="center"/>
        <w:rPr>
          <w:b w:val="1"/>
          <w:bCs w:val="1"/>
          <w:sz w:val="36"/>
          <w:szCs w:val="36"/>
          <w:lang w:val="en-US"/>
        </w:rPr>
      </w:pP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jc w:val="center"/>
        <w:rPr>
          <w:b w:val="1"/>
          <w:bCs w:val="1"/>
          <w:sz w:val="36"/>
          <w:szCs w:val="36"/>
          <w:lang w:val="en-US"/>
        </w:rPr>
      </w:pPr>
      <w:r>
        <w:rPr>
          <w:b w:val="1"/>
          <w:bCs w:val="1"/>
          <w:sz w:val="36"/>
          <w:szCs w:val="36"/>
          <w:rtl w:val="0"/>
          <w:lang w:val="en-US"/>
        </w:rPr>
        <w:t>Exploring Additional Learning Needs</w:t>
      </w: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jc w:val="center"/>
        <w:rPr>
          <w:sz w:val="28"/>
          <w:szCs w:val="28"/>
          <w:lang w:val="en-US"/>
        </w:rPr>
      </w:pPr>
    </w:p>
    <w:p>
      <w:pPr>
        <w:pStyle w:val="Body"/>
        <w:jc w:val="center"/>
        <w:rPr>
          <w:sz w:val="28"/>
          <w:szCs w:val="28"/>
          <w:lang w:val="en-US"/>
        </w:rPr>
      </w:pPr>
    </w:p>
    <w:p>
      <w:pPr>
        <w:pStyle w:val="Body"/>
        <w:jc w:val="center"/>
        <w:rPr>
          <w:sz w:val="28"/>
          <w:szCs w:val="28"/>
          <w:lang w:val="en-US"/>
        </w:rPr>
      </w:pPr>
    </w:p>
    <w:p>
      <w:pPr>
        <w:pStyle w:val="Body"/>
        <w:jc w:val="center"/>
        <w:rPr>
          <w:b w:val="1"/>
          <w:bCs w:val="1"/>
          <w:sz w:val="32"/>
          <w:szCs w:val="32"/>
          <w:lang w:val="en-US"/>
        </w:rPr>
      </w:pPr>
    </w:p>
    <w:p>
      <w:pPr>
        <w:pStyle w:val="Body"/>
        <w:jc w:val="center"/>
        <w:rPr>
          <w:sz w:val="28"/>
          <w:szCs w:val="28"/>
          <w:u w:val="single"/>
          <w:lang w:val="en-US"/>
        </w:rPr>
      </w:pPr>
    </w:p>
    <w:p>
      <w:pPr>
        <w:pStyle w:val="Body"/>
        <w:rPr>
          <w:sz w:val="28"/>
          <w:szCs w:val="28"/>
          <w:lang w:val="en-US"/>
        </w:rPr>
      </w:pPr>
    </w:p>
    <w:p>
      <w:pPr>
        <w:pStyle w:val="Body"/>
        <w:rPr>
          <w:sz w:val="28"/>
          <w:szCs w:val="28"/>
          <w:lang w:val="en-US"/>
        </w:rPr>
      </w:pPr>
      <w:r>
        <w:rPr>
          <w:b w:val="1"/>
          <w:bCs w:val="1"/>
          <w:sz w:val="28"/>
          <w:szCs w:val="28"/>
          <w:rtl w:val="0"/>
          <w:lang w:val="en-US"/>
        </w:rPr>
        <w:t xml:space="preserve">Student Number: </w:t>
      </w:r>
      <w:r>
        <w:rPr>
          <w:sz w:val="28"/>
          <w:szCs w:val="28"/>
          <w:rtl w:val="0"/>
          <w:lang w:val="en-US"/>
        </w:rPr>
        <w:t xml:space="preserve"> </w:t>
      </w:r>
      <w:r>
        <w:rPr>
          <w:sz w:val="28"/>
          <w:szCs w:val="28"/>
          <w:rtl w:val="0"/>
          <w:lang w:val="en-US"/>
        </w:rPr>
        <w:t>1813750</w:t>
      </w:r>
    </w:p>
    <w:p>
      <w:pPr>
        <w:pStyle w:val="Body"/>
        <w:rPr>
          <w:sz w:val="28"/>
          <w:szCs w:val="28"/>
          <w:lang w:val="en-US"/>
        </w:rPr>
      </w:pPr>
    </w:p>
    <w:p>
      <w:pPr>
        <w:pStyle w:val="Body"/>
        <w:rPr>
          <w:sz w:val="28"/>
          <w:szCs w:val="28"/>
          <w:lang w:val="en-US"/>
        </w:rPr>
      </w:pPr>
    </w:p>
    <w:p>
      <w:pPr>
        <w:pStyle w:val="Body"/>
        <w:rPr>
          <w:sz w:val="28"/>
          <w:szCs w:val="28"/>
          <w:lang w:val="en-US"/>
        </w:rPr>
      </w:pPr>
    </w:p>
    <w:p>
      <w:pPr>
        <w:pStyle w:val="Body"/>
        <w:rPr>
          <w:b w:val="1"/>
          <w:bCs w:val="1"/>
          <w:sz w:val="28"/>
          <w:szCs w:val="28"/>
          <w:lang w:val="en-US"/>
        </w:rPr>
      </w:pPr>
      <w:r>
        <w:rPr>
          <w:lang w:val="en-US"/>
        </w:rPr>
        <mc:AlternateContent>
          <mc:Choice Requires="wps">
            <w:drawing>
              <wp:anchor distT="0" distB="0" distL="0" distR="0" simplePos="0" relativeHeight="251660288" behindDoc="0" locked="0" layoutInCell="1" allowOverlap="1">
                <wp:simplePos x="0" y="0"/>
                <wp:positionH relativeFrom="column">
                  <wp:posOffset>2337435</wp:posOffset>
                </wp:positionH>
                <wp:positionV relativeFrom="line">
                  <wp:posOffset>74929</wp:posOffset>
                </wp:positionV>
                <wp:extent cx="394335" cy="345441"/>
                <wp:effectExtent l="0" t="0" r="0" b="0"/>
                <wp:wrapNone/>
                <wp:docPr id="1073741826" name="officeArt object"/>
                <wp:cNvGraphicFramePr/>
                <a:graphic xmlns:a="http://schemas.openxmlformats.org/drawingml/2006/main">
                  <a:graphicData uri="http://schemas.microsoft.com/office/word/2010/wordprocessingShape">
                    <wps:wsp>
                      <wps:cNvSpPr/>
                      <wps:spPr>
                        <a:xfrm>
                          <a:off x="0" y="0"/>
                          <a:ext cx="394335" cy="345441"/>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id="_x0000_s1026" style="visibility:visible;position:absolute;margin-left:184.1pt;margin-top:5.9pt;width:31.0pt;height:27.2pt;z-index:251660288;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8pt" dashstyle="solid" endcap="flat" joinstyle="round" linestyle="single" startarrow="none" startarrowwidth="medium" startarrowlength="medium" endarrow="none" endarrowwidth="medium" endarrowlength="medium"/>
                <w10:wrap type="none" side="bothSides" anchorx="text"/>
              </v:rect>
            </w:pict>
          </mc:Fallback>
        </mc:AlternateContent>
      </w:r>
      <w:r>
        <w:rPr>
          <w:b w:val="1"/>
          <w:bCs w:val="1"/>
          <w:sz w:val="28"/>
          <w:szCs w:val="28"/>
          <w:rtl w:val="0"/>
          <w:lang w:val="en-US"/>
        </w:rPr>
        <w:t>Level:</w:t>
        <w:tab/>
        <w:tab/>
        <w:t>MA(Ed)</w:t>
        <w:tab/>
        <w:tab/>
        <w:tab/>
      </w:r>
    </w:p>
    <w:p>
      <w:pPr>
        <w:pStyle w:val="Body"/>
        <w:rPr>
          <w:b w:val="1"/>
          <w:bCs w:val="1"/>
          <w:sz w:val="28"/>
          <w:szCs w:val="28"/>
          <w:lang w:val="en-US"/>
        </w:rPr>
      </w:pPr>
    </w:p>
    <w:p>
      <w:pPr>
        <w:pStyle w:val="Body"/>
        <w:rPr>
          <w:b w:val="1"/>
          <w:bCs w:val="1"/>
          <w:sz w:val="28"/>
          <w:szCs w:val="28"/>
          <w:lang w:val="en-US"/>
        </w:rPr>
      </w:pPr>
    </w:p>
    <w:p>
      <w:pPr>
        <w:pStyle w:val="Body"/>
        <w:rPr>
          <w:b w:val="1"/>
          <w:bCs w:val="1"/>
          <w:sz w:val="28"/>
          <w:szCs w:val="28"/>
          <w:lang w:val="en-US"/>
        </w:rPr>
      </w:pPr>
    </w:p>
    <w:p>
      <w:pPr>
        <w:pStyle w:val="Body"/>
        <w:rPr>
          <w:sz w:val="28"/>
          <w:szCs w:val="28"/>
          <w:lang w:val="en-US"/>
        </w:rPr>
      </w:pPr>
    </w:p>
    <w:p>
      <w:pPr>
        <w:pStyle w:val="Heading"/>
        <w:bidi w:val="0"/>
        <w:ind w:left="0" w:right="0" w:firstLine="0"/>
        <w:jc w:val="left"/>
        <w:rPr>
          <w:rFonts w:ascii="Cambria" w:cs="Cambria" w:hAnsi="Cambria" w:eastAsia="Cambria"/>
          <w:sz w:val="28"/>
          <w:szCs w:val="28"/>
          <w:u w:color="000000"/>
          <w:rtl w:val="0"/>
          <w:lang w:val="en-US"/>
        </w:rPr>
      </w:pPr>
      <w:r>
        <w:rPr>
          <w:rFonts w:ascii="Cambria" w:cs="Cambria" w:hAnsi="Cambria" w:eastAsia="Cambria"/>
          <w:sz w:val="28"/>
          <w:szCs w:val="28"/>
          <w:u w:color="000000"/>
          <w:rtl w:val="0"/>
          <w:lang w:val="en-US"/>
        </w:rPr>
        <w:t xml:space="preserve">Assignment Number:           1    </w:t>
      </w:r>
    </w:p>
    <w:p>
      <w:pPr>
        <w:pStyle w:val="Body"/>
        <w:rPr>
          <w:sz w:val="28"/>
          <w:szCs w:val="28"/>
          <w:lang w:val="en-US"/>
        </w:rPr>
      </w:pPr>
    </w:p>
    <w:p>
      <w:pPr>
        <w:pStyle w:val="Body"/>
        <w:rPr>
          <w:sz w:val="28"/>
          <w:szCs w:val="28"/>
          <w:lang w:val="en-US"/>
        </w:rPr>
      </w:pPr>
    </w:p>
    <w:p>
      <w:pPr>
        <w:pStyle w:val="Body"/>
        <w:rPr>
          <w:sz w:val="28"/>
          <w:szCs w:val="28"/>
          <w:lang w:val="en-US"/>
        </w:rPr>
      </w:pPr>
    </w:p>
    <w:p>
      <w:pPr>
        <w:pStyle w:val="Body"/>
        <w:rPr>
          <w:lang w:val="en-US"/>
        </w:rPr>
      </w:pPr>
      <w:r>
        <w:rPr>
          <w:b w:val="1"/>
          <w:bCs w:val="1"/>
          <w:sz w:val="28"/>
          <w:szCs w:val="28"/>
          <w:rtl w:val="0"/>
          <w:lang w:val="en-US"/>
        </w:rPr>
        <w:t>Tutor:</w:t>
        <w:tab/>
        <w:t xml:space="preserve"> Junnine Thomas-Walters</w:t>
      </w:r>
    </w:p>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 xml:space="preserve">A critical analysis of </w:t>
      </w:r>
      <w:r>
        <w:rPr>
          <w:rFonts w:ascii="Times New Roman" w:hAnsi="Times New Roman" w:hint="default"/>
          <w:sz w:val="24"/>
          <w:szCs w:val="24"/>
          <w:u w:val="single"/>
          <w:rtl w:val="0"/>
          <w:lang w:val="en-US"/>
        </w:rPr>
        <w:t>‘</w:t>
      </w:r>
      <w:r>
        <w:rPr>
          <w:rFonts w:ascii="Times New Roman" w:hAnsi="Times New Roman"/>
          <w:sz w:val="24"/>
          <w:szCs w:val="24"/>
          <w:u w:val="single"/>
          <w:rtl w:val="0"/>
          <w:lang w:val="en-US"/>
        </w:rPr>
        <w:t>Partnerships between special and mainstream schools</w:t>
      </w:r>
      <w:r>
        <w:rPr>
          <w:rFonts w:ascii="Times New Roman" w:hAnsi="Times New Roman" w:hint="default"/>
          <w:sz w:val="24"/>
          <w:szCs w:val="24"/>
          <w:u w:val="single"/>
          <w:rtl w:val="0"/>
          <w:lang w:val="en-US"/>
        </w:rPr>
        <w:t>’</w:t>
      </w:r>
    </w:p>
    <w:p>
      <w:pPr>
        <w:pStyle w:val="Body A"/>
        <w:spacing w:line="36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Partnerships between special schools and mainstream schools</w:t>
      </w:r>
      <w:r>
        <w:rPr>
          <w:rFonts w:ascii="Times New Roman" w:hAnsi="Times New Roman" w:hint="default"/>
          <w:sz w:val="24"/>
          <w:szCs w:val="24"/>
          <w:rtl w:val="0"/>
          <w:lang w:val="en-US"/>
        </w:rPr>
        <w:t xml:space="preserve">’ </w:t>
      </w:r>
      <w:r>
        <w:rPr>
          <w:rFonts w:ascii="Times New Roman" w:hAnsi="Times New Roman"/>
          <w:sz w:val="24"/>
          <w:szCs w:val="24"/>
          <w:rtl w:val="0"/>
          <w:lang w:val="en-US"/>
        </w:rPr>
        <w:t>is a journal article written by Gilada Avissar, and was published in the Journal of Research in Special Educational Needs, Volume 18, Number 3, first published on July 3rd, 2017. The author of the article, Gilada Avissar, is a lecturer and researcher at Best Perl College in Israel, and was commissioned by the Ministry of Education in Israel to complete the research.</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The abstract is concise, clear, and to the point, and is accurate and summarises the study well. It does not include any indication of sample size, or significant values, nor does it discuss the conclusion and findings of the study. While the abstract does allude to the aims and objectives of the research, it does not state outright what they are. However, in the final paragraph of the introduction of the article the aims and objectives are stated. The article aims to discover more about the positives and negatives of mainstream and special schools forming partnerships with the intention of providing inclusion for the pupils within the schools. The intended outcome of the article is to help support further accessibility for partnership schools.</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There is no research question or hypothesis that is stated explicitly within the study. The study itself seems to be more intended to research the positives and negatives of partnerships between special and mainstream schools, rather than attempting to prove or disprove a particular opinion or theory. </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The study describes multiple sources that were used to gather data, with a literature review being described as one. Unfortunately, the review and references themselves are not presented as a focused section, but are spread throughout the whole article, which I found difficult to keep track of. The references, however, all appear to be from academically appropriate sources, and include books, journals and government reports. However, the scope of the literature, with the earliest used being 1995, may be too broad to be totally relevant to schools in 2017. However, for the purposes of gathering information about collaboration between mainstream schools and special schools, the researcher looked at information from a variety of countries, a decision I feel was relevant, due to the intended outcome of the research being to help improve practice within collaborative schools. The vast majority of references have been paraphrased, a decision I feel was slightly to the article</w:t>
      </w:r>
      <w:r>
        <w:rPr>
          <w:rFonts w:ascii="Times New Roman" w:hAnsi="Times New Roman" w:hint="default"/>
          <w:sz w:val="24"/>
          <w:szCs w:val="24"/>
          <w:rtl w:val="0"/>
          <w:lang w:val="en-US"/>
        </w:rPr>
        <w:t>’</w:t>
      </w:r>
      <w:r>
        <w:rPr>
          <w:rFonts w:ascii="Times New Roman" w:hAnsi="Times New Roman"/>
          <w:sz w:val="24"/>
          <w:szCs w:val="24"/>
          <w:rtl w:val="0"/>
          <w:lang w:val="en-US"/>
        </w:rPr>
        <w:t>s detriment due to personal preference. I find that quoting some text directly can help give a more accurate representation of what the author of the cited text meant.</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The context of the study is based within Israel, and focuses on a sample of collaborative schools that were chosen using specific research and criteria. The types of inquiry used are described as a literature review, correspondence with colleagues, which also included responses from a variety of different countries, and visits to partnership schools. The criteria for selecting schools is also noted, but it was confusing to tell in what context the criteria is used. When the sample is presented, however, it becomes a little clearer that the partnership schools were selected because of their close proximity to one another, although it would have been useful for it to have been explained beforehand. The study also does not explicitly state why these types of partnership schools are selected, and why those that are further apart from one another have not been chosen.</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The sample size was selected from nineteen partnerships of mainstream and special schools, and was narrowed down, by following the criteria set, to six partnerships. These partnerships consisted of at least one special school and one mainstream school - although one of the partnerships had two special schools - and covered a wide range of locations within Israel, and a varied range of Special Educational Needs (SEN), including autism spectrum disorder (ASD), intellectual difficulties (ID) and multiple difficulties (MD). All of the partnership schools were also chosen due to their close proximity to one another. However, I do feel that this may have limited the results of the study, and by excluding partnership schools that are not in close proximity to one another a large proportion of partnership schools were ignored. Including these schools in the study would have undoubtedly broadened the range of results, and could have served to emphasise the positive nature of partnership schools being in close proximity to one another. While there is a limited number of partnerships between mainstream and special schools in Israel, a sample size of six partnerships may not be large enough to make accurate generalisations.</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Pupils of the schools and their parents are excluded from the study, with ethical reasons cited as the reason why. However, it is a little confusing as to what exactly the ethical reasons are, and why the decision was made. The term is a rather broad justification, and it would have been useful, for clarification, to explain why it is ethical to exclude the pupils and their parents. It is also slightly confusing about how exactly they have been excluded, as it is not explicitly stated whether it is their data, opinions, or anything else. Pupil numbers are included in the study, however.</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The researcher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role in the study was that of a professional researcher. She used three methods of data collection, which took the form of a literature review, correspondence with her colleagues, and visits to the partnership schools. As mentioned earlier, the literature review is not presented in the article as one section, but rather spread out throughout the article, which makes it difficult, at times, to figure exactly how some of the literature influenced the conclusions arrived at. Similarly, the correspondence with colleagues, while conducted via email, are not detailed other than explaining that they were asked for information about partnership schools. It is not shown in the article how the correspondence with colleagues affected the study at all, in fact. It would have been useful for the context of the study to have had information about the questions asked, and what the responses were. The final method of data collection was conducted during visits to the partnership schools, through discussions and interviews. Unfortunately, the interview questions are not available in the article, but would have been useful to see, so that an accurate picture of what the staff members of the school were asked. Overall, the data collection methods for the study seem to be quite comprehensive, but because the details of them are not explicitly shared in the article, it is hard to definitively comment on their accuracy. </w:t>
      </w:r>
    </w:p>
    <w:p>
      <w:pPr>
        <w:pStyle w:val="Body A"/>
        <w:spacing w:line="36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study includes two tables that present the general information about the partner schools, namely their location within the country and the type of model of partner schools. The location of the schools, while useful for context, does not have a lasting impact on the results of the study, and I</w:t>
      </w:r>
      <w:r>
        <w:rPr>
          <w:rFonts w:ascii="Times New Roman" w:hAnsi="Times New Roman" w:hint="default"/>
          <w:sz w:val="24"/>
          <w:szCs w:val="24"/>
          <w:rtl w:val="0"/>
          <w:lang w:val="en-US"/>
        </w:rPr>
        <w:t>’</w:t>
      </w:r>
      <w:r>
        <w:rPr>
          <w:rFonts w:ascii="Times New Roman" w:hAnsi="Times New Roman"/>
          <w:sz w:val="24"/>
          <w:szCs w:val="24"/>
          <w:rtl w:val="0"/>
          <w:lang w:val="en-US"/>
        </w:rPr>
        <w:t xml:space="preserve">m uncertain as to whether the information was needed to be displayed in a table. Descriptions of the four types of models of partner schools are detailed in the article, which is very useful for developing context on the schools and the way they are set out. The six partnerships chosen only cover two of the models, although it is explained that one of the partnerships began is the third model, but changed into a different model. </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The raw data collected, as mentioned, was not shared in the study. The study does state, however, that the texts from interviews and the literature review were analysed qualitatively, and therefore contain only opinions and is descriptive in nature. The article describes, in detail, three of the partnerships, and discusses the histories, student numbers and age ranges of the mainstream and special schools included in the partnership, and the type of special school. The three partnerships are described in their collaborations, how they work together, their pedagogical approaches, and any barriers or difficulties that the partner schools face. Positive factors of each school are alluded to, but not outright stated, and I feel it would have been useful to detail, through the use of the data gathered, what are seen as positives in the partnerships, as well as the barriers. The article does not detail how each of the three partnerships described were chosen, although it can be surmised that one of each model were used, with the school that changed from one model to the other being included. Aside from this, it is therefore difficult to tell what methods were used to choose the three partnerships over similar ones that matched the same model. It would have been beneficial for a brief description of the method used to impartially select which partnerships were chosen.</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As mentioned, the data from school visits was gathered through conversations with staff at the schools and therefore took the form of qualitative data. If the author had decided to use a questionnaire with scaling options (from 1 to 10) as a part of the research, then quantitative data could have been produced and included in the article. I feel that this would have benefited the study and helped to give a clearer, more concrete view of opinions on multiple elements of the partner schools.</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A minor feature of the descriptions of the partnerships is that the first partnership detailed is done so in a slightly different way to the other two, using a list, as opposed to paragraphs, which are used for the other two. This discrepancy is small, but jarring to read, and the description of the first partnership could have been written using paragraphs to remain consistent with the other descriptions. </w:t>
      </w:r>
    </w:p>
    <w:p>
      <w:pPr>
        <w:pStyle w:val="Body A"/>
        <w:spacing w:line="36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Additionally, it is also interesting that only three of the partnerships are detailed in this way, and not all six used for the study. The reasoning behind this decision is only briefly explained as a method to help give an understanding of how each partnership operates. However, I feel that, for the purposes of the study and the intention of the researcher to discover the positive and negative elements of partnership schools, all six schools should have been described in the same manner. Ultimately, no school, or in this instance, partnership of schools operates identically to any other, and each partnership will inevitably have their differences, and therefore, their own individual strengths and weaknesses. While these factors were taken into account for the study as a whole, the omission of the information in the main text of the article could lead to confusion.</w:t>
      </w:r>
    </w:p>
    <w:p>
      <w:pPr>
        <w:pStyle w:val="Body A"/>
        <w:spacing w:line="36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author concludes that partnerships between special schools and mainstream schools can be very beneficial to both pupils who attend the mainstream schools and the special schools. The article details how, in the three examples of partner schools given, students from the special schools are included in many lessons, activities and additional elements of the mainstream schools. They are also able to socialise with the children from the mainstream. The study also finds that mainstream children in the study partner schools benefit from being able to access services within the special schools, participate in clubs and groups with children from the special schools and even fulfil part of their curriculum requirement by volunteering with children in the special schools.</w:t>
      </w:r>
    </w:p>
    <w:p>
      <w:pPr>
        <w:pStyle w:val="Body A"/>
        <w:spacing w:line="36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Drawbacks of partnership schools are not discussed in the summary of the article explicitly, but rather in the description of each of the three schools that are described in detail. The study found that some issues found included difficult behaviour from special school pupils while integrating with mainstream pupils, the attitudes towards the pupils and staff of the special schools, the appropriate training levels of staff, and negative views when it came to adapting mainstream school practise to accommodate the special school pupils who integrated. </w:t>
      </w:r>
    </w:p>
    <w:p>
      <w:pPr>
        <w:pStyle w:val="Body A"/>
        <w:spacing w:line="36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In the summary, the barriers faced by partnership schools are presented in a list in the form of advice and considerations needed for partnership schools to keep in mind. Each barrier is presented as a point of consideration and clearly marked with letters, which makes the section very concise and easy to read.</w:t>
      </w:r>
    </w:p>
    <w:p>
      <w:pPr>
        <w:pStyle w:val="Body A"/>
        <w:spacing w:line="36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author lists several implications and recommendations for moving forwards with partnership schools. These recommendations are based upon, at the very least, the findings detailed in the descriptions of the three models of partnerships that are described in the article. </w:t>
      </w:r>
    </w:p>
    <w:p>
      <w:pPr>
        <w:pStyle w:val="Body A"/>
        <w:spacing w:line="36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In the summary of the article, bar two references to texts that are relating to the changes undergone by special schools, there is no link made to the supporting literature that was discussed throughout the article. </w:t>
      </w:r>
    </w:p>
    <w:p>
      <w:pPr>
        <w:pStyle w:val="Body A"/>
        <w:spacing w:line="36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article very briefly gives a suggestion for future research, and recommends including the opinions of parents and pupils within the partnership schools, a suggestion I think would be beneficial to the study. There are no other limitations discussed, however.</w:t>
      </w:r>
    </w:p>
    <w:p>
      <w:pPr>
        <w:pStyle w:val="Body A"/>
        <w:spacing w:line="36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article is generally well-written and is easy to read. Aside from minor points about presentation in certain areas of the article, it is presented well and is relatively easy to follow, which benefits the study. As mentioned, I feel that including a literature review section in the article, as opposed to spreading the references throughout the entire article, would have made for an even easier read.</w:t>
      </w:r>
    </w:p>
    <w:p>
      <w:pPr>
        <w:pStyle w:val="Body A"/>
        <w:spacing w:line="36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 tend to agree with the conclusions drawn from the study. The findings presented paint a very compelling picture for the argument of inclusion for children who attend special schools, especially in the guise of partnership schools, and detail a variety of ways in which this inclusion can be achieved, even for children whose difficulties present as more challenging. As mentioned previously, including more of the data from the sample of six schools would have potentially made the results even more compelling. Nonetheless, the data provided does reveal the many benefits that partnership schools in Israel are experiencing.</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Pr>
        <w:tab/>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jc w:val="center"/>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 xml:space="preserve">An Analysis of the Effect of Consistent Classroom Routines on Behaviour Management </w:t>
      </w:r>
    </w:p>
    <w:p>
      <w:pPr>
        <w:pStyle w:val="Body A"/>
      </w:pPr>
    </w:p>
    <w:p>
      <w:pPr>
        <w:pStyle w:val="Body A"/>
        <w:spacing w:line="360" w:lineRule="auto"/>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Introduction</w:t>
      </w: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I am the class teacher in the foundation phase class of a short term social, emotional and behavioural difficulty (SEBD) unit. The unit serves as an assessment unit, where children who are displaying behavioural issues are referred from their base schools and initially attend for four out of five school days. The remaining day is spent at their base school, to ensure that a connection is maintained with the location, the staff and the children, which is then increased slowly as the children make progress, one day at a time until they have fully reintegrated back into their base school. In some exceptions the children will not reintegrate with their base schools. On some occasions children attending the unit will be partway through a statutory assessment, and when they receive their statement they are then placed according to the recommendations. On other occasions the statutory assessment may be started after the child has received a place in the unit, with the same result.</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While the children attending the unit do access the same curriculum as mainstream, it is to a lesser extent, and there is a heavier emphasis on nurture and emotional support, with access to relationship based play (RBP), emotional literacy support assistants (ELSA), forest schools and a school based councillor. Along with these programs, the far smaller pupil numbers (12 maximum in the unit, with 6 maximum per class), greater adult to teacher ratios (2 to 3), free access to a calming area, separate outdoor area and independent education plan (IEP) targets all work to assist the children in controlling and modifying their behaviour so that when they return to their base schools they can adapt the strategies they have learnt in order to succeed.</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The element of practise I have chosen to self evaluate is the effect that consistency in the classroom - including rules, expectations and routines - has on the children</w:t>
      </w:r>
      <w:r>
        <w:rPr>
          <w:rFonts w:ascii="Times New Roman" w:hAnsi="Times New Roman" w:hint="default"/>
          <w:sz w:val="24"/>
          <w:szCs w:val="24"/>
          <w:rtl w:val="0"/>
          <w:lang w:val="en-US"/>
        </w:rPr>
        <w:t>’</w:t>
      </w:r>
      <w:r>
        <w:rPr>
          <w:rFonts w:ascii="Times New Roman" w:hAnsi="Times New Roman"/>
          <w:sz w:val="24"/>
          <w:szCs w:val="24"/>
          <w:rtl w:val="0"/>
          <w:lang w:val="en-US"/>
        </w:rPr>
        <w:t>s behaviour. In order to combat any anxieties the children may have about the structure of the school day, to help children attending the unit who may be undergoing assessment for conditions that are supported by structured routines, and to help support new children who come to the unit, the structure of each day is identical. Aside from the content of the various activities that take place throughout the day, the times are kept to quite firmly, so that the children always know what to expect. The children are also aware of what is expected of them on a daily basis and what the classroom rules are, and this knowledge, while implemented discreetly, is part of the fibre of the classroom. I have chosen to evaluate this element of my practise because it would be very useful to determine the true impact that this consistence has on the children in my class, and whether it serves to help improve their behaviour or not, and if not, what elements of my practise could be adjusted to help support the children more.</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Broader Context</w:t>
      </w: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The setting in which I teach is attached to a primary school and opened in September 2013. It is one of two primary SEBD assessment centres in Neath Port Talbot, and one of four SEBD units, including long term provisions. Cooper gives a brief description of how these types of behaviours can effect classroom learning and management:</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SEBD are most obvious when they appear in the form of disruptive behaviour in schools. </w:t>
        <w:tab/>
        <w:tab/>
        <w:t xml:space="preserve">Such disruption can take the form of behaviours that interfere with the learning and teaching </w:t>
        <w:tab/>
        <w:t xml:space="preserve">processes and in extreme, rare cases can involve violence against pupils and staff. (Cooper, </w:t>
        <w:tab/>
        <w:t>2006, p.1)</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In regards to SEBD, Cooper (2006, p.1) also states that </w:t>
      </w:r>
      <w:r>
        <w:rPr>
          <w:rFonts w:ascii="Times New Roman" w:hAnsi="Times New Roman" w:hint="default"/>
          <w:sz w:val="24"/>
          <w:szCs w:val="24"/>
          <w:rtl w:val="0"/>
          <w:lang w:val="en-US"/>
        </w:rPr>
        <w:t>“</w:t>
      </w:r>
      <w:r>
        <w:rPr>
          <w:rFonts w:ascii="Times New Roman" w:hAnsi="Times New Roman"/>
          <w:sz w:val="24"/>
          <w:szCs w:val="24"/>
          <w:rtl w:val="0"/>
          <w:lang w:val="en-US"/>
        </w:rPr>
        <w:t>It is estimated that between 10 and 20 per cent of all school-aged children in the UK and USA experience such difficulties to a significant degree at any time.</w:t>
      </w:r>
      <w:r>
        <w:rPr>
          <w:rFonts w:ascii="Times New Roman" w:hAnsi="Times New Roman" w:hint="default"/>
          <w:sz w:val="24"/>
          <w:szCs w:val="24"/>
          <w:rtl w:val="0"/>
          <w:lang w:val="en-US"/>
        </w:rPr>
        <w:t>”</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In accordance with the Education Act 1996 (</w:t>
      </w:r>
      <w:r>
        <w:rPr>
          <w:rFonts w:ascii="Times New Roman" w:hAnsi="Times New Roman"/>
          <w:i w:val="1"/>
          <w:iCs w:val="1"/>
          <w:sz w:val="24"/>
          <w:szCs w:val="24"/>
          <w:rtl w:val="0"/>
          <w:lang w:val="en-US"/>
        </w:rPr>
        <w:t>Education Act 1996)</w:t>
      </w:r>
      <w:r>
        <w:rPr>
          <w:rFonts w:ascii="Times New Roman" w:hAnsi="Times New Roman"/>
          <w:sz w:val="24"/>
          <w:szCs w:val="24"/>
          <w:rtl w:val="0"/>
          <w:lang w:val="en-US"/>
        </w:rPr>
        <w:t xml:space="preserve"> the school receives pupil referrals from various schools throughout Neath Port Talbot, and those referrals are assessed for their suitability before children are enrolled, in the scenario that there are available spaces. According to Welsh Government (2018), the number of pupils attending Pupil Referral Units (PRUs) full-time during the 2017-18 academic year was 580, with 34 of those being attributed to primary age children, and pupils who were dually registered at PRUs numbered 212, with 16 of these being attributed to primary aged children. </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The most recent information (Children</w:t>
      </w:r>
      <w:r>
        <w:rPr>
          <w:rFonts w:ascii="Times New Roman" w:hAnsi="Times New Roman" w:hint="default"/>
          <w:sz w:val="24"/>
          <w:szCs w:val="24"/>
          <w:rtl w:val="0"/>
          <w:lang w:val="en-US"/>
        </w:rPr>
        <w:t>’</w:t>
      </w:r>
      <w:r>
        <w:rPr>
          <w:rFonts w:ascii="Times New Roman" w:hAnsi="Times New Roman"/>
          <w:sz w:val="24"/>
          <w:szCs w:val="24"/>
          <w:rtl w:val="0"/>
          <w:lang w:val="en-US"/>
        </w:rPr>
        <w:t xml:space="preserve">s Commissioner For Wales, 2014) found that there were 41 PRUs in Wales in January 2013. However, this data, despite being the most recent available, will have almost certainly changed over the years. It does still give a general picture of the need for PRUs within Wales. </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As the teacher of my class one of my responsibilities is to decide upon the daily timetable, class rules and routines. These elements of the class have evolved naturally over the years I</w:t>
      </w:r>
      <w:r>
        <w:rPr>
          <w:rFonts w:ascii="Times New Roman" w:hAnsi="Times New Roman" w:hint="default"/>
          <w:sz w:val="24"/>
          <w:szCs w:val="24"/>
          <w:rtl w:val="0"/>
          <w:lang w:val="en-US"/>
        </w:rPr>
        <w:t>’</w:t>
      </w:r>
      <w:r>
        <w:rPr>
          <w:rFonts w:ascii="Times New Roman" w:hAnsi="Times New Roman"/>
          <w:sz w:val="24"/>
          <w:szCs w:val="24"/>
          <w:rtl w:val="0"/>
          <w:lang w:val="en-US"/>
        </w:rPr>
        <w:t xml:space="preserve">ve been teaching in the unit, and have been influenced, in general, by the various children that have been in my class. I have occasionally adapted elements of the daily routine to help suit new pupils, or to deal with issued that have arisen in class. For example, I introduced a </w:t>
      </w:r>
      <w:r>
        <w:rPr>
          <w:rFonts w:ascii="Times New Roman" w:hAnsi="Times New Roman" w:hint="default"/>
          <w:sz w:val="24"/>
          <w:szCs w:val="24"/>
          <w:rtl w:val="0"/>
          <w:lang w:val="en-US"/>
        </w:rPr>
        <w:t>‘</w:t>
      </w:r>
      <w:r>
        <w:rPr>
          <w:rFonts w:ascii="Times New Roman" w:hAnsi="Times New Roman"/>
          <w:sz w:val="24"/>
          <w:szCs w:val="24"/>
          <w:rtl w:val="0"/>
          <w:lang w:val="en-US"/>
        </w:rPr>
        <w:t>job system</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to allow each child some time to work independently and help stop conflicts that were repeatedly happening during non-structured times. The classroom rules used were generated with assistance from the children by discussing what they felt was appropriate and inappropriate behaviour, a strategy supported by Shalaway (2005). </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The current routine within my classroom is kept to consistently, and any unavoidable changes are communicated to the children in advance, so as to avoid unnecessary stress or upset. In the event of a spur of the moment change to routine, such as an unexpected visitor or fire alarm, the children are coached through by members of staff. The children are also very aware of the facilities that are available to them in these situations, should they feel overly upset and need to remove themselves from class, such as a calming </w:t>
      </w:r>
      <w:r>
        <w:rPr>
          <w:rFonts w:ascii="Times New Roman" w:hAnsi="Times New Roman" w:hint="default"/>
          <w:sz w:val="24"/>
          <w:szCs w:val="24"/>
          <w:rtl w:val="0"/>
          <w:lang w:val="en-US"/>
        </w:rPr>
        <w:t>‘</w:t>
      </w:r>
      <w:r>
        <w:rPr>
          <w:rFonts w:ascii="Times New Roman" w:hAnsi="Times New Roman"/>
          <w:sz w:val="24"/>
          <w:szCs w:val="24"/>
          <w:rtl w:val="0"/>
          <w:lang w:val="en-US"/>
        </w:rPr>
        <w:t>Chill Out Room</w:t>
      </w:r>
      <w:r>
        <w:rPr>
          <w:rFonts w:ascii="Times New Roman" w:hAnsi="Times New Roman" w:hint="default"/>
          <w:sz w:val="24"/>
          <w:szCs w:val="24"/>
          <w:rtl w:val="0"/>
          <w:lang w:val="en-US"/>
        </w:rPr>
        <w:t>’</w:t>
      </w:r>
      <w:r>
        <w:rPr>
          <w:rFonts w:ascii="Times New Roman" w:hAnsi="Times New Roman"/>
          <w:sz w:val="24"/>
          <w:szCs w:val="24"/>
          <w:rtl w:val="0"/>
          <w:lang w:val="en-US"/>
        </w:rPr>
        <w:t xml:space="preserve">, or the use of the bean bags in the corner of the classroom. The </w:t>
      </w:r>
      <w:r>
        <w:rPr>
          <w:rFonts w:ascii="Times New Roman" w:hAnsi="Times New Roman" w:hint="default"/>
          <w:sz w:val="24"/>
          <w:szCs w:val="24"/>
          <w:rtl w:val="0"/>
          <w:lang w:val="en-US"/>
        </w:rPr>
        <w:t>‘</w:t>
      </w:r>
      <w:r>
        <w:rPr>
          <w:rFonts w:ascii="Times New Roman" w:hAnsi="Times New Roman"/>
          <w:sz w:val="24"/>
          <w:szCs w:val="24"/>
          <w:rtl w:val="0"/>
          <w:lang w:val="en-US"/>
        </w:rPr>
        <w:t>jobs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system used in class also provides a familiar structure for the children to follow. Naturally, in circumstances where these facilities would be inappropriate or even dangerous to use (such as in the event of a fire alarm), the children are given the opportunity to destress once the event had finished and normalcy has returned to the class. </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Another unavoidable change to routine is when a new pupil is introduced to the class. This is naturally exciting for the children who are already part of the class and can disrupt their routines due to their excitement. In addition, new pupils can often bring new, challenging behaviours, which can disrupt the daily routine, depending on their severity. These disruptions are minimised as much as possible, but are sometimes unavoidable, and, as before, the children know of the facilities that they can use to maintain routine, or to help themselves calm.</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It is also worth noting that while the daily running of the class follows a structured timetable and routine, there are times that are naturally less structured, such as play time, dinner time, the period at the end of the day when the children wait for their taxis home, and the period the children have to access the continuous provision in class, when all focused and directed tasks have been completed.</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I believe that the use of a consistent routine and structure within the classroom is an integral part of my classroom management. Considering that many, if not all of the children attending the PRU suffer from some form of trauma, and many of them come from chaotic households, I believe that the unchanging routine in class can help them to feel secure as they know what to expect next. While it would be unrealistic to assume that this strategy would help to avoid all negative behaviour, the </w:t>
      </w:r>
      <w:r>
        <w:rPr>
          <w:rFonts w:ascii="Times New Roman" w:hAnsi="Times New Roman" w:hint="default"/>
          <w:sz w:val="24"/>
          <w:szCs w:val="24"/>
          <w:rtl w:val="0"/>
          <w:lang w:val="en-US"/>
        </w:rPr>
        <w:t>‘</w:t>
      </w:r>
      <w:r>
        <w:rPr>
          <w:rFonts w:ascii="Times New Roman" w:hAnsi="Times New Roman"/>
          <w:sz w:val="24"/>
          <w:szCs w:val="24"/>
          <w:rtl w:val="0"/>
          <w:lang w:val="en-US"/>
        </w:rPr>
        <w:t>safety net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 consistent routine provides helps to avoid feelings of anxiety and uncertainty in the children and helps to avoid unnecessary behavioural outbursts. </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Supporting Literature</w:t>
      </w: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Fox (2001, p.47) summarises the best practise in regards to routines and class structures by stating </w:t>
      </w:r>
      <w:r>
        <w:rPr>
          <w:rFonts w:ascii="Times New Roman" w:hAnsi="Times New Roman" w:hint="default"/>
          <w:sz w:val="24"/>
          <w:szCs w:val="24"/>
          <w:rtl w:val="0"/>
          <w:lang w:val="en-US"/>
        </w:rPr>
        <w:t>“</w:t>
      </w:r>
      <w:r>
        <w:rPr>
          <w:rFonts w:ascii="Times New Roman" w:hAnsi="Times New Roman"/>
          <w:sz w:val="24"/>
          <w:szCs w:val="24"/>
          <w:rtl w:val="0"/>
          <w:lang w:val="en-US"/>
        </w:rPr>
        <w:t>Effective routines have the following characteristics:</w:t>
      </w:r>
      <w:r>
        <w:rPr>
          <w:rFonts w:ascii="Times New Roman" w:hAnsi="Times New Roman" w:hint="default"/>
          <w:sz w:val="24"/>
          <w:szCs w:val="24"/>
          <w:rtl w:val="0"/>
          <w:lang w:val="en-US"/>
        </w:rPr>
        <w:t xml:space="preserve">… </w:t>
      </w:r>
      <w:r>
        <w:rPr>
          <w:rFonts w:ascii="Times New Roman" w:hAnsi="Times New Roman"/>
          <w:sz w:val="24"/>
          <w:szCs w:val="24"/>
          <w:rtl w:val="0"/>
          <w:lang w:val="en-US"/>
        </w:rPr>
        <w:t>They are consistent - the same each time.</w:t>
      </w:r>
      <w:r>
        <w:rPr>
          <w:rFonts w:ascii="Times New Roman" w:hAnsi="Times New Roman" w:hint="default"/>
          <w:sz w:val="24"/>
          <w:szCs w:val="24"/>
          <w:rtl w:val="0"/>
          <w:lang w:val="en-US"/>
        </w:rPr>
        <w:t xml:space="preserve">” </w:t>
      </w:r>
      <w:r>
        <w:rPr>
          <w:rFonts w:ascii="Times New Roman" w:hAnsi="Times New Roman"/>
          <w:sz w:val="24"/>
          <w:szCs w:val="24"/>
          <w:rtl w:val="0"/>
          <w:lang w:val="en-US"/>
        </w:rPr>
        <w:t>While this may seem like an obvious statement, it should be noted how relatively easy it can be to deviate from a routine, and that following the class structure consistently requires planning and effort.</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Morgan (2007, p.61) supports the idea of routines helping to avoid negative behaviours by stating that they </w:t>
      </w:r>
      <w:r>
        <w:rPr>
          <w:rFonts w:ascii="Times New Roman" w:hAnsi="Times New Roman" w:hint="default"/>
          <w:sz w:val="24"/>
          <w:szCs w:val="24"/>
          <w:rtl w:val="0"/>
          <w:lang w:val="en-US"/>
        </w:rPr>
        <w:t>“</w:t>
      </w:r>
      <w:r>
        <w:rPr>
          <w:rFonts w:ascii="Times New Roman" w:hAnsi="Times New Roman"/>
          <w:sz w:val="24"/>
          <w:szCs w:val="24"/>
          <w:rtl w:val="0"/>
          <w:lang w:val="en-US"/>
        </w:rPr>
        <w:t>Provide structure and make school life more predictable - which makes most children feel more secure</w:t>
      </w:r>
      <w:r>
        <w:rPr>
          <w:rFonts w:ascii="Times New Roman" w:hAnsi="Times New Roman" w:hint="default"/>
          <w:sz w:val="24"/>
          <w:szCs w:val="24"/>
          <w:rtl w:val="0"/>
          <w:lang w:val="en-US"/>
        </w:rPr>
        <w:t>”</w:t>
      </w:r>
      <w:r>
        <w:rPr>
          <w:rFonts w:ascii="Times New Roman" w:hAnsi="Times New Roman"/>
          <w:sz w:val="24"/>
          <w:szCs w:val="24"/>
          <w:rtl w:val="0"/>
          <w:lang w:val="en-US"/>
        </w:rPr>
        <w:t>. This concept of making the children</w:t>
      </w:r>
      <w:r>
        <w:rPr>
          <w:rFonts w:ascii="Times New Roman" w:hAnsi="Times New Roman" w:hint="default"/>
          <w:sz w:val="24"/>
          <w:szCs w:val="24"/>
          <w:rtl w:val="0"/>
          <w:lang w:val="en-US"/>
        </w:rPr>
        <w:t>’</w:t>
      </w:r>
      <w:r>
        <w:rPr>
          <w:rFonts w:ascii="Times New Roman" w:hAnsi="Times New Roman"/>
          <w:sz w:val="24"/>
          <w:szCs w:val="24"/>
          <w:rtl w:val="0"/>
          <w:lang w:val="en-US"/>
        </w:rPr>
        <w:t>s day predictable and secure is a key part of my nurture based practise within the PRU. Ultimately, if a child feels secure then any behaviour outbursts caused by insecurities can be significantly reduced.</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Additionally, Imray (2008, p.99) furthers the idea that a consistent routine in school supports children with both chaotic home lives and behavioural issues by saying </w:t>
      </w:r>
      <w:r>
        <w:rPr>
          <w:rFonts w:ascii="Times New Roman" w:hAnsi="Times New Roman" w:hint="default"/>
          <w:sz w:val="24"/>
          <w:szCs w:val="24"/>
          <w:rtl w:val="0"/>
          <w:lang w:val="en-US"/>
        </w:rPr>
        <w:t>“</w:t>
      </w:r>
      <w:r>
        <w:rPr>
          <w:rFonts w:ascii="Times New Roman" w:hAnsi="Times New Roman"/>
          <w:sz w:val="24"/>
          <w:szCs w:val="24"/>
          <w:rtl w:val="0"/>
          <w:lang w:val="en-US"/>
        </w:rPr>
        <w:t>when you</w:t>
      </w:r>
      <w:r>
        <w:rPr>
          <w:rFonts w:ascii="Times New Roman" w:hAnsi="Times New Roman" w:hint="default"/>
          <w:sz w:val="24"/>
          <w:szCs w:val="24"/>
          <w:rtl w:val="0"/>
          <w:lang w:val="en-US"/>
        </w:rPr>
        <w:t>’</w:t>
      </w:r>
      <w:r>
        <w:rPr>
          <w:rFonts w:ascii="Times New Roman" w:hAnsi="Times New Roman"/>
          <w:sz w:val="24"/>
          <w:szCs w:val="24"/>
          <w:rtl w:val="0"/>
          <w:lang w:val="en-US"/>
        </w:rPr>
        <w:t>re not in control of what</w:t>
      </w:r>
      <w:r>
        <w:rPr>
          <w:rFonts w:ascii="Times New Roman" w:hAnsi="Times New Roman" w:hint="default"/>
          <w:sz w:val="24"/>
          <w:szCs w:val="24"/>
          <w:rtl w:val="0"/>
          <w:lang w:val="en-US"/>
        </w:rPr>
        <w:t>’</w:t>
      </w:r>
      <w:r>
        <w:rPr>
          <w:rFonts w:ascii="Times New Roman" w:hAnsi="Times New Roman"/>
          <w:sz w:val="24"/>
          <w:szCs w:val="24"/>
          <w:rtl w:val="0"/>
          <w:lang w:val="en-US"/>
        </w:rPr>
        <w:t>s happening within your own life, you need to be sure that those who are in control (us) are doing a really good job.</w:t>
      </w:r>
      <w:r>
        <w:rPr>
          <w:rFonts w:ascii="Times New Roman" w:hAnsi="Times New Roman" w:hint="default"/>
          <w:sz w:val="24"/>
          <w:szCs w:val="24"/>
          <w:rtl w:val="0"/>
          <w:lang w:val="en-US"/>
        </w:rPr>
        <w:t xml:space="preserve">” </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Furthermore, The Welsh Assembly Government states in the Special Education Needs Code of Practise for Wales (2004) that children who have SEBD may need </w:t>
      </w:r>
      <w:r>
        <w:rPr>
          <w:rFonts w:ascii="Times New Roman" w:hAnsi="Times New Roman" w:hint="default"/>
          <w:sz w:val="24"/>
          <w:szCs w:val="24"/>
          <w:rtl w:val="0"/>
          <w:lang w:val="en-US"/>
        </w:rPr>
        <w:t>“</w:t>
      </w:r>
      <w:r>
        <w:rPr>
          <w:rFonts w:ascii="Times New Roman" w:hAnsi="Times New Roman"/>
          <w:sz w:val="24"/>
          <w:szCs w:val="24"/>
          <w:rtl w:val="0"/>
          <w:lang w:val="en-US"/>
        </w:rPr>
        <w:t>provision of a safe and supportive environment.</w:t>
      </w:r>
      <w:r>
        <w:rPr>
          <w:rFonts w:ascii="Times New Roman" w:hAnsi="Times New Roman" w:hint="default"/>
          <w:sz w:val="24"/>
          <w:szCs w:val="24"/>
          <w:rtl w:val="0"/>
          <w:lang w:val="en-US"/>
        </w:rPr>
        <w:t xml:space="preserve">”  </w:t>
      </w:r>
      <w:r>
        <w:rPr>
          <w:rFonts w:ascii="Times New Roman" w:hAnsi="Times New Roman"/>
          <w:sz w:val="24"/>
          <w:szCs w:val="24"/>
          <w:rtl w:val="0"/>
          <w:lang w:val="en-US"/>
        </w:rPr>
        <w:t>It is important to note here that, as mentioned earlier, while children who have SEBD can often be a risk to other pupils and even staff members due to potential violent outbursts, it is important for them to have access to a classroom that makes them feel safe.</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Boxall (2002, p.50) explains how the familiarity of a structured routine can lead to children trusting the adults in the classroom. </w:t>
      </w:r>
      <w:r>
        <w:rPr>
          <w:rFonts w:ascii="Times New Roman" w:hAnsi="Times New Roman" w:hint="default"/>
          <w:sz w:val="24"/>
          <w:szCs w:val="24"/>
          <w:rtl w:val="0"/>
          <w:lang w:val="en-US"/>
        </w:rPr>
        <w:t>“</w:t>
      </w:r>
      <w:r>
        <w:rPr>
          <w:rFonts w:ascii="Times New Roman" w:hAnsi="Times New Roman"/>
          <w:sz w:val="24"/>
          <w:szCs w:val="24"/>
          <w:rtl w:val="0"/>
          <w:lang w:val="en-US"/>
        </w:rPr>
        <w:t>The routine is manageable, and familiar, contributes to a sense of trust and, after an upset, provides comfort and reassurance.</w:t>
      </w:r>
      <w:r>
        <w:rPr>
          <w:rFonts w:ascii="Times New Roman" w:hAnsi="Times New Roman" w:hint="default"/>
          <w:sz w:val="24"/>
          <w:szCs w:val="24"/>
          <w:rtl w:val="0"/>
          <w:lang w:val="en-US"/>
        </w:rPr>
        <w:t xml:space="preserve">” </w:t>
      </w:r>
      <w:r>
        <w:rPr>
          <w:rFonts w:ascii="Times New Roman" w:hAnsi="Times New Roman"/>
          <w:sz w:val="24"/>
          <w:szCs w:val="24"/>
          <w:rtl w:val="0"/>
          <w:lang w:val="en-US"/>
        </w:rPr>
        <w:t>This comforting routine is a very useful safety net for children to use to help calm themselves, especially if they are feeling unsettled or anxious. In addition, the contribution towards a sense of trust can help to build positive relationships with the adults in the classroom, whom the children may sometimes clash with due to negative behaviours.</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Farrell (1995, p.111) expands on the idea of routines helping to build trust of teachers by explaining that children tend to value fairness and consistency as their most valued attribute of teachers. Ultimately, what could be considered more fair and consistent than a teacher that follows a routine that the children are used to, and who uses rules and consequences that are in keeping with what the class is familiar with. If the children build trust in their teachers then by default that are more likely to display positive behaviours.</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Imray (2008, p.63) states that </w:t>
      </w:r>
      <w:r>
        <w:rPr>
          <w:rFonts w:ascii="Times New Roman" w:hAnsi="Times New Roman" w:hint="default"/>
          <w:sz w:val="24"/>
          <w:szCs w:val="24"/>
          <w:rtl w:val="0"/>
          <w:lang w:val="en-US"/>
        </w:rPr>
        <w:t>“</w:t>
      </w:r>
      <w:r>
        <w:rPr>
          <w:rFonts w:ascii="Times New Roman" w:hAnsi="Times New Roman"/>
          <w:sz w:val="24"/>
          <w:szCs w:val="24"/>
          <w:rtl w:val="0"/>
          <w:lang w:val="en-US"/>
        </w:rPr>
        <w:t>Challenging behaviour can often occur - and programmes can often break down - because we fail to be clear and specific with learners about what is expected of them</w:t>
      </w:r>
      <w:r>
        <w:rPr>
          <w:rFonts w:ascii="Times New Roman" w:hAnsi="Times New Roman" w:hint="default"/>
          <w:sz w:val="24"/>
          <w:szCs w:val="24"/>
          <w:rtl w:val="0"/>
          <w:lang w:val="en-US"/>
        </w:rPr>
        <w:t>”</w:t>
      </w:r>
      <w:r>
        <w:rPr>
          <w:rFonts w:ascii="Times New Roman" w:hAnsi="Times New Roman"/>
          <w:sz w:val="24"/>
          <w:szCs w:val="24"/>
          <w:rtl w:val="0"/>
          <w:lang w:val="en-US"/>
        </w:rPr>
        <w:t xml:space="preserve">. This supports the idea of establishing clear routines, rules and boundaries with children early in the school year, or in the case of pupils in my setting, who can join the class at any point in the school year, in the early days of their attendance. </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In order to remain consistent, these routines are discussed repeatedly throughout the school year, in order to reinforce them with existing pupils and introduce them to new pupils. Leaman (2009, p.12) supports this strategy by stating </w:t>
      </w:r>
      <w:r>
        <w:rPr>
          <w:rFonts w:ascii="Times New Roman" w:hAnsi="Times New Roman" w:hint="default"/>
          <w:sz w:val="24"/>
          <w:szCs w:val="24"/>
          <w:rtl w:val="0"/>
          <w:lang w:val="en-US"/>
        </w:rPr>
        <w:t>“</w:t>
      </w:r>
      <w:r>
        <w:rPr>
          <w:rFonts w:ascii="Times New Roman" w:hAnsi="Times New Roman"/>
          <w:sz w:val="24"/>
          <w:szCs w:val="24"/>
          <w:rtl w:val="0"/>
          <w:lang w:val="en-US"/>
        </w:rPr>
        <w:t>Establish class rules/rights/boundaries at the start of term and continue to refer to them throughout the year. Re-establish them regularly in order to confirm their relevance and importance.</w:t>
      </w:r>
      <w:r>
        <w:rPr>
          <w:rFonts w:ascii="Times New Roman" w:hAnsi="Times New Roman" w:hint="default"/>
          <w:sz w:val="24"/>
          <w:szCs w:val="24"/>
          <w:rtl w:val="0"/>
          <w:lang w:val="en-US"/>
        </w:rPr>
        <w:t>”</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Leaman (2009, p.125) also states that </w:t>
      </w:r>
      <w:r>
        <w:rPr>
          <w:rFonts w:ascii="Times New Roman" w:hAnsi="Times New Roman" w:hint="default"/>
          <w:sz w:val="24"/>
          <w:szCs w:val="24"/>
          <w:rtl w:val="0"/>
          <w:lang w:val="en-US"/>
        </w:rPr>
        <w:t>“</w:t>
      </w:r>
      <w:r>
        <w:rPr>
          <w:rFonts w:ascii="Times New Roman" w:hAnsi="Times New Roman"/>
          <w:sz w:val="24"/>
          <w:szCs w:val="24"/>
          <w:rtl w:val="0"/>
          <w:lang w:val="en-US"/>
        </w:rPr>
        <w:t>Getting to grips with challenging behaviour requires a considerable amount of input. For successful results, it needs to be dealt with diligently and consistently.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 further point is made by Leaman (2009, p.67) through the use of a helpful analogy: </w:t>
      </w:r>
      <w:r>
        <w:rPr>
          <w:rFonts w:ascii="Times New Roman" w:hAnsi="Times New Roman" w:hint="default"/>
          <w:sz w:val="24"/>
          <w:szCs w:val="24"/>
          <w:rtl w:val="0"/>
          <w:lang w:val="en-US"/>
        </w:rPr>
        <w:t>“</w:t>
      </w:r>
      <w:r>
        <w:rPr>
          <w:rFonts w:ascii="Times New Roman" w:hAnsi="Times New Roman"/>
          <w:sz w:val="24"/>
          <w:szCs w:val="24"/>
          <w:rtl w:val="0"/>
          <w:lang w:val="en-US"/>
        </w:rPr>
        <w:t xml:space="preserve">Consistency strengthens your wall of behaviour management - if every </w:t>
      </w:r>
      <w:r>
        <w:rPr>
          <w:rFonts w:ascii="Times New Roman" w:hAnsi="Times New Roman" w:hint="default"/>
          <w:sz w:val="24"/>
          <w:szCs w:val="24"/>
          <w:rtl w:val="0"/>
          <w:lang w:val="en-US"/>
        </w:rPr>
        <w:t>‘</w:t>
      </w:r>
      <w:r>
        <w:rPr>
          <w:rFonts w:ascii="Times New Roman" w:hAnsi="Times New Roman"/>
          <w:sz w:val="24"/>
          <w:szCs w:val="24"/>
          <w:rtl w:val="0"/>
          <w:lang w:val="en-US"/>
        </w:rPr>
        <w:t>brick</w:t>
      </w:r>
      <w:r>
        <w:rPr>
          <w:rFonts w:ascii="Times New Roman" w:hAnsi="Times New Roman" w:hint="default"/>
          <w:sz w:val="24"/>
          <w:szCs w:val="24"/>
          <w:rtl w:val="0"/>
          <w:lang w:val="en-US"/>
        </w:rPr>
        <w:t xml:space="preserve">’ </w:t>
      </w:r>
      <w:r>
        <w:rPr>
          <w:rFonts w:ascii="Times New Roman" w:hAnsi="Times New Roman"/>
          <w:sz w:val="24"/>
          <w:szCs w:val="24"/>
          <w:rtl w:val="0"/>
          <w:lang w:val="en-US"/>
        </w:rPr>
        <w:t>is the same size, and is laid in a similar way, it is harder to break through.</w:t>
      </w:r>
      <w:r>
        <w:rPr>
          <w:rFonts w:ascii="Times New Roman" w:hAnsi="Times New Roman" w:hint="default"/>
          <w:sz w:val="24"/>
          <w:szCs w:val="24"/>
          <w:rtl w:val="0"/>
          <w:lang w:val="en-US"/>
        </w:rPr>
        <w:t xml:space="preserve">” </w:t>
      </w:r>
      <w:r>
        <w:rPr>
          <w:rFonts w:ascii="Times New Roman" w:hAnsi="Times New Roman"/>
          <w:sz w:val="24"/>
          <w:szCs w:val="24"/>
          <w:rtl w:val="0"/>
          <w:lang w:val="en-US"/>
        </w:rPr>
        <w:t>Essentially, the use of consistency within a classroom, in particular a classroom designed specifically for working with children who have SEBD, make it more difficult for disruptive and negative behaviours to have a serious impact on the day.</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Cooper, Smith and Upton (1994, p.121) explain how routines assist children</w:t>
      </w:r>
      <w:r>
        <w:rPr>
          <w:rFonts w:ascii="Times New Roman" w:hAnsi="Times New Roman" w:hint="default"/>
          <w:sz w:val="24"/>
          <w:szCs w:val="24"/>
          <w:rtl w:val="0"/>
          <w:lang w:val="en-US"/>
        </w:rPr>
        <w:t>’</w:t>
      </w:r>
      <w:r>
        <w:rPr>
          <w:rFonts w:ascii="Times New Roman" w:hAnsi="Times New Roman"/>
          <w:sz w:val="24"/>
          <w:szCs w:val="24"/>
          <w:rtl w:val="0"/>
          <w:lang w:val="en-US"/>
        </w:rPr>
        <w:t>s learning by helping to regulate how the activities flow, but also by giving a clear sequence to events. This allows the children to know what to expect next, and removing the element of uncertainty helps to avoid negative behaviours.</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Uncertainty about what is coming next in the school day can ultimately lead to bigger issues, as Linsin touches upon:</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Routines</w:t>
      </w:r>
      <w:r>
        <w:rPr>
          <w:rFonts w:ascii="Times New Roman" w:hAnsi="Times New Roman" w:hint="default"/>
          <w:sz w:val="24"/>
          <w:szCs w:val="24"/>
          <w:rtl w:val="0"/>
          <w:lang w:val="en-US"/>
        </w:rPr>
        <w:t>—</w:t>
      </w:r>
      <w:r>
        <w:rPr>
          <w:rFonts w:ascii="Times New Roman" w:hAnsi="Times New Roman"/>
          <w:sz w:val="24"/>
          <w:szCs w:val="24"/>
          <w:rtl w:val="0"/>
          <w:lang w:val="en-US"/>
        </w:rPr>
        <w:t>also known as classroom procedures</w:t>
      </w:r>
      <w:r>
        <w:rPr>
          <w:rFonts w:ascii="Times New Roman" w:hAnsi="Times New Roman" w:hint="default"/>
          <w:sz w:val="24"/>
          <w:szCs w:val="24"/>
          <w:rtl w:val="0"/>
          <w:lang w:val="en-US"/>
        </w:rPr>
        <w:t>—</w:t>
      </w:r>
      <w:r>
        <w:rPr>
          <w:rFonts w:ascii="Times New Roman" w:hAnsi="Times New Roman"/>
          <w:sz w:val="24"/>
          <w:szCs w:val="24"/>
          <w:rtl w:val="0"/>
          <w:lang w:val="en-US"/>
        </w:rPr>
        <w:t>rid students of distractions that waste time and interfere with learning. Guesswork is minimized. Minor frustrations and inconveniences are fewer, as are opportunities for misbehavior (Linsin, 2009).</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These minor frustrations can quickly lead to bigger anger outbursts, which make up a large portion of the disruptive behaviour in my setting. When the children know what is coming, these minor events can be avoided, which in turn avoids bigger issues arising.</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McNamara and Moreton (2001, p.32) specifically state the need for children with SEBD to have boundaries: </w:t>
      </w:r>
      <w:r>
        <w:rPr>
          <w:rFonts w:ascii="Times New Roman" w:hAnsi="Times New Roman" w:hint="default"/>
          <w:sz w:val="24"/>
          <w:szCs w:val="24"/>
          <w:rtl w:val="0"/>
          <w:lang w:val="en-US"/>
        </w:rPr>
        <w:t>“</w:t>
      </w:r>
      <w:r>
        <w:rPr>
          <w:rFonts w:ascii="Times New Roman" w:hAnsi="Times New Roman"/>
          <w:sz w:val="24"/>
          <w:szCs w:val="24"/>
          <w:rtl w:val="0"/>
          <w:lang w:val="en-US"/>
        </w:rPr>
        <w:t>Being clear about rules, routines, expectations and assessment procedures is important for pupils with emotional and behavioural difficulties, as they need to know boundaries.</w:t>
      </w:r>
      <w:r>
        <w:rPr>
          <w:rFonts w:ascii="Times New Roman" w:hAnsi="Times New Roman" w:hint="default"/>
          <w:sz w:val="24"/>
          <w:szCs w:val="24"/>
          <w:rtl w:val="0"/>
          <w:lang w:val="en-US"/>
        </w:rPr>
        <w:t xml:space="preserve">” </w:t>
      </w:r>
      <w:r>
        <w:rPr>
          <w:rFonts w:ascii="Times New Roman" w:hAnsi="Times New Roman"/>
          <w:sz w:val="24"/>
          <w:szCs w:val="24"/>
          <w:rtl w:val="0"/>
          <w:lang w:val="en-US"/>
        </w:rPr>
        <w:t>Each element, specifically the rules, routines and expectations, when shared with the children, help to give a clear picture of the parameters in which they are playing, working and behaving in on a daily basis, and as a result, when negative behaviour occurs it can often be attributed to a different source, other than the children being unaware of what is expected of them.</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It can, however, be beneficial at times to break the routine. An element of my classroom organisation is the inclusion of a </w:t>
      </w:r>
      <w:r>
        <w:rPr>
          <w:rFonts w:ascii="Times New Roman" w:hAnsi="Times New Roman" w:hint="default"/>
          <w:sz w:val="24"/>
          <w:szCs w:val="24"/>
          <w:rtl w:val="0"/>
          <w:lang w:val="en-US"/>
        </w:rPr>
        <w:t>‘</w:t>
      </w:r>
      <w:r>
        <w:rPr>
          <w:rFonts w:ascii="Times New Roman" w:hAnsi="Times New Roman"/>
          <w:sz w:val="24"/>
          <w:szCs w:val="24"/>
          <w:rtl w:val="0"/>
          <w:lang w:val="en-US"/>
        </w:rPr>
        <w:t>Tree of Kindness</w:t>
      </w:r>
      <w:r>
        <w:rPr>
          <w:rFonts w:ascii="Times New Roman" w:hAnsi="Times New Roman" w:hint="default"/>
          <w:sz w:val="24"/>
          <w:szCs w:val="24"/>
          <w:rtl w:val="0"/>
          <w:lang w:val="en-US"/>
        </w:rPr>
        <w:t>’</w:t>
      </w:r>
      <w:r>
        <w:rPr>
          <w:rFonts w:ascii="Times New Roman" w:hAnsi="Times New Roman"/>
          <w:sz w:val="24"/>
          <w:szCs w:val="24"/>
          <w:rtl w:val="0"/>
          <w:lang w:val="en-US"/>
        </w:rPr>
        <w:t xml:space="preserve">, where every kind act a child displays is written on a leaf an displayed. As well as being a boost for self esteem, the tree also serves as a reward chart of sorts. For every ten leaves that are placed on the tree, the class breaks routine and stops what we are doing to play on the Nintendo Wii, a reward that all the children enjoy. Olsen and Cooper (2004, p.132) support this strategy by stating, </w:t>
      </w:r>
      <w:r>
        <w:rPr>
          <w:rFonts w:ascii="Times New Roman" w:hAnsi="Times New Roman" w:hint="default"/>
          <w:sz w:val="24"/>
          <w:szCs w:val="24"/>
          <w:rtl w:val="0"/>
          <w:lang w:val="en-US"/>
        </w:rPr>
        <w:t>“</w:t>
      </w:r>
      <w:r>
        <w:rPr>
          <w:rFonts w:ascii="Times New Roman" w:hAnsi="Times New Roman"/>
          <w:sz w:val="24"/>
          <w:szCs w:val="24"/>
          <w:rtl w:val="0"/>
          <w:lang w:val="en-US"/>
        </w:rPr>
        <w:t>Also, it is fun for students, as a treat, when the teacher occasionally breaks the routine and surprises them.</w:t>
      </w:r>
      <w:r>
        <w:rPr>
          <w:rFonts w:ascii="Times New Roman" w:hAnsi="Times New Roman" w:hint="default"/>
          <w:sz w:val="24"/>
          <w:szCs w:val="24"/>
          <w:rtl w:val="0"/>
          <w:lang w:val="en-US"/>
        </w:rPr>
        <w:t xml:space="preserve">” </w:t>
      </w:r>
      <w:r>
        <w:rPr>
          <w:rFonts w:ascii="Times New Roman" w:hAnsi="Times New Roman"/>
          <w:sz w:val="24"/>
          <w:szCs w:val="24"/>
          <w:rtl w:val="0"/>
          <w:lang w:val="en-US"/>
        </w:rPr>
        <w:t>Indeed, the announcement that the class has reached another ten leaves is never met with a negative response.</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In addition to assist in preventing negative behaviours from occurring, it is also possible that the use of a consistent routine is an effective strategy for helping students with SEBD to control their negative behaviours and change. Rogers (2000, p101) states: </w:t>
      </w:r>
      <w:r>
        <w:rPr>
          <w:rFonts w:ascii="Times New Roman" w:hAnsi="Times New Roman" w:hint="default"/>
          <w:sz w:val="24"/>
          <w:szCs w:val="24"/>
          <w:rtl w:val="0"/>
          <w:lang w:val="en-US"/>
        </w:rPr>
        <w:t>“</w:t>
      </w:r>
      <w:r>
        <w:rPr>
          <w:rFonts w:ascii="Times New Roman" w:hAnsi="Times New Roman"/>
          <w:sz w:val="24"/>
          <w:szCs w:val="24"/>
          <w:rtl w:val="0"/>
          <w:lang w:val="en-US"/>
        </w:rPr>
        <w:t>Behaviour can be changed. Behaviour is not totally static and fixed. Students can learn new and different ways of relating, responding and coping in social settings</w:t>
      </w:r>
      <w:r>
        <w:rPr>
          <w:rFonts w:ascii="Times New Roman" w:hAnsi="Times New Roman" w:hint="default"/>
          <w:sz w:val="24"/>
          <w:szCs w:val="24"/>
          <w:rtl w:val="0"/>
          <w:lang w:val="en-US"/>
        </w:rPr>
        <w:t>”</w:t>
      </w:r>
      <w:r>
        <w:rPr>
          <w:rFonts w:ascii="Times New Roman" w:hAnsi="Times New Roman"/>
          <w:sz w:val="24"/>
          <w:szCs w:val="24"/>
          <w:rtl w:val="0"/>
          <w:lang w:val="en-US"/>
        </w:rPr>
        <w:t>.</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This point is supported further by Long et al (2007, p.178-179) who state: </w:t>
      </w:r>
      <w:r>
        <w:rPr>
          <w:rFonts w:ascii="Times New Roman" w:hAnsi="Times New Roman" w:hint="default"/>
          <w:sz w:val="24"/>
          <w:szCs w:val="24"/>
          <w:rtl w:val="0"/>
          <w:lang w:val="en-US"/>
        </w:rPr>
        <w:t>“</w:t>
      </w:r>
      <w:r>
        <w:rPr>
          <w:rFonts w:ascii="Times New Roman" w:hAnsi="Times New Roman"/>
          <w:sz w:val="24"/>
          <w:szCs w:val="24"/>
          <w:rtl w:val="0"/>
          <w:lang w:val="en-US"/>
        </w:rPr>
        <w:t>Positive group progress in maintained through the use of meaningful rules, rituals, and routines.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They also go on to explain how a group can build cohesion and identity through the use of a structured routine. </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Finally, Imray (2008, p.29) explains that </w:t>
      </w:r>
      <w:r>
        <w:rPr>
          <w:rFonts w:ascii="Times New Roman" w:hAnsi="Times New Roman" w:hint="default"/>
          <w:sz w:val="24"/>
          <w:szCs w:val="24"/>
          <w:rtl w:val="0"/>
          <w:lang w:val="en-US"/>
        </w:rPr>
        <w:t>“</w:t>
      </w:r>
      <w:r>
        <w:rPr>
          <w:rFonts w:ascii="Times New Roman" w:hAnsi="Times New Roman"/>
          <w:sz w:val="24"/>
          <w:szCs w:val="24"/>
          <w:rtl w:val="0"/>
          <w:lang w:val="en-US"/>
        </w:rPr>
        <w:t>as long as there is consistency within the organisation itself (school</w:t>
      </w:r>
      <w:r>
        <w:rPr>
          <w:rFonts w:ascii="Times New Roman" w:hAnsi="Times New Roman" w:hint="default"/>
          <w:sz w:val="24"/>
          <w:szCs w:val="24"/>
          <w:rtl w:val="0"/>
          <w:lang w:val="en-US"/>
        </w:rPr>
        <w:t xml:space="preserve">… </w:t>
      </w:r>
      <w:r>
        <w:rPr>
          <w:rFonts w:ascii="Times New Roman" w:hAnsi="Times New Roman"/>
          <w:sz w:val="24"/>
          <w:szCs w:val="24"/>
          <w:rtl w:val="0"/>
          <w:lang w:val="en-US"/>
        </w:rPr>
        <w:t>etc.) there is a strong chance that positive and lasting change can be effected.</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While this is talking about an entire organisation, my PRU setting works largely independently from the school it is connected to, and essentially operates as its own organisation. </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Pr>
        <w:tab/>
      </w:r>
    </w:p>
    <w:p>
      <w:pPr>
        <w:pStyle w:val="Body A"/>
        <w:spacing w:line="360" w:lineRule="auto"/>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Procedures and Methods</w:t>
      </w: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I carried out my study within my own class within the PRU setting of the school. At the time of the start of this study, my class consisted of four children, all of whom are boys. For the purposes of this study, the children will be referred to as Child A, Child B, Child C and Child D. </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Child A is a year two pupil who attends the PRU for five days a week. He has been awarded a statement for SEBD and is awaiting a placement at a long term SEBD provision. By the time of this study</w:t>
      </w:r>
      <w:r>
        <w:rPr>
          <w:rFonts w:ascii="Times New Roman" w:hAnsi="Times New Roman" w:hint="default"/>
          <w:sz w:val="24"/>
          <w:szCs w:val="24"/>
          <w:rtl w:val="0"/>
          <w:lang w:val="en-US"/>
        </w:rPr>
        <w:t>’</w:t>
      </w:r>
      <w:r>
        <w:rPr>
          <w:rFonts w:ascii="Times New Roman" w:hAnsi="Times New Roman"/>
          <w:sz w:val="24"/>
          <w:szCs w:val="24"/>
          <w:rtl w:val="0"/>
          <w:lang w:val="en-US"/>
        </w:rPr>
        <w:t xml:space="preserve">s conclusion, he has been attending the PRU for nearly 24 months. </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Child B is a year one pupil who currently attends the PRU for three days a week, and integrates into his base school for the remaining two. He has no statement and is currently on path to fully reintegrate into his base school at some point in the future. By the time of this study</w:t>
      </w:r>
      <w:r>
        <w:rPr>
          <w:rFonts w:ascii="Times New Roman" w:hAnsi="Times New Roman" w:hint="default"/>
          <w:sz w:val="24"/>
          <w:szCs w:val="24"/>
          <w:rtl w:val="0"/>
          <w:lang w:val="en-US"/>
        </w:rPr>
        <w:t>’</w:t>
      </w:r>
      <w:r>
        <w:rPr>
          <w:rFonts w:ascii="Times New Roman" w:hAnsi="Times New Roman"/>
          <w:sz w:val="24"/>
          <w:szCs w:val="24"/>
          <w:rtl w:val="0"/>
          <w:lang w:val="en-US"/>
        </w:rPr>
        <w:t>s conclusion, he has been attending the PRU for seven months.</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Child C is a year one pupil who currently attends the PRU for three days a week, and integrates into his base school for the remaining two. However, for the majority of this study, he was only integrating into his base school for one day, attending the PRU for the other four. He is currently on the waiting list for Autism Spectrum Disorder (ASD) assessment, but is currently on the path to fully reintegrate into his base school in the future. By the time of this study</w:t>
      </w:r>
      <w:r>
        <w:rPr>
          <w:rFonts w:ascii="Times New Roman" w:hAnsi="Times New Roman" w:hint="default"/>
          <w:sz w:val="24"/>
          <w:szCs w:val="24"/>
          <w:rtl w:val="0"/>
          <w:lang w:val="en-US"/>
        </w:rPr>
        <w:t>’</w:t>
      </w:r>
      <w:r>
        <w:rPr>
          <w:rFonts w:ascii="Times New Roman" w:hAnsi="Times New Roman"/>
          <w:sz w:val="24"/>
          <w:szCs w:val="24"/>
          <w:rtl w:val="0"/>
          <w:lang w:val="en-US"/>
        </w:rPr>
        <w:t>s concluson, he has been attending the PRU for seven months.</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Child D is a year two pupil who currently attends the PRU for three days a week, and integrates into his base school for the remaining two. However, like Child C, for the majority of this study he was integrating into his base school for only one day, and spent the remaining four days in the PRU. He is currently on the path to fully integrate back into his base school. By the time of this study conclusion, he has been attending the PRU for four months.</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However, due to the nature of the PRU setting, a further two children joined the class during the study. However, due to he fact that both of these children joined the class when there was less than a week of the study left, they have been excluded from the results to ensure that there is consistency and clarity within the study.</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The decision to use my class as the base for the study was due to my personal control, as class teacher, over the routine and how it is implemented on a daily basis. It was also due to my own relationships with these children as their class teacher and my own knowledge of their individual behaviours, both positive and negative.</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The study was carried out over a period of six weeks, and compromised of observation of the children and their reactions to the classroom routines, and the comparison of frequency of disruptive and negative behaviours during structured times and unstructured times in class. Considerations for the various personalities, pathways, amount of days in a week attending the PRU and length of time each child has been attending the PRU were taken into account. While a consistent routine has always been used in the PRU, there are sometimes deviations. For the purposes of this study, these deviations were kept to an absolute minimum.</w:t>
      </w:r>
    </w:p>
    <w:p>
      <w:pPr>
        <w:pStyle w:val="Body A"/>
        <w:spacing w:line="360" w:lineRule="auto"/>
        <w:rPr>
          <w:rFonts w:ascii="Times New Roman" w:cs="Times New Roman" w:hAnsi="Times New Roman" w:eastAsia="Times New Roman"/>
          <w:sz w:val="24"/>
          <w:szCs w:val="24"/>
          <w:u w:val="single"/>
        </w:rPr>
      </w:pPr>
    </w:p>
    <w:p>
      <w:pPr>
        <w:pStyle w:val="Body A"/>
        <w:spacing w:line="360" w:lineRule="auto"/>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Presentation and analysis of findings</w:t>
      </w:r>
    </w:p>
    <w:p>
      <w:pPr>
        <w:pStyle w:val="Body A"/>
        <w:spacing w:line="360" w:lineRule="auto"/>
      </w:pPr>
      <w:r>
        <w:rPr>
          <w:rFonts w:ascii="Times New Roman" w:hAnsi="Times New Roman"/>
          <w:sz w:val="24"/>
          <w:szCs w:val="24"/>
          <w:rtl w:val="0"/>
          <w:lang w:val="en-US"/>
        </w:rPr>
        <w:t>The observations of Children A, B, C and D have been broken down into frequency of behavioural incidents during structured times and unstructured times. For the purpose of this study the behavioural incidents have been further categorised into two criteria: incidents involving violence and incidents without violence. The violence referred to covers physical aggression towards both other pupils in the class and members of staff, and incidents that involve the throwing of objects around the class. In regards to incidents without violence, any behaviour that would be deemed inappropriate for a classroom setting was accounted for, ranging from defiance to absconding from class. The distinction has been made due to the difference in strategies used in relation to violent</w:t>
      </w:r>
    </w:p>
    <w:tbl>
      <w:tblPr>
        <w:tblW w:w="605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865"/>
        <w:gridCol w:w="865"/>
        <w:gridCol w:w="866"/>
        <w:gridCol w:w="865"/>
        <w:gridCol w:w="866"/>
        <w:gridCol w:w="865"/>
        <w:gridCol w:w="866"/>
      </w:tblGrid>
      <w:tr>
        <w:tblPrEx>
          <w:shd w:val="clear" w:color="auto" w:fill="00a2ff"/>
        </w:tblPrEx>
        <w:trPr>
          <w:trHeight w:val="286" w:hRule="atLeast"/>
          <w:tblHeader/>
        </w:trPr>
        <w:tc>
          <w:tcPr>
            <w:tcW w:type="dxa" w:w="6058"/>
            <w:gridSpan w:val="7"/>
            <w:tcBorders>
              <w:top w:val="nil"/>
              <w:left w:val="nil"/>
              <w:bottom w:val="single" w:color="000000" w:sz="2" w:space="0" w:shadow="0" w:frame="0"/>
              <w:right w:val="nil"/>
            </w:tcBorders>
            <w:shd w:val="clear" w:color="auto" w:fill="auto"/>
            <w:tcMar>
              <w:top w:type="dxa" w:w="80"/>
              <w:left w:type="dxa" w:w="80"/>
              <w:bottom w:type="dxa" w:w="80"/>
              <w:right w:type="dxa" w:w="80"/>
            </w:tcMar>
            <w:vAlign w:val="center"/>
          </w:tcPr>
          <w:p>
            <w:pPr>
              <w:pStyle w:val="Table Title 1"/>
            </w:pPr>
            <w:r>
              <w:rPr>
                <w:rtl w:val="0"/>
                <w:lang w:val="en-US"/>
              </w:rPr>
              <w:t>Table 1: Non-violent incidents per week</w:t>
            </w:r>
          </w:p>
        </w:tc>
      </w:tr>
      <w:tr>
        <w:tblPrEx>
          <w:shd w:val="clear" w:color="auto" w:fill="00a2ff"/>
        </w:tblPrEx>
        <w:trPr>
          <w:trHeight w:val="302" w:hRule="atLeast"/>
          <w:tblHeader/>
        </w:trPr>
        <w:tc>
          <w:tcPr>
            <w:tcW w:type="dxa" w:w="865"/>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tc>
        <w:tc>
          <w:tcPr>
            <w:tcW w:type="dxa" w:w="865"/>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pPr>
            <w:r>
              <w:rPr>
                <w:rtl w:val="0"/>
                <w:lang w:val="nl-NL"/>
              </w:rPr>
              <w:t>Week 1</w:t>
            </w:r>
          </w:p>
        </w:tc>
        <w:tc>
          <w:tcPr>
            <w:tcW w:type="dxa" w:w="866"/>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pPr>
            <w:r>
              <w:rPr>
                <w:rtl w:val="0"/>
                <w:lang w:val="nl-NL"/>
              </w:rPr>
              <w:t>Week 2</w:t>
            </w:r>
          </w:p>
        </w:tc>
        <w:tc>
          <w:tcPr>
            <w:tcW w:type="dxa" w:w="865"/>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pPr>
            <w:r>
              <w:rPr>
                <w:rtl w:val="0"/>
                <w:lang w:val="nl-NL"/>
              </w:rPr>
              <w:t>Week 3</w:t>
            </w:r>
          </w:p>
        </w:tc>
        <w:tc>
          <w:tcPr>
            <w:tcW w:type="dxa" w:w="866"/>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pPr>
            <w:r>
              <w:rPr>
                <w:rtl w:val="0"/>
                <w:lang w:val="nl-NL"/>
              </w:rPr>
              <w:t>Week 4</w:t>
            </w:r>
          </w:p>
        </w:tc>
        <w:tc>
          <w:tcPr>
            <w:tcW w:type="dxa" w:w="865"/>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pPr>
            <w:r>
              <w:rPr>
                <w:rtl w:val="0"/>
                <w:lang w:val="nl-NL"/>
              </w:rPr>
              <w:t>Week 5</w:t>
            </w:r>
          </w:p>
        </w:tc>
        <w:tc>
          <w:tcPr>
            <w:tcW w:type="dxa" w:w="866"/>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pPr>
            <w:r>
              <w:rPr>
                <w:rtl w:val="0"/>
                <w:lang w:val="nl-NL"/>
              </w:rPr>
              <w:t>Week 6</w:t>
            </w:r>
          </w:p>
        </w:tc>
      </w:tr>
      <w:tr>
        <w:tblPrEx>
          <w:shd w:val="clear" w:color="auto" w:fill="cadfff"/>
        </w:tblPrEx>
        <w:trPr>
          <w:trHeight w:val="270" w:hRule="atLeast"/>
        </w:trPr>
        <w:tc>
          <w:tcPr>
            <w:tcW w:type="dxa" w:w="865"/>
            <w:tcBorders>
              <w:top w:val="single" w:color="000000" w:sz="4"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pPr>
            <w:r>
              <w:rPr>
                <w:rtl w:val="0"/>
                <w:lang w:val="en-US"/>
              </w:rPr>
              <w:t>Child A</w:t>
            </w:r>
          </w:p>
        </w:tc>
        <w:tc>
          <w:tcPr>
            <w:tcW w:type="dxa" w:w="865"/>
            <w:tcBorders>
              <w:top w:val="single" w:color="000000" w:sz="4"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14</w:t>
            </w:r>
          </w:p>
        </w:tc>
        <w:tc>
          <w:tcPr>
            <w:tcW w:type="dxa" w:w="866"/>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14</w:t>
            </w:r>
          </w:p>
        </w:tc>
        <w:tc>
          <w:tcPr>
            <w:tcW w:type="dxa" w:w="865"/>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26</w:t>
            </w:r>
          </w:p>
        </w:tc>
        <w:tc>
          <w:tcPr>
            <w:tcW w:type="dxa" w:w="866"/>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17</w:t>
            </w:r>
          </w:p>
        </w:tc>
        <w:tc>
          <w:tcPr>
            <w:tcW w:type="dxa" w:w="865"/>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20</w:t>
            </w:r>
          </w:p>
        </w:tc>
        <w:tc>
          <w:tcPr>
            <w:tcW w:type="dxa" w:w="866"/>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14</w:t>
            </w:r>
          </w:p>
        </w:tc>
      </w:tr>
      <w:tr>
        <w:tblPrEx>
          <w:shd w:val="clear" w:color="auto" w:fill="cadfff"/>
        </w:tblPrEx>
        <w:trPr>
          <w:trHeight w:val="258" w:hRule="atLeast"/>
        </w:trPr>
        <w:tc>
          <w:tcPr>
            <w:tcW w:type="dxa" w:w="865"/>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pPr>
            <w:r>
              <w:rPr>
                <w:rtl w:val="0"/>
                <w:lang w:val="en-US"/>
              </w:rPr>
              <w:t>Child B</w:t>
            </w:r>
          </w:p>
        </w:tc>
        <w:tc>
          <w:tcPr>
            <w:tcW w:type="dxa" w:w="865"/>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4</w:t>
            </w:r>
          </w:p>
        </w:tc>
        <w:tc>
          <w:tcPr>
            <w:tcW w:type="dxa" w:w="86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3</w:t>
            </w:r>
          </w:p>
        </w:tc>
        <w:tc>
          <w:tcPr>
            <w:tcW w:type="dxa" w:w="86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3</w:t>
            </w:r>
          </w:p>
        </w:tc>
        <w:tc>
          <w:tcPr>
            <w:tcW w:type="dxa" w:w="86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5</w:t>
            </w:r>
          </w:p>
        </w:tc>
        <w:tc>
          <w:tcPr>
            <w:tcW w:type="dxa" w:w="86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4</w:t>
            </w:r>
          </w:p>
        </w:tc>
        <w:tc>
          <w:tcPr>
            <w:tcW w:type="dxa" w:w="86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5</w:t>
            </w:r>
          </w:p>
        </w:tc>
      </w:tr>
      <w:tr>
        <w:tblPrEx>
          <w:shd w:val="clear" w:color="auto" w:fill="cadfff"/>
        </w:tblPrEx>
        <w:trPr>
          <w:trHeight w:val="258" w:hRule="atLeast"/>
        </w:trPr>
        <w:tc>
          <w:tcPr>
            <w:tcW w:type="dxa" w:w="865"/>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pPr>
            <w:r>
              <w:rPr>
                <w:rtl w:val="0"/>
                <w:lang w:val="en-US"/>
              </w:rPr>
              <w:t>Child C</w:t>
            </w:r>
          </w:p>
        </w:tc>
        <w:tc>
          <w:tcPr>
            <w:tcW w:type="dxa" w:w="865"/>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10</w:t>
            </w:r>
          </w:p>
        </w:tc>
        <w:tc>
          <w:tcPr>
            <w:tcW w:type="dxa" w:w="86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7</w:t>
            </w:r>
          </w:p>
        </w:tc>
        <w:tc>
          <w:tcPr>
            <w:tcW w:type="dxa" w:w="86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4</w:t>
            </w:r>
          </w:p>
        </w:tc>
        <w:tc>
          <w:tcPr>
            <w:tcW w:type="dxa" w:w="86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2</w:t>
            </w:r>
          </w:p>
        </w:tc>
        <w:tc>
          <w:tcPr>
            <w:tcW w:type="dxa" w:w="86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2</w:t>
            </w:r>
          </w:p>
        </w:tc>
        <w:tc>
          <w:tcPr>
            <w:tcW w:type="dxa" w:w="86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1</w:t>
            </w:r>
          </w:p>
        </w:tc>
      </w:tr>
      <w:tr>
        <w:tblPrEx>
          <w:shd w:val="clear" w:color="auto" w:fill="cadfff"/>
        </w:tblPrEx>
        <w:trPr>
          <w:trHeight w:val="258" w:hRule="atLeast"/>
        </w:trPr>
        <w:tc>
          <w:tcPr>
            <w:tcW w:type="dxa" w:w="865"/>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pPr>
            <w:r>
              <w:rPr>
                <w:rtl w:val="0"/>
                <w:lang w:val="en-US"/>
              </w:rPr>
              <w:t>Child D</w:t>
            </w:r>
          </w:p>
        </w:tc>
        <w:tc>
          <w:tcPr>
            <w:tcW w:type="dxa" w:w="865"/>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6</w:t>
            </w:r>
          </w:p>
        </w:tc>
        <w:tc>
          <w:tcPr>
            <w:tcW w:type="dxa" w:w="86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4</w:t>
            </w:r>
          </w:p>
        </w:tc>
        <w:tc>
          <w:tcPr>
            <w:tcW w:type="dxa" w:w="86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3</w:t>
            </w:r>
          </w:p>
        </w:tc>
        <w:tc>
          <w:tcPr>
            <w:tcW w:type="dxa" w:w="86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1</w:t>
            </w:r>
          </w:p>
        </w:tc>
        <w:tc>
          <w:tcPr>
            <w:tcW w:type="dxa" w:w="86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0</w:t>
            </w:r>
          </w:p>
        </w:tc>
        <w:tc>
          <w:tcPr>
            <w:tcW w:type="dxa" w:w="86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1</w:t>
            </w:r>
          </w:p>
        </w:tc>
      </w:tr>
    </w:tbl>
    <w:p>
      <w:pPr>
        <w:pStyle w:val="Body A"/>
        <w:widowControl w:val="0"/>
        <w:ind w:left="108" w:hanging="108"/>
      </w:pPr>
    </w:p>
    <w:tbl>
      <w:tblPr>
        <w:tblW w:w="6053"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864"/>
        <w:gridCol w:w="865"/>
        <w:gridCol w:w="865"/>
        <w:gridCol w:w="864"/>
        <w:gridCol w:w="865"/>
        <w:gridCol w:w="865"/>
        <w:gridCol w:w="865"/>
      </w:tblGrid>
      <w:tr>
        <w:tblPrEx>
          <w:shd w:val="clear" w:color="auto" w:fill="00a2ff"/>
        </w:tblPrEx>
        <w:trPr>
          <w:trHeight w:val="286" w:hRule="atLeast"/>
          <w:tblHeader/>
        </w:trPr>
        <w:tc>
          <w:tcPr>
            <w:tcW w:type="dxa" w:w="6053"/>
            <w:gridSpan w:val="7"/>
            <w:tcBorders>
              <w:top w:val="nil"/>
              <w:left w:val="nil"/>
              <w:bottom w:val="single" w:color="000000" w:sz="2" w:space="0" w:shadow="0" w:frame="0"/>
              <w:right w:val="nil"/>
            </w:tcBorders>
            <w:shd w:val="clear" w:color="auto" w:fill="auto"/>
            <w:tcMar>
              <w:top w:type="dxa" w:w="80"/>
              <w:left w:type="dxa" w:w="80"/>
              <w:bottom w:type="dxa" w:w="80"/>
              <w:right w:type="dxa" w:w="80"/>
            </w:tcMar>
            <w:vAlign w:val="center"/>
          </w:tcPr>
          <w:p>
            <w:pPr>
              <w:pStyle w:val="Table Title 1"/>
            </w:pPr>
            <w:r>
              <w:rPr>
                <w:rtl w:val="0"/>
                <w:lang w:val="en-US"/>
              </w:rPr>
              <w:t>Table 2: Violent incidents per week</w:t>
            </w:r>
          </w:p>
        </w:tc>
      </w:tr>
      <w:tr>
        <w:tblPrEx>
          <w:shd w:val="clear" w:color="auto" w:fill="00a2ff"/>
        </w:tblPrEx>
        <w:trPr>
          <w:trHeight w:val="302" w:hRule="atLeast"/>
          <w:tblHeader/>
        </w:trPr>
        <w:tc>
          <w:tcPr>
            <w:tcW w:type="dxa" w:w="864"/>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tc>
        <w:tc>
          <w:tcPr>
            <w:tcW w:type="dxa" w:w="865"/>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pPr>
            <w:r>
              <w:rPr>
                <w:rtl w:val="0"/>
                <w:lang w:val="nl-NL"/>
              </w:rPr>
              <w:t>Week 1</w:t>
            </w:r>
          </w:p>
        </w:tc>
        <w:tc>
          <w:tcPr>
            <w:tcW w:type="dxa" w:w="865"/>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pPr>
            <w:r>
              <w:rPr>
                <w:rtl w:val="0"/>
                <w:lang w:val="nl-NL"/>
              </w:rPr>
              <w:t>Week 2</w:t>
            </w:r>
          </w:p>
        </w:tc>
        <w:tc>
          <w:tcPr>
            <w:tcW w:type="dxa" w:w="864"/>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pPr>
            <w:r>
              <w:rPr>
                <w:rtl w:val="0"/>
                <w:lang w:val="nl-NL"/>
              </w:rPr>
              <w:t>Week 3</w:t>
            </w:r>
          </w:p>
        </w:tc>
        <w:tc>
          <w:tcPr>
            <w:tcW w:type="dxa" w:w="865"/>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pPr>
            <w:r>
              <w:rPr>
                <w:rtl w:val="0"/>
                <w:lang w:val="nl-NL"/>
              </w:rPr>
              <w:t>Week 4</w:t>
            </w:r>
          </w:p>
        </w:tc>
        <w:tc>
          <w:tcPr>
            <w:tcW w:type="dxa" w:w="865"/>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pPr>
            <w:r>
              <w:rPr>
                <w:rtl w:val="0"/>
                <w:lang w:val="nl-NL"/>
              </w:rPr>
              <w:t>Week 5</w:t>
            </w:r>
          </w:p>
        </w:tc>
        <w:tc>
          <w:tcPr>
            <w:tcW w:type="dxa" w:w="865"/>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pPr>
            <w:r>
              <w:rPr>
                <w:rtl w:val="0"/>
                <w:lang w:val="nl-NL"/>
              </w:rPr>
              <w:t>Week 6</w:t>
            </w:r>
          </w:p>
        </w:tc>
      </w:tr>
      <w:tr>
        <w:tblPrEx>
          <w:shd w:val="clear" w:color="auto" w:fill="cadfff"/>
        </w:tblPrEx>
        <w:trPr>
          <w:trHeight w:val="262" w:hRule="atLeast"/>
        </w:trPr>
        <w:tc>
          <w:tcPr>
            <w:tcW w:type="dxa" w:w="864"/>
            <w:tcBorders>
              <w:top w:val="single" w:color="000000" w:sz="4"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pPr>
            <w:r>
              <w:rPr>
                <w:rtl w:val="0"/>
                <w:lang w:val="en-US"/>
              </w:rPr>
              <w:t>Child A</w:t>
            </w:r>
          </w:p>
        </w:tc>
        <w:tc>
          <w:tcPr>
            <w:tcW w:type="dxa" w:w="865"/>
            <w:tcBorders>
              <w:top w:val="single" w:color="000000" w:sz="4"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7</w:t>
            </w:r>
          </w:p>
        </w:tc>
        <w:tc>
          <w:tcPr>
            <w:tcW w:type="dxa" w:w="865"/>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10</w:t>
            </w:r>
          </w:p>
        </w:tc>
        <w:tc>
          <w:tcPr>
            <w:tcW w:type="dxa" w:w="864"/>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9</w:t>
            </w:r>
          </w:p>
        </w:tc>
        <w:tc>
          <w:tcPr>
            <w:tcW w:type="dxa" w:w="865"/>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9</w:t>
            </w:r>
          </w:p>
        </w:tc>
        <w:tc>
          <w:tcPr>
            <w:tcW w:type="dxa" w:w="865"/>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6</w:t>
            </w:r>
          </w:p>
        </w:tc>
        <w:tc>
          <w:tcPr>
            <w:tcW w:type="dxa" w:w="865"/>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4</w:t>
            </w:r>
          </w:p>
        </w:tc>
      </w:tr>
      <w:tr>
        <w:tblPrEx>
          <w:shd w:val="clear" w:color="auto" w:fill="cadfff"/>
        </w:tblPrEx>
        <w:trPr>
          <w:trHeight w:val="249" w:hRule="atLeast"/>
        </w:trPr>
        <w:tc>
          <w:tcPr>
            <w:tcW w:type="dxa" w:w="864"/>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pPr>
            <w:r>
              <w:rPr>
                <w:rtl w:val="0"/>
                <w:lang w:val="en-US"/>
              </w:rPr>
              <w:t>Child B</w:t>
            </w:r>
          </w:p>
        </w:tc>
        <w:tc>
          <w:tcPr>
            <w:tcW w:type="dxa" w:w="865"/>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3</w:t>
            </w:r>
          </w:p>
        </w:tc>
        <w:tc>
          <w:tcPr>
            <w:tcW w:type="dxa" w:w="86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0</w:t>
            </w:r>
          </w:p>
        </w:tc>
        <w:tc>
          <w:tcPr>
            <w:tcW w:type="dxa" w:w="86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1</w:t>
            </w:r>
          </w:p>
        </w:tc>
        <w:tc>
          <w:tcPr>
            <w:tcW w:type="dxa" w:w="86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3</w:t>
            </w:r>
          </w:p>
        </w:tc>
        <w:tc>
          <w:tcPr>
            <w:tcW w:type="dxa" w:w="86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3</w:t>
            </w:r>
          </w:p>
        </w:tc>
        <w:tc>
          <w:tcPr>
            <w:tcW w:type="dxa" w:w="86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5</w:t>
            </w:r>
          </w:p>
        </w:tc>
      </w:tr>
      <w:tr>
        <w:tblPrEx>
          <w:shd w:val="clear" w:color="auto" w:fill="cadfff"/>
        </w:tblPrEx>
        <w:trPr>
          <w:trHeight w:val="249" w:hRule="atLeast"/>
        </w:trPr>
        <w:tc>
          <w:tcPr>
            <w:tcW w:type="dxa" w:w="864"/>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pPr>
            <w:r>
              <w:rPr>
                <w:rtl w:val="0"/>
                <w:lang w:val="en-US"/>
              </w:rPr>
              <w:t>Child C</w:t>
            </w:r>
          </w:p>
        </w:tc>
        <w:tc>
          <w:tcPr>
            <w:tcW w:type="dxa" w:w="865"/>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7</w:t>
            </w:r>
          </w:p>
        </w:tc>
        <w:tc>
          <w:tcPr>
            <w:tcW w:type="dxa" w:w="86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7</w:t>
            </w:r>
          </w:p>
        </w:tc>
        <w:tc>
          <w:tcPr>
            <w:tcW w:type="dxa" w:w="86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5</w:t>
            </w:r>
          </w:p>
        </w:tc>
        <w:tc>
          <w:tcPr>
            <w:tcW w:type="dxa" w:w="86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3</w:t>
            </w:r>
          </w:p>
        </w:tc>
        <w:tc>
          <w:tcPr>
            <w:tcW w:type="dxa" w:w="86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1</w:t>
            </w:r>
          </w:p>
        </w:tc>
        <w:tc>
          <w:tcPr>
            <w:tcW w:type="dxa" w:w="86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1</w:t>
            </w:r>
          </w:p>
        </w:tc>
      </w:tr>
      <w:tr>
        <w:tblPrEx>
          <w:shd w:val="clear" w:color="auto" w:fill="cadfff"/>
        </w:tblPrEx>
        <w:trPr>
          <w:trHeight w:val="249" w:hRule="atLeast"/>
        </w:trPr>
        <w:tc>
          <w:tcPr>
            <w:tcW w:type="dxa" w:w="864"/>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pPr>
            <w:r>
              <w:rPr>
                <w:rtl w:val="0"/>
                <w:lang w:val="en-US"/>
              </w:rPr>
              <w:t>Child D</w:t>
            </w:r>
          </w:p>
        </w:tc>
        <w:tc>
          <w:tcPr>
            <w:tcW w:type="dxa" w:w="865"/>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0</w:t>
            </w:r>
          </w:p>
        </w:tc>
        <w:tc>
          <w:tcPr>
            <w:tcW w:type="dxa" w:w="86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0</w:t>
            </w:r>
          </w:p>
        </w:tc>
        <w:tc>
          <w:tcPr>
            <w:tcW w:type="dxa" w:w="86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0</w:t>
            </w:r>
          </w:p>
        </w:tc>
        <w:tc>
          <w:tcPr>
            <w:tcW w:type="dxa" w:w="86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0</w:t>
            </w:r>
          </w:p>
        </w:tc>
        <w:tc>
          <w:tcPr>
            <w:tcW w:type="dxa" w:w="86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0</w:t>
            </w:r>
          </w:p>
        </w:tc>
        <w:tc>
          <w:tcPr>
            <w:tcW w:type="dxa" w:w="86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0</w:t>
            </w:r>
          </w:p>
        </w:tc>
      </w:tr>
    </w:tbl>
    <w:p>
      <w:pPr>
        <w:pStyle w:val="Body A"/>
        <w:widowControl w:val="0"/>
        <w:ind w:left="108" w:hanging="108"/>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 behaviour and disruptive, but not violent behaviour, and the considerable lower tolerance there is for violence in the PRU. Non-violent disruptions are usually dealt with by ignoring, in general and where appropriate, whereas violence is always responded to very proactively.</w:t>
        <w:tab/>
        <w:t>The below tables chart the number of incidents per child, per week. Table 1 is focused on the frequency of non-violent incidents, and Table 2 focuses on the violent incidents. Initially it is clear   that the number of non-violent disruptions far outweigh the violent, and that the general rule is that over the weeks of the study the frequency of both types of incident decline for most, but not all children. There may be several reasons for these trends, which I will break down for each child.</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Child A does make progress in relation to both types of disruptive behaviour, but by the end of the six weeks was still displaying a high number of non-violent disruptions. As mentioned earlier, Child A has been attending the PRU for the longest of all the children, and is approaching two years in the unit. By default, he should know the class routine better than any other child. However, taking his age and personality into account may explain why his progress was slower than others. As he is approaching the end of year two and does tend to view himself as the </w:t>
      </w:r>
      <w:r>
        <w:rPr>
          <w:rFonts w:ascii="Times New Roman" w:hAnsi="Times New Roman" w:hint="default"/>
          <w:sz w:val="24"/>
          <w:szCs w:val="24"/>
          <w:rtl w:val="0"/>
          <w:lang w:val="en-US"/>
        </w:rPr>
        <w:t>‘</w:t>
      </w:r>
      <w:r>
        <w:rPr>
          <w:rFonts w:ascii="Times New Roman" w:hAnsi="Times New Roman"/>
          <w:sz w:val="24"/>
          <w:szCs w:val="24"/>
          <w:rtl w:val="0"/>
          <w:lang w:val="en-US"/>
        </w:rPr>
        <w:t>biggest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child in the class, he may be becoming frustrated at feeling like he is outgrowing the other, younger children, even Child D, who is year two but presents very immaturely. </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Child B is the only child whose frequency of incidents increased by the end of the study, both violent an non-violent. While this is currently unexplainable, there was a noticeable dip in his attitude towards school and his subsequent behaviour, in particular his attitude towards staff members, around the end of week 3. This negativism and self proclaimed right to hurt people is a clear indicator of why the incidents have increased.</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Child C is on the pathway for ASD, and was known to crave routine prior to his start in the PRU. His reduction of both types of behaviour over the course of the study could be attributed to the structure within the class and how routine supports him in his school environment.</w:t>
      </w:r>
    </w:p>
    <w:p>
      <w:pPr>
        <w:pStyle w:val="Body A"/>
        <w:spacing w:line="360" w:lineRule="auto"/>
      </w:pPr>
      <w:r>
        <w:rPr>
          <w:rFonts w:ascii="Times New Roman" w:cs="Times New Roman" w:hAnsi="Times New Roman" w:eastAsia="Times New Roman"/>
          <w:sz w:val="24"/>
          <w:szCs w:val="24"/>
          <w:rtl w:val="0"/>
        </w:rPr>
        <w:tab/>
        <w:t>Child D, since joining the PRU, has displayed a constantly low level of disruptive behaviour, with no violent incidents whatsoever. However, his frequency of non-violent behaviours also reduced during the course of the study. Child D</w:t>
      </w:r>
      <w:r>
        <w:rPr>
          <w:rFonts w:ascii="Times New Roman" w:hAnsi="Times New Roman" w:hint="default"/>
          <w:sz w:val="24"/>
          <w:szCs w:val="24"/>
          <w:rtl w:val="0"/>
          <w:lang w:val="en-US"/>
        </w:rPr>
        <w:t>’</w:t>
      </w:r>
      <w:r>
        <w:rPr>
          <w:rFonts w:ascii="Times New Roman" w:hAnsi="Times New Roman"/>
          <w:sz w:val="24"/>
          <w:szCs w:val="24"/>
          <w:rtl w:val="0"/>
          <w:lang w:val="en-US"/>
        </w:rPr>
        <w:t>s disruptive behaviours in class prior to the study typically occurred if there was a change to the class routine, whether a visitor came into class, we went to a different area of the school or if we did s</w:t>
      </w:r>
    </w:p>
    <w:tbl>
      <w:tblPr>
        <w:tblW w:w="5731"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1320"/>
        <w:gridCol w:w="2317"/>
        <w:gridCol w:w="2094"/>
      </w:tblGrid>
      <w:tr>
        <w:tblPrEx>
          <w:shd w:val="clear" w:color="auto" w:fill="00a2ff"/>
        </w:tblPrEx>
        <w:trPr>
          <w:trHeight w:val="286" w:hRule="atLeast"/>
          <w:tblHeader/>
        </w:trPr>
        <w:tc>
          <w:tcPr>
            <w:tcW w:type="dxa" w:w="5731"/>
            <w:gridSpan w:val="3"/>
            <w:tcBorders>
              <w:top w:val="nil"/>
              <w:left w:val="nil"/>
              <w:bottom w:val="single" w:color="000000" w:sz="2" w:space="0" w:shadow="0" w:frame="0"/>
              <w:right w:val="nil"/>
            </w:tcBorders>
            <w:shd w:val="clear" w:color="auto" w:fill="auto"/>
            <w:tcMar>
              <w:top w:type="dxa" w:w="80"/>
              <w:left w:type="dxa" w:w="80"/>
              <w:bottom w:type="dxa" w:w="80"/>
              <w:right w:type="dxa" w:w="80"/>
            </w:tcMar>
            <w:vAlign w:val="center"/>
          </w:tcPr>
          <w:p>
            <w:pPr>
              <w:pStyle w:val="Table Title 1"/>
            </w:pPr>
            <w:r>
              <w:rPr>
                <w:rtl w:val="0"/>
                <w:lang w:val="en-US"/>
              </w:rPr>
              <w:t>Table 3: Violent incidents</w:t>
            </w:r>
          </w:p>
        </w:tc>
      </w:tr>
      <w:tr>
        <w:tblPrEx>
          <w:shd w:val="clear" w:color="auto" w:fill="00a2ff"/>
        </w:tblPrEx>
        <w:trPr>
          <w:trHeight w:val="305" w:hRule="atLeast"/>
          <w:tblHeader/>
        </w:trPr>
        <w:tc>
          <w:tcPr>
            <w:tcW w:type="dxa" w:w="1320"/>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tc>
        <w:tc>
          <w:tcPr>
            <w:tcW w:type="dxa" w:w="2317"/>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pPr>
            <w:r>
              <w:rPr>
                <w:rtl w:val="0"/>
                <w:lang w:val="en-US"/>
              </w:rPr>
              <w:t>Non-structured times</w:t>
            </w:r>
          </w:p>
        </w:tc>
        <w:tc>
          <w:tcPr>
            <w:tcW w:type="dxa" w:w="2094"/>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pPr>
            <w:r>
              <w:rPr>
                <w:rtl w:val="0"/>
                <w:lang w:val="en-US"/>
              </w:rPr>
              <w:t>Structured times</w:t>
            </w:r>
          </w:p>
        </w:tc>
      </w:tr>
      <w:tr>
        <w:tblPrEx>
          <w:shd w:val="clear" w:color="auto" w:fill="cadfff"/>
        </w:tblPrEx>
        <w:trPr>
          <w:trHeight w:val="315" w:hRule="atLeast"/>
        </w:trPr>
        <w:tc>
          <w:tcPr>
            <w:tcW w:type="dxa" w:w="1320"/>
            <w:tcBorders>
              <w:top w:val="single" w:color="000000" w:sz="4"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pPr>
            <w:r>
              <w:rPr>
                <w:rtl w:val="0"/>
                <w:lang w:val="nl-NL"/>
              </w:rPr>
              <w:t>Week 1</w:t>
            </w:r>
          </w:p>
        </w:tc>
        <w:tc>
          <w:tcPr>
            <w:tcW w:type="dxa" w:w="2317"/>
            <w:tcBorders>
              <w:top w:val="single" w:color="000000" w:sz="4"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13</w:t>
            </w:r>
          </w:p>
        </w:tc>
        <w:tc>
          <w:tcPr>
            <w:tcW w:type="dxa" w:w="2094"/>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4</w:t>
            </w:r>
          </w:p>
        </w:tc>
      </w:tr>
      <w:tr>
        <w:tblPrEx>
          <w:shd w:val="clear" w:color="auto" w:fill="cadfff"/>
        </w:tblPrEx>
        <w:trPr>
          <w:trHeight w:val="305" w:hRule="atLeast"/>
        </w:trPr>
        <w:tc>
          <w:tcPr>
            <w:tcW w:type="dxa" w:w="1320"/>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pPr>
            <w:r>
              <w:rPr>
                <w:rtl w:val="0"/>
                <w:lang w:val="nl-NL"/>
              </w:rPr>
              <w:t>Week 2</w:t>
            </w:r>
          </w:p>
        </w:tc>
        <w:tc>
          <w:tcPr>
            <w:tcW w:type="dxa" w:w="2317"/>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12</w:t>
            </w:r>
          </w:p>
        </w:tc>
        <w:tc>
          <w:tcPr>
            <w:tcW w:type="dxa" w:w="209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5</w:t>
            </w:r>
          </w:p>
        </w:tc>
      </w:tr>
      <w:tr>
        <w:tblPrEx>
          <w:shd w:val="clear" w:color="auto" w:fill="cadfff"/>
        </w:tblPrEx>
        <w:trPr>
          <w:trHeight w:val="305" w:hRule="atLeast"/>
        </w:trPr>
        <w:tc>
          <w:tcPr>
            <w:tcW w:type="dxa" w:w="1320"/>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pPr>
            <w:r>
              <w:rPr>
                <w:rtl w:val="0"/>
                <w:lang w:val="nl-NL"/>
              </w:rPr>
              <w:t>Week 3</w:t>
            </w:r>
          </w:p>
        </w:tc>
        <w:tc>
          <w:tcPr>
            <w:tcW w:type="dxa" w:w="2317"/>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11</w:t>
            </w:r>
          </w:p>
        </w:tc>
        <w:tc>
          <w:tcPr>
            <w:tcW w:type="dxa" w:w="209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4</w:t>
            </w:r>
          </w:p>
        </w:tc>
      </w:tr>
      <w:tr>
        <w:tblPrEx>
          <w:shd w:val="clear" w:color="auto" w:fill="cadfff"/>
        </w:tblPrEx>
        <w:trPr>
          <w:trHeight w:val="305" w:hRule="atLeast"/>
        </w:trPr>
        <w:tc>
          <w:tcPr>
            <w:tcW w:type="dxa" w:w="1320"/>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pPr>
            <w:r>
              <w:rPr>
                <w:rtl w:val="0"/>
                <w:lang w:val="nl-NL"/>
              </w:rPr>
              <w:t>Week 4</w:t>
            </w:r>
          </w:p>
        </w:tc>
        <w:tc>
          <w:tcPr>
            <w:tcW w:type="dxa" w:w="2317"/>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12</w:t>
            </w:r>
          </w:p>
        </w:tc>
        <w:tc>
          <w:tcPr>
            <w:tcW w:type="dxa" w:w="209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3</w:t>
            </w:r>
          </w:p>
        </w:tc>
      </w:tr>
      <w:tr>
        <w:tblPrEx>
          <w:shd w:val="clear" w:color="auto" w:fill="cadfff"/>
        </w:tblPrEx>
        <w:trPr>
          <w:trHeight w:val="305" w:hRule="atLeast"/>
        </w:trPr>
        <w:tc>
          <w:tcPr>
            <w:tcW w:type="dxa" w:w="1320"/>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pPr>
            <w:r>
              <w:rPr>
                <w:rtl w:val="0"/>
                <w:lang w:val="nl-NL"/>
              </w:rPr>
              <w:t>Week 5</w:t>
            </w:r>
          </w:p>
        </w:tc>
        <w:tc>
          <w:tcPr>
            <w:tcW w:type="dxa" w:w="2317"/>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7</w:t>
            </w:r>
          </w:p>
        </w:tc>
        <w:tc>
          <w:tcPr>
            <w:tcW w:type="dxa" w:w="209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3</w:t>
            </w:r>
          </w:p>
        </w:tc>
      </w:tr>
      <w:tr>
        <w:tblPrEx>
          <w:shd w:val="clear" w:color="auto" w:fill="cadfff"/>
        </w:tblPrEx>
        <w:trPr>
          <w:trHeight w:val="305" w:hRule="atLeast"/>
        </w:trPr>
        <w:tc>
          <w:tcPr>
            <w:tcW w:type="dxa" w:w="1320"/>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pPr>
            <w:r>
              <w:rPr>
                <w:rtl w:val="0"/>
                <w:lang w:val="nl-NL"/>
              </w:rPr>
              <w:t>Week 6</w:t>
            </w:r>
          </w:p>
        </w:tc>
        <w:tc>
          <w:tcPr>
            <w:tcW w:type="dxa" w:w="2317"/>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9</w:t>
            </w:r>
          </w:p>
        </w:tc>
        <w:tc>
          <w:tcPr>
            <w:tcW w:type="dxa" w:w="209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1</w:t>
            </w:r>
          </w:p>
        </w:tc>
      </w:tr>
    </w:tbl>
    <w:p>
      <w:pPr>
        <w:pStyle w:val="Body A"/>
        <w:widowControl w:val="0"/>
        <w:ind w:left="108" w:hanging="108"/>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omething different to usual. His reduction of disruptive behaviours over the course of the study could be attributed to the routine and how it benefited him.</w:t>
        <w:tab/>
        <w:t>In addition to recording the children</w:t>
      </w:r>
      <w:r>
        <w:rPr>
          <w:rFonts w:ascii="Times New Roman" w:hAnsi="Times New Roman" w:hint="default"/>
          <w:sz w:val="24"/>
          <w:szCs w:val="24"/>
          <w:rtl w:val="0"/>
          <w:lang w:val="en-US"/>
        </w:rPr>
        <w:t>’</w:t>
      </w:r>
      <w:r>
        <w:rPr>
          <w:rFonts w:ascii="Times New Roman" w:hAnsi="Times New Roman"/>
          <w:sz w:val="24"/>
          <w:szCs w:val="24"/>
          <w:rtl w:val="0"/>
          <w:lang w:val="en-US"/>
        </w:rPr>
        <w:t xml:space="preserve">s frequency of violent and non violent behaviours, the times when these combined incidents occurred was also recorded, and is presented in Table 3 and Table 4. It is clear that the frequency of violent incidents, during both structured and non-structured times reduced during the course of the study. The frequency of non-violent disruptive behaviours also reduced during structured times over the course of the study, but it is interesting to note that, </w:t>
      </w: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with the exception of week 6, non-violent behaviours remained at relatively the same frequency over the entire study. </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From these results it is clear that overall, behavioural incidents reduced during the course of the study. There are several possible reasons why non-violent behaviours were not seen to reduce during non-structured times until the last week of the study. Firstly, considering that non-violent behaviours were classified, for the purposes of this study, as any behaviour that would be deemed inappropriate for a mainstream classroom, the scope for incident is high. Many of the children who attend the PRU have a tendency to use foul language, and any instances of this were recorded as a non-violent behaviour. The other explanation is that, as initially thought, the use of routine helped the children to control their behaviours, and when the routine was less rigid, there was more opportunity for these behaviours to occur.</w:t>
      </w:r>
    </w:p>
    <w:p>
      <w:pPr>
        <w:pStyle w:val="Body A"/>
        <w:spacing w:line="360" w:lineRule="auto"/>
      </w:pPr>
      <w:r>
        <w:rPr>
          <w:rFonts w:ascii="Times New Roman" w:cs="Times New Roman" w:hAnsi="Times New Roman" w:eastAsia="Times New Roman"/>
          <w:sz w:val="24"/>
          <w:szCs w:val="24"/>
          <w:rtl w:val="0"/>
        </w:rPr>
        <w:tab/>
        <w:t>What is interesting to note, however, is that violent behaviours reduced gradually over the course of the study during non-structured times, something I did not anticipate. A possible explanation for this is that the routine used in class helped to support the children</w:t>
      </w:r>
      <w:r>
        <w:rPr>
          <w:rFonts w:ascii="Times New Roman" w:hAnsi="Times New Roman" w:hint="default"/>
          <w:sz w:val="24"/>
          <w:szCs w:val="24"/>
          <w:rtl w:val="0"/>
          <w:lang w:val="en-US"/>
        </w:rPr>
        <w:t>’</w:t>
      </w:r>
      <w:r>
        <w:rPr>
          <w:rFonts w:ascii="Times New Roman" w:hAnsi="Times New Roman"/>
          <w:sz w:val="24"/>
          <w:szCs w:val="24"/>
          <w:rtl w:val="0"/>
          <w:lang w:val="en-US"/>
        </w:rPr>
        <w:t>s sense of security and comfort, which potentially made them</w:t>
      </w:r>
    </w:p>
    <w:tbl>
      <w:tblPr>
        <w:tblW w:w="5734"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1320"/>
        <w:gridCol w:w="2317"/>
        <w:gridCol w:w="2097"/>
      </w:tblGrid>
      <w:tr>
        <w:tblPrEx>
          <w:shd w:val="clear" w:color="auto" w:fill="00a2ff"/>
        </w:tblPrEx>
        <w:trPr>
          <w:trHeight w:val="286" w:hRule="atLeast"/>
          <w:tblHeader/>
        </w:trPr>
        <w:tc>
          <w:tcPr>
            <w:tcW w:type="dxa" w:w="5734"/>
            <w:gridSpan w:val="3"/>
            <w:tcBorders>
              <w:top w:val="nil"/>
              <w:left w:val="nil"/>
              <w:bottom w:val="single" w:color="000000" w:sz="2" w:space="0" w:shadow="0" w:frame="0"/>
              <w:right w:val="nil"/>
            </w:tcBorders>
            <w:shd w:val="clear" w:color="auto" w:fill="auto"/>
            <w:tcMar>
              <w:top w:type="dxa" w:w="80"/>
              <w:left w:type="dxa" w:w="80"/>
              <w:bottom w:type="dxa" w:w="80"/>
              <w:right w:type="dxa" w:w="80"/>
            </w:tcMar>
            <w:vAlign w:val="center"/>
          </w:tcPr>
          <w:p>
            <w:pPr>
              <w:pStyle w:val="Table Title 1"/>
            </w:pPr>
            <w:r>
              <w:rPr>
                <w:rtl w:val="0"/>
                <w:lang w:val="fr-FR"/>
              </w:rPr>
              <w:t>Table 4: Non-violent incidents</w:t>
            </w:r>
          </w:p>
        </w:tc>
      </w:tr>
      <w:tr>
        <w:tblPrEx>
          <w:shd w:val="clear" w:color="auto" w:fill="00a2ff"/>
        </w:tblPrEx>
        <w:trPr>
          <w:trHeight w:val="302" w:hRule="atLeast"/>
          <w:tblHeader/>
        </w:trPr>
        <w:tc>
          <w:tcPr>
            <w:tcW w:type="dxa" w:w="1320"/>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tc>
        <w:tc>
          <w:tcPr>
            <w:tcW w:type="dxa" w:w="2317"/>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pPr>
            <w:r>
              <w:rPr>
                <w:rtl w:val="0"/>
                <w:lang w:val="en-US"/>
              </w:rPr>
              <w:t>Non-structured times</w:t>
            </w:r>
          </w:p>
        </w:tc>
        <w:tc>
          <w:tcPr>
            <w:tcW w:type="dxa" w:w="2097"/>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pPr>
            <w:r>
              <w:rPr>
                <w:rtl w:val="0"/>
                <w:lang w:val="en-US"/>
              </w:rPr>
              <w:t>Structured times</w:t>
            </w:r>
          </w:p>
        </w:tc>
      </w:tr>
      <w:tr>
        <w:tblPrEx>
          <w:shd w:val="clear" w:color="auto" w:fill="cadfff"/>
        </w:tblPrEx>
        <w:trPr>
          <w:trHeight w:val="262" w:hRule="atLeast"/>
        </w:trPr>
        <w:tc>
          <w:tcPr>
            <w:tcW w:type="dxa" w:w="1320"/>
            <w:tcBorders>
              <w:top w:val="single" w:color="000000" w:sz="4"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pPr>
            <w:r>
              <w:rPr>
                <w:rtl w:val="0"/>
                <w:lang w:val="nl-NL"/>
              </w:rPr>
              <w:t>Week 1</w:t>
            </w:r>
          </w:p>
        </w:tc>
        <w:tc>
          <w:tcPr>
            <w:tcW w:type="dxa" w:w="2317"/>
            <w:tcBorders>
              <w:top w:val="single" w:color="000000" w:sz="4"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22</w:t>
            </w:r>
          </w:p>
        </w:tc>
        <w:tc>
          <w:tcPr>
            <w:tcW w:type="dxa" w:w="2097"/>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11</w:t>
            </w:r>
          </w:p>
        </w:tc>
      </w:tr>
      <w:tr>
        <w:tblPrEx>
          <w:shd w:val="clear" w:color="auto" w:fill="cadfff"/>
        </w:tblPrEx>
        <w:trPr>
          <w:trHeight w:val="249" w:hRule="atLeast"/>
        </w:trPr>
        <w:tc>
          <w:tcPr>
            <w:tcW w:type="dxa" w:w="1320"/>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pPr>
            <w:r>
              <w:rPr>
                <w:rtl w:val="0"/>
                <w:lang w:val="nl-NL"/>
              </w:rPr>
              <w:t>Week 2</w:t>
            </w:r>
          </w:p>
        </w:tc>
        <w:tc>
          <w:tcPr>
            <w:tcW w:type="dxa" w:w="2317"/>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20</w:t>
            </w:r>
          </w:p>
        </w:tc>
        <w:tc>
          <w:tcPr>
            <w:tcW w:type="dxa" w:w="209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8</w:t>
            </w:r>
          </w:p>
        </w:tc>
      </w:tr>
      <w:tr>
        <w:tblPrEx>
          <w:shd w:val="clear" w:color="auto" w:fill="cadfff"/>
        </w:tblPrEx>
        <w:trPr>
          <w:trHeight w:val="249" w:hRule="atLeast"/>
        </w:trPr>
        <w:tc>
          <w:tcPr>
            <w:tcW w:type="dxa" w:w="1320"/>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pPr>
            <w:r>
              <w:rPr>
                <w:rtl w:val="0"/>
                <w:lang w:val="nl-NL"/>
              </w:rPr>
              <w:t>Week 3</w:t>
            </w:r>
          </w:p>
        </w:tc>
        <w:tc>
          <w:tcPr>
            <w:tcW w:type="dxa" w:w="2317"/>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21</w:t>
            </w:r>
          </w:p>
        </w:tc>
        <w:tc>
          <w:tcPr>
            <w:tcW w:type="dxa" w:w="209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15</w:t>
            </w:r>
          </w:p>
        </w:tc>
      </w:tr>
      <w:tr>
        <w:tblPrEx>
          <w:shd w:val="clear" w:color="auto" w:fill="cadfff"/>
        </w:tblPrEx>
        <w:trPr>
          <w:trHeight w:val="249" w:hRule="atLeast"/>
        </w:trPr>
        <w:tc>
          <w:tcPr>
            <w:tcW w:type="dxa" w:w="1320"/>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pPr>
            <w:r>
              <w:rPr>
                <w:rtl w:val="0"/>
                <w:lang w:val="nl-NL"/>
              </w:rPr>
              <w:t>Week 4</w:t>
            </w:r>
          </w:p>
        </w:tc>
        <w:tc>
          <w:tcPr>
            <w:tcW w:type="dxa" w:w="2317"/>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20</w:t>
            </w:r>
          </w:p>
        </w:tc>
        <w:tc>
          <w:tcPr>
            <w:tcW w:type="dxa" w:w="209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5</w:t>
            </w:r>
          </w:p>
        </w:tc>
      </w:tr>
      <w:tr>
        <w:tblPrEx>
          <w:shd w:val="clear" w:color="auto" w:fill="cadfff"/>
        </w:tblPrEx>
        <w:trPr>
          <w:trHeight w:val="249" w:hRule="atLeast"/>
        </w:trPr>
        <w:tc>
          <w:tcPr>
            <w:tcW w:type="dxa" w:w="1320"/>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pPr>
            <w:r>
              <w:rPr>
                <w:rtl w:val="0"/>
                <w:lang w:val="nl-NL"/>
              </w:rPr>
              <w:t>Week 5</w:t>
            </w:r>
          </w:p>
        </w:tc>
        <w:tc>
          <w:tcPr>
            <w:tcW w:type="dxa" w:w="2317"/>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21</w:t>
            </w:r>
          </w:p>
        </w:tc>
        <w:tc>
          <w:tcPr>
            <w:tcW w:type="dxa" w:w="209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5</w:t>
            </w:r>
          </w:p>
        </w:tc>
      </w:tr>
      <w:tr>
        <w:tblPrEx>
          <w:shd w:val="clear" w:color="auto" w:fill="cadfff"/>
        </w:tblPrEx>
        <w:trPr>
          <w:trHeight w:val="249" w:hRule="atLeast"/>
        </w:trPr>
        <w:tc>
          <w:tcPr>
            <w:tcW w:type="dxa" w:w="1320"/>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pPr>
            <w:r>
              <w:rPr>
                <w:rtl w:val="0"/>
                <w:lang w:val="nl-NL"/>
              </w:rPr>
              <w:t>Week 6</w:t>
            </w:r>
          </w:p>
        </w:tc>
        <w:tc>
          <w:tcPr>
            <w:tcW w:type="dxa" w:w="2317"/>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15</w:t>
            </w:r>
          </w:p>
        </w:tc>
        <w:tc>
          <w:tcPr>
            <w:tcW w:type="dxa" w:w="209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Body B"/>
              <w:jc w:val="right"/>
            </w:pPr>
            <w:r>
              <w:rPr>
                <w:rFonts w:ascii="Helvetica Neue" w:hAnsi="Helvetica Neue"/>
                <w:sz w:val="20"/>
                <w:szCs w:val="20"/>
                <w:rtl w:val="0"/>
                <w:lang w:val="en-US"/>
              </w:rPr>
              <w:t>6</w:t>
            </w:r>
          </w:p>
        </w:tc>
      </w:tr>
    </w:tbl>
    <w:p>
      <w:pPr>
        <w:pStyle w:val="Body A"/>
        <w:widowControl w:val="0"/>
        <w:ind w:left="108" w:hanging="108"/>
      </w:pPr>
    </w:p>
    <w:p>
      <w:pPr>
        <w:pStyle w:val="Body A"/>
        <w:spacing w:line="360" w:lineRule="auto"/>
        <w:rPr>
          <w:rFonts w:ascii="Times New Roman" w:cs="Times New Roman" w:hAnsi="Times New Roman" w:eastAsia="Times New Roman"/>
          <w:sz w:val="24"/>
          <w:szCs w:val="24"/>
        </w:rPr>
      </w:pPr>
      <w:r>
        <mc:AlternateContent>
          <mc:Choice Requires="wps">
            <w:drawing>
              <wp:anchor distT="0" distB="0" distL="0" distR="0" simplePos="0" relativeHeight="251659264" behindDoc="0" locked="0" layoutInCell="1" allowOverlap="1">
                <wp:simplePos x="0" y="0"/>
                <wp:positionH relativeFrom="page">
                  <wp:posOffset>1959448</wp:posOffset>
                </wp:positionH>
                <wp:positionV relativeFrom="page">
                  <wp:posOffset>719998</wp:posOffset>
                </wp:positionV>
                <wp:extent cx="3892156" cy="2025650"/>
                <wp:effectExtent l="0" t="0" r="0" b="0"/>
                <wp:wrapTopAndBottom distT="0" distB="0"/>
                <wp:docPr id="1073741827" name="officeArt object" descr="officeArt object"/>
                <wp:cNvGraphicFramePr/>
                <a:graphic xmlns:a="http://schemas.openxmlformats.org/drawingml/2006/main">
                  <a:graphicData uri="http://schemas.microsoft.com/office/word/2010/wordprocessingShape">
                    <wps:wsp>
                      <wps:cNvSpPr txBox="1"/>
                      <wps:spPr>
                        <a:xfrm>
                          <a:off x="0" y="0"/>
                          <a:ext cx="3892156" cy="2025650"/>
                        </a:xfrm>
                        <a:prstGeom prst="rect">
                          <a:avLst/>
                        </a:prstGeom>
                        <a:noFill/>
                        <a:ln w="12700" cap="flat">
                          <a:noFill/>
                          <a:miter lim="400000"/>
                        </a:ln>
                        <a:effectLst/>
                      </wps:spPr>
                      <wps:txbx>
                        <w:txbxContent>
                          <w:p>
                            <w:pPr>
                              <w:pStyle w:val="Table Title 1"/>
                              <w:rPr>
                                <w:u w:color="000000"/>
                              </w:rPr>
                            </w:pPr>
                          </w:p>
                          <w:p>
                            <w:pPr>
                              <w:pStyle w:val="Table Style 1"/>
                              <w:rPr>
                                <w:u w:color="000000"/>
                              </w:rPr>
                            </w:pPr>
                            <w:r>
                              <w:rPr>
                                <w:u w:color="000000"/>
                              </w:rPr>
                              <w:tab/>
                              <w:tab/>
                            </w:r>
                          </w:p>
                          <w:p>
                            <w:pPr>
                              <w:pStyle w:val="Body B"/>
                              <w:jc w:val="right"/>
                            </w:pPr>
                            <w:r>
                              <w:tab/>
                              <w:tab/>
                            </w:r>
                          </w:p>
                          <w:p>
                            <w:pPr>
                              <w:pStyle w:val="Body B"/>
                              <w:jc w:val="right"/>
                            </w:pPr>
                            <w:r>
                              <w:tab/>
                              <w:tab/>
                            </w:r>
                          </w:p>
                          <w:p>
                            <w:pPr>
                              <w:pStyle w:val="Body B"/>
                              <w:jc w:val="right"/>
                            </w:pPr>
                            <w:r>
                              <w:tab/>
                              <w:tab/>
                            </w:r>
                          </w:p>
                          <w:p>
                            <w:pPr>
                              <w:pStyle w:val="Body B"/>
                              <w:jc w:val="right"/>
                            </w:pPr>
                            <w:r>
                              <w:tab/>
                              <w:tab/>
                            </w:r>
                          </w:p>
                          <w:p>
                            <w:pPr>
                              <w:pStyle w:val="Body B"/>
                              <w:jc w:val="right"/>
                            </w:pPr>
                            <w:r>
                              <w:tab/>
                              <w:tab/>
                            </w:r>
                          </w:p>
                          <w:p>
                            <w:pPr>
                              <w:pStyle w:val="Body B"/>
                              <w:jc w:val="right"/>
                            </w:pPr>
                            <w:r>
                              <w:tab/>
                              <w:tab/>
                            </w:r>
                          </w:p>
                        </w:txbxContent>
                      </wps:txbx>
                      <wps:bodyPr wrap="square" lIns="0" tIns="0" rIns="0" bIns="0" numCol="1" anchor="t">
                        <a:noAutofit/>
                      </wps:bodyPr>
                    </wps:wsp>
                  </a:graphicData>
                </a:graphic>
              </wp:anchor>
            </w:drawing>
          </mc:Choice>
          <mc:Fallback>
            <w:pict>
              <v:shape id="_x0000_s1027" type="#_x0000_t202" style="visibility:visible;position:absolute;margin-left:154.3pt;margin-top:56.7pt;width:306.5pt;height:159.5pt;z-index:251659264;mso-position-horizontal:absolute;mso-position-horizontal-relative:page;mso-position-vertical:absolute;mso-position-vertical-relative:page;mso-wrap-distance-left:0.0pt;mso-wrap-distance-top:0.0pt;mso-wrap-distance-right:0.0pt;mso-wrap-distance-bottom:0.0pt;">
                <v:fill on="f"/>
                <v:stroke on="f" weight="1.0pt" dashstyle="solid" endcap="flat" miterlimit="400.0%" joinstyle="miter" linestyle="single" startarrow="none" startarrowwidth="medium" startarrowlength="medium" endarrow="none" endarrowwidth="medium" endarrowlength="medium"/>
                <v:textbox>
                  <w:txbxContent>
                    <w:p>
                      <w:pPr>
                        <w:pStyle w:val="Table Title 1"/>
                        <w:rPr>
                          <w:u w:color="000000"/>
                        </w:rPr>
                      </w:pPr>
                    </w:p>
                    <w:p>
                      <w:pPr>
                        <w:pStyle w:val="Table Style 1"/>
                        <w:rPr>
                          <w:u w:color="000000"/>
                        </w:rPr>
                      </w:pPr>
                      <w:r>
                        <w:rPr>
                          <w:u w:color="000000"/>
                        </w:rPr>
                        <w:tab/>
                        <w:tab/>
                      </w:r>
                    </w:p>
                    <w:p>
                      <w:pPr>
                        <w:pStyle w:val="Body B"/>
                        <w:jc w:val="right"/>
                      </w:pPr>
                      <w:r>
                        <w:tab/>
                        <w:tab/>
                      </w:r>
                    </w:p>
                    <w:p>
                      <w:pPr>
                        <w:pStyle w:val="Body B"/>
                        <w:jc w:val="right"/>
                      </w:pPr>
                      <w:r>
                        <w:tab/>
                        <w:tab/>
                      </w:r>
                    </w:p>
                    <w:p>
                      <w:pPr>
                        <w:pStyle w:val="Body B"/>
                        <w:jc w:val="right"/>
                      </w:pPr>
                      <w:r>
                        <w:tab/>
                        <w:tab/>
                      </w:r>
                    </w:p>
                    <w:p>
                      <w:pPr>
                        <w:pStyle w:val="Body B"/>
                        <w:jc w:val="right"/>
                      </w:pPr>
                      <w:r>
                        <w:tab/>
                        <w:tab/>
                      </w:r>
                    </w:p>
                    <w:p>
                      <w:pPr>
                        <w:pStyle w:val="Body B"/>
                        <w:jc w:val="right"/>
                      </w:pPr>
                      <w:r>
                        <w:tab/>
                        <w:tab/>
                      </w:r>
                    </w:p>
                    <w:p>
                      <w:pPr>
                        <w:pStyle w:val="Body B"/>
                        <w:jc w:val="right"/>
                      </w:pPr>
                      <w:r>
                        <w:tab/>
                        <w:tab/>
                      </w:r>
                    </w:p>
                  </w:txbxContent>
                </v:textbox>
                <w10:wrap type="topAndBottom" side="bothSides" anchorx="page" anchory="page"/>
              </v:shape>
            </w:pict>
          </mc:Fallback>
        </mc:AlternateContent>
      </w:r>
      <w:r>
        <w:rPr>
          <w:rFonts w:ascii="Times New Roman" w:hAnsi="Times New Roman"/>
          <w:sz w:val="24"/>
          <w:szCs w:val="24"/>
          <w:rtl w:val="0"/>
          <w:lang w:val="en-US"/>
        </w:rPr>
        <w:t xml:space="preserve"> less likely to lash out in a physical manner when unhappy. However, it is equally as likely that the results were simply a fluke in this instance.</w:t>
        <w:tab/>
        <w:t xml:space="preserve">In the instances of Children A and B, whose behavioural issues either increased, or remained mostly unchanged, there are several factors to consider. As mentioned earlier, Child A has attended the PRU for nearly two years, and is likely disenfranchised, or even bored with the classroom. In fact, he has even expressed this opinion during several outbursts, and has described the class as being </w:t>
      </w:r>
      <w:r>
        <w:rPr>
          <w:rFonts w:ascii="Times New Roman" w:hAnsi="Times New Roman" w:hint="default"/>
          <w:sz w:val="24"/>
          <w:szCs w:val="24"/>
          <w:rtl w:val="0"/>
          <w:lang w:val="en-US"/>
        </w:rPr>
        <w:t>‘</w:t>
      </w:r>
      <w:r>
        <w:rPr>
          <w:rFonts w:ascii="Times New Roman" w:hAnsi="Times New Roman"/>
          <w:sz w:val="24"/>
          <w:szCs w:val="24"/>
          <w:rtl w:val="0"/>
          <w:lang w:val="en-US"/>
        </w:rPr>
        <w:t>for babies</w:t>
      </w:r>
      <w:r>
        <w:rPr>
          <w:rFonts w:ascii="Times New Roman" w:hAnsi="Times New Roman" w:hint="default"/>
          <w:sz w:val="24"/>
          <w:szCs w:val="24"/>
          <w:rtl w:val="0"/>
          <w:lang w:val="en-US"/>
        </w:rPr>
        <w:t>’</w:t>
      </w:r>
      <w:r>
        <w:rPr>
          <w:rFonts w:ascii="Times New Roman" w:hAnsi="Times New Roman"/>
          <w:sz w:val="24"/>
          <w:szCs w:val="24"/>
          <w:rtl w:val="0"/>
          <w:lang w:val="en-US"/>
        </w:rPr>
        <w:t>. Child B is currently going through a regression in behaviour, for currently unknown reasons. It is worth noting that, prior to the beginning of this study, there was a clear improvement in his behaviour from when he started attending the PRU. However, at the time of the study, the use of a consistent routine alone did not seem to be enough to help him control his behaviours, in particular his violent outbursts.</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Considering all of the results, it can be concluded that the use of a consistent routine within a classroom can help to reduce the number of behavioural incidents in children with SEBD.</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Critical review of ideas and critical reflections</w:t>
      </w:r>
    </w:p>
    <w:p>
      <w:pPr>
        <w:pStyle w:val="Body A"/>
        <w:spacing w:line="360" w:lineRule="auto"/>
        <w:rPr>
          <w:rFonts w:ascii="Times New Roman" w:cs="Times New Roman" w:hAnsi="Times New Roman" w:eastAsia="Times New Roman"/>
          <w:sz w:val="24"/>
          <w:szCs w:val="24"/>
          <w:u w:val="none"/>
        </w:rPr>
      </w:pPr>
      <w:r>
        <w:rPr>
          <w:rFonts w:ascii="Times New Roman" w:hAnsi="Times New Roman"/>
          <w:sz w:val="24"/>
          <w:szCs w:val="24"/>
          <w:u w:val="none"/>
          <w:rtl w:val="0"/>
          <w:lang w:val="en-US"/>
        </w:rPr>
        <w:t>A strength of this particular project was the way in which it was conducted, and the recording of incidents. In the PRU we record all incidents in pupil</w:t>
      </w:r>
      <w:r>
        <w:rPr>
          <w:rFonts w:ascii="Times New Roman" w:hAnsi="Times New Roman" w:hint="default"/>
          <w:sz w:val="24"/>
          <w:szCs w:val="24"/>
          <w:u w:val="none"/>
          <w:rtl w:val="0"/>
          <w:lang w:val="en-US"/>
        </w:rPr>
        <w:t>’</w:t>
      </w:r>
      <w:r>
        <w:rPr>
          <w:rFonts w:ascii="Times New Roman" w:hAnsi="Times New Roman"/>
          <w:sz w:val="24"/>
          <w:szCs w:val="24"/>
          <w:u w:val="none"/>
          <w:rtl w:val="0"/>
          <w:lang w:val="en-US"/>
        </w:rPr>
        <w:t>s individual incident books, and therefore the project was an extension of this, which lead to accuracy of results. During the study I also ensured that I was in class with the children at all times, to ensure more consistency. This method meant forgoing break times and eating lunch in the classroom, but I felt that this was the best way to get the most accurate representation of each child and the frequency of disruptive behaviours overall. I also feel that with the current rise in number of behavioural issues in schools (O</w:t>
      </w:r>
      <w:r>
        <w:rPr>
          <w:rFonts w:ascii="Times New Roman" w:hAnsi="Times New Roman" w:hint="default"/>
          <w:sz w:val="24"/>
          <w:szCs w:val="24"/>
          <w:u w:val="none"/>
          <w:rtl w:val="0"/>
          <w:lang w:val="en-US"/>
        </w:rPr>
        <w:t xml:space="preserve">’ </w:t>
      </w:r>
      <w:r>
        <w:rPr>
          <w:rFonts w:ascii="Times New Roman" w:hAnsi="Times New Roman"/>
          <w:sz w:val="24"/>
          <w:szCs w:val="24"/>
          <w:u w:val="none"/>
          <w:rtl w:val="0"/>
          <w:lang w:val="en-US"/>
        </w:rPr>
        <w:t xml:space="preserve">Connell, 2017) the study was particularly topical, and could even warrant further investigation into the method of structured routines as a behavioural management tool. </w:t>
      </w:r>
    </w:p>
    <w:p>
      <w:pPr>
        <w:pStyle w:val="Body A"/>
        <w:spacing w:line="360" w:lineRule="auto"/>
        <w:rPr>
          <w:rFonts w:ascii="Times New Roman" w:cs="Times New Roman" w:hAnsi="Times New Roman" w:eastAsia="Times New Roman"/>
          <w:sz w:val="24"/>
          <w:szCs w:val="24"/>
          <w:u w:val="none"/>
        </w:rPr>
      </w:pPr>
      <w:r>
        <w:rPr>
          <w:rFonts w:ascii="Times New Roman" w:cs="Times New Roman" w:hAnsi="Times New Roman" w:eastAsia="Times New Roman"/>
          <w:sz w:val="24"/>
          <w:szCs w:val="24"/>
          <w:u w:val="none"/>
          <w:rtl w:val="0"/>
        </w:rPr>
        <w:tab/>
        <w:t xml:space="preserve">However, upon reflection I feel that there are several changes that I would make, were I to undertake a similar study in the future. While this study was a small scale study, undertaken over a relatively short amount of time, there were still clear improvements made for several children. However, a large scale study of individual children, from the time of their entry in the PRU until their exit date would potentially yield far more reflective data, especially if examining the trends of their behavioural incidents. </w:t>
      </w:r>
    </w:p>
    <w:p>
      <w:pPr>
        <w:pStyle w:val="Body A"/>
        <w:spacing w:line="360" w:lineRule="auto"/>
        <w:rPr>
          <w:rFonts w:ascii="Times New Roman" w:cs="Times New Roman" w:hAnsi="Times New Roman" w:eastAsia="Times New Roman"/>
          <w:sz w:val="24"/>
          <w:szCs w:val="24"/>
          <w:u w:val="none"/>
        </w:rPr>
      </w:pPr>
      <w:r>
        <w:rPr>
          <w:rFonts w:ascii="Times New Roman" w:cs="Times New Roman" w:hAnsi="Times New Roman" w:eastAsia="Times New Roman"/>
          <w:sz w:val="24"/>
          <w:szCs w:val="24"/>
          <w:u w:val="none"/>
          <w:rtl w:val="0"/>
        </w:rPr>
        <w:tab/>
        <w:t xml:space="preserve">An element that is not taken into account in my study, which may have effected the results, was any intervention programmes that the children were attending, and the affect they would have had. However, it is worth noting that out of all four children, only one (Child B) was undergoing any form of intervention outside of the usual class routine, and his behaviours increased during the study. While it is unlikely that his intervention was the cause of the behaviours, it is not possible to completely rule out the possibility. </w:t>
      </w:r>
    </w:p>
    <w:p>
      <w:pPr>
        <w:pStyle w:val="Body A"/>
        <w:spacing w:line="360" w:lineRule="auto"/>
        <w:rPr>
          <w:rFonts w:ascii="Times New Roman" w:cs="Times New Roman" w:hAnsi="Times New Roman" w:eastAsia="Times New Roman"/>
          <w:sz w:val="24"/>
          <w:szCs w:val="24"/>
          <w:u w:val="none"/>
        </w:rPr>
      </w:pPr>
      <w:r>
        <w:rPr>
          <w:rFonts w:ascii="Times New Roman" w:cs="Times New Roman" w:hAnsi="Times New Roman" w:eastAsia="Times New Roman"/>
          <w:sz w:val="24"/>
          <w:szCs w:val="24"/>
          <w:u w:val="none"/>
          <w:rtl w:val="0"/>
        </w:rPr>
        <w:tab/>
        <w:t>In addition, the study was only able to reflect on the behaviour issues present in the PRU, but not any issues the children faced when integration into their base schools. It is worth considering, however, that the study was based exclusively around the routine of the PRU, and not anywhere else. This allows the results, even from children who were integrating into their schools for two days, to remain credible.</w:t>
      </w:r>
    </w:p>
    <w:p>
      <w:pPr>
        <w:pStyle w:val="Body A"/>
        <w:spacing w:line="360" w:lineRule="auto"/>
        <w:rPr>
          <w:rFonts w:ascii="Times New Roman" w:cs="Times New Roman" w:hAnsi="Times New Roman" w:eastAsia="Times New Roman"/>
          <w:sz w:val="24"/>
          <w:szCs w:val="24"/>
          <w:u w:val="none"/>
        </w:rPr>
      </w:pPr>
      <w:r>
        <w:rPr>
          <w:rFonts w:ascii="Times New Roman" w:cs="Times New Roman" w:hAnsi="Times New Roman" w:eastAsia="Times New Roman"/>
          <w:sz w:val="24"/>
          <w:szCs w:val="24"/>
          <w:u w:val="none"/>
          <w:rtl w:val="0"/>
        </w:rPr>
        <w:tab/>
        <w:t>The scope of the study could potentially be broadened in the future. Ultimately, the study data was separated into two categories, violent and non-violent, but during any day in class the individual incidents can be far more nuanced than that. Over the course of the six weeks I witnessed physical violence towards other children, as a result of an argument, for no clear reason, and in retaliation. I witnessed violence towards staff and experienced it towards myself, both for no obvious reason and also in response to being removed from the classroom. There were incidents of absconding from class, refusing to do work, refusing to tidy up when asked, swearing, climbing on furniture, taking toys from others, etc. In the future it would be beneficial to potentially break down each behaviour to investigate how routine affects each of them, if at all, rather than categorising them into only two categories.</w:t>
      </w:r>
    </w:p>
    <w:p>
      <w:pPr>
        <w:pStyle w:val="Body A"/>
        <w:spacing w:line="360" w:lineRule="auto"/>
        <w:rPr>
          <w:rFonts w:ascii="Times New Roman" w:cs="Times New Roman" w:hAnsi="Times New Roman" w:eastAsia="Times New Roman"/>
          <w:sz w:val="24"/>
          <w:szCs w:val="24"/>
          <w:u w:val="none"/>
        </w:rPr>
      </w:pPr>
      <w:r>
        <w:rPr>
          <w:rFonts w:ascii="Times New Roman" w:cs="Times New Roman" w:hAnsi="Times New Roman" w:eastAsia="Times New Roman"/>
          <w:sz w:val="24"/>
          <w:szCs w:val="24"/>
          <w:u w:val="none"/>
          <w:rtl w:val="0"/>
        </w:rPr>
        <w:tab/>
        <w:t xml:space="preserve">Finally, given the exclusively male population of my PRU class it was impossible during this study to observe how consistent routines affect the behaviour of girls with behavioural issues. </w:t>
      </w:r>
    </w:p>
    <w:p>
      <w:pPr>
        <w:pStyle w:val="Body A"/>
        <w:spacing w:line="360" w:lineRule="auto"/>
        <w:rPr>
          <w:rFonts w:ascii="Times New Roman" w:cs="Times New Roman" w:hAnsi="Times New Roman" w:eastAsia="Times New Roman"/>
          <w:sz w:val="24"/>
          <w:szCs w:val="24"/>
          <w:u w:val="none"/>
        </w:rPr>
      </w:pPr>
    </w:p>
    <w:p>
      <w:pPr>
        <w:pStyle w:val="Body A"/>
        <w:spacing w:line="360" w:lineRule="auto"/>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Conclusion</w:t>
      </w: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During the course of this study I have become aware of just how important routine is to children with SEBD. It can be shown to positively impact the children</w:t>
      </w:r>
      <w:r>
        <w:rPr>
          <w:rFonts w:ascii="Times New Roman" w:hAnsi="Times New Roman" w:hint="default"/>
          <w:sz w:val="24"/>
          <w:szCs w:val="24"/>
          <w:rtl w:val="0"/>
          <w:lang w:val="en-US"/>
        </w:rPr>
        <w:t>’</w:t>
      </w:r>
      <w:r>
        <w:rPr>
          <w:rFonts w:ascii="Times New Roman" w:hAnsi="Times New Roman"/>
          <w:sz w:val="24"/>
          <w:szCs w:val="24"/>
          <w:rtl w:val="0"/>
          <w:lang w:val="en-US"/>
        </w:rPr>
        <w:t xml:space="preserve">s behaviour by helping to build trusting relationships with one another and adults and reduce anxiety. However, as mentioned earlier, Child A did not respond to the routines as I had hopes, sometimes exhibiting more behaviours during time of strict routine. After some reflection, a change that it going to be made to the running of my classroom is the renaming of the class rules. As Lewis (2009, p.40) states, </w:t>
      </w:r>
      <w:r>
        <w:rPr>
          <w:rFonts w:ascii="Times New Roman" w:hAnsi="Times New Roman" w:hint="default"/>
          <w:sz w:val="24"/>
          <w:szCs w:val="24"/>
          <w:rtl w:val="0"/>
          <w:lang w:val="en-US"/>
        </w:rPr>
        <w:t>“</w:t>
      </w:r>
      <w:r>
        <w:rPr>
          <w:rFonts w:ascii="Times New Roman" w:hAnsi="Times New Roman"/>
          <w:sz w:val="24"/>
          <w:szCs w:val="24"/>
          <w:rtl w:val="0"/>
          <w:lang w:val="en-US"/>
        </w:rPr>
        <w:t>The more difficult the pupils, the more likely they are to be provoked by the concept of rules.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This idea certainly appears to be true, when considering how some children in the PRU react to statements they know are related to the class rules. However, if these rules were reframed as rights, e.g., rather than having the rule of </w:t>
      </w:r>
      <w:r>
        <w:rPr>
          <w:rFonts w:ascii="Times New Roman" w:hAnsi="Times New Roman" w:hint="default"/>
          <w:sz w:val="24"/>
          <w:szCs w:val="24"/>
          <w:rtl w:val="0"/>
          <w:lang w:val="en-US"/>
        </w:rPr>
        <w:t>‘</w:t>
      </w:r>
      <w:r>
        <w:rPr>
          <w:rFonts w:ascii="Times New Roman" w:hAnsi="Times New Roman"/>
          <w:sz w:val="24"/>
          <w:szCs w:val="24"/>
          <w:rtl w:val="0"/>
          <w:lang w:val="en-US"/>
        </w:rPr>
        <w:t>Not hurting others,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there was the right, </w:t>
      </w:r>
      <w:r>
        <w:rPr>
          <w:rFonts w:ascii="Times New Roman" w:hAnsi="Times New Roman" w:hint="default"/>
          <w:sz w:val="24"/>
          <w:szCs w:val="24"/>
          <w:rtl w:val="0"/>
          <w:lang w:val="en-US"/>
        </w:rPr>
        <w:t>‘</w:t>
      </w:r>
      <w:r>
        <w:rPr>
          <w:rFonts w:ascii="Times New Roman" w:hAnsi="Times New Roman"/>
          <w:sz w:val="24"/>
          <w:szCs w:val="24"/>
          <w:rtl w:val="0"/>
          <w:lang w:val="en-US"/>
        </w:rPr>
        <w:t>You have the right to not be hurt</w:t>
      </w:r>
      <w:r>
        <w:rPr>
          <w:rFonts w:ascii="Times New Roman" w:hAnsi="Times New Roman" w:hint="default"/>
          <w:sz w:val="24"/>
          <w:szCs w:val="24"/>
          <w:rtl w:val="0"/>
          <w:lang w:val="en-US"/>
        </w:rPr>
        <w:t>’</w:t>
      </w:r>
      <w:r>
        <w:rPr>
          <w:rFonts w:ascii="Times New Roman" w:hAnsi="Times New Roman"/>
          <w:sz w:val="24"/>
          <w:szCs w:val="24"/>
          <w:rtl w:val="0"/>
          <w:lang w:val="en-US"/>
        </w:rPr>
        <w:t>, the children may be even more responsive.</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Despite some uncertainties in relation to the results of the study (even though there is a strong indication that routine benefits children with SEBD) and how effective routine is at behaviour management, I am going to continue with the routine, especially considering that there are two new children attending the PRU, who have initially displayed very oppositional and difficult behaviours. The subject of behaviour management, especially with children who have SEBD, is a very wide and nuanced subject, and my personal feelings, based on experience, is that routine benefits the children. I intend on researching and developing more strategies for the children who need more than just a routine to help them.</w:t>
      </w:r>
    </w:p>
    <w:p>
      <w:pPr>
        <w:pStyle w:val="Body A"/>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Finally, considering the relatively out of date information about the number of PRUs in Wales, and the number of children who attend, I feel that it would be useful for this information to be updated, so that a better picture of SEBD in Wales can be gained.</w:t>
      </w:r>
    </w:p>
    <w:p>
      <w:pPr>
        <w:pStyle w:val="Body A"/>
        <w:spacing w:line="360" w:lineRule="auto"/>
      </w:pPr>
      <w:r>
        <w:rPr>
          <w:rFonts w:ascii="Times New Roman" w:cs="Times New Roman" w:hAnsi="Times New Roman" w:eastAsia="Times New Roman"/>
          <w:sz w:val="24"/>
          <w:szCs w:val="24"/>
        </w:rPr>
        <w:tab/>
      </w:r>
    </w:p>
    <w:sectPr>
      <w:headerReference w:type="default" r:id="rId5"/>
      <w:footerReference w:type="default" r:id="rId6"/>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Heading">
    <w:name w:val="Heading"/>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36"/>
      <w:szCs w:val="36"/>
      <w:u w:val="none"/>
      <w:vertAlign w:val="baseline"/>
      <w:lang w:val="en-US"/>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Table Title 1">
    <w:name w:val="Table Title 1"/>
    <w:next w:val="Table Title 1"/>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Table Style 1">
    <w:name w:val="Table Style 1"/>
    <w:next w:val="Table Style 1"/>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20"/>
      <w:szCs w:val="20"/>
      <w:u w:val="none" w:color="000000"/>
      <w:vertAlign w:val="baseline"/>
      <w:lang w:val="nl-NL"/>
    </w:r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