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964E124" w14:textId="77777777" w:rsidR="00695D1D" w:rsidRDefault="00695D1D">
      <w:pPr>
        <w:pStyle w:val="ng-binding"/>
        <w:spacing w:after="0"/>
        <w:jc w:val="center"/>
        <w:rPr>
          <w:sz w:val="24"/>
          <w:szCs w:val="24"/>
        </w:rPr>
      </w:pPr>
      <w:r>
        <w:rPr>
          <w:rFonts w:ascii="Arial" w:hAnsi="Arial" w:cs="Arial"/>
          <w:b/>
          <w:bCs/>
          <w:color w:val="000000"/>
          <w:u w:val="single"/>
        </w:rPr>
        <w:t>Reference List </w:t>
      </w:r>
    </w:p>
    <w:p w14:paraId="0E1DFB05" w14:textId="77777777" w:rsidR="00695D1D" w:rsidRDefault="00695D1D">
      <w:pPr>
        <w:rPr>
          <w:rFonts w:eastAsia="Times New Roman"/>
        </w:rPr>
      </w:pPr>
    </w:p>
    <w:p w14:paraId="2F33B999" w14:textId="77777777" w:rsidR="00695D1D" w:rsidRDefault="00695D1D">
      <w:pPr>
        <w:pStyle w:val="ng-binding"/>
        <w:spacing w:after="0"/>
      </w:pPr>
      <w:r>
        <w:rPr>
          <w:rFonts w:ascii="Arial" w:hAnsi="Arial" w:cs="Arial"/>
          <w:color w:val="000000"/>
        </w:rPr>
        <w:t>Barton, D. and Hamilton, M. (1998)</w:t>
      </w:r>
      <w:r>
        <w:rPr>
          <w:rFonts w:ascii="Arial" w:hAnsi="Arial" w:cs="Arial"/>
          <w:i/>
          <w:iCs/>
          <w:color w:val="000000"/>
        </w:rPr>
        <w:t xml:space="preserve"> Local Literacies.</w:t>
      </w:r>
      <w:r>
        <w:rPr>
          <w:rFonts w:ascii="Arial" w:hAnsi="Arial" w:cs="Arial"/>
          <w:color w:val="000000"/>
        </w:rPr>
        <w:t xml:space="preserve"> London: Routledge.</w:t>
      </w:r>
    </w:p>
    <w:p w14:paraId="6E63E0B2" w14:textId="77777777" w:rsidR="00695D1D" w:rsidRDefault="00695D1D">
      <w:pPr>
        <w:rPr>
          <w:rFonts w:eastAsia="Times New Roman"/>
        </w:rPr>
      </w:pPr>
    </w:p>
    <w:p w14:paraId="08AFFCC3" w14:textId="77777777" w:rsidR="00695D1D" w:rsidRDefault="00695D1D">
      <w:pPr>
        <w:pStyle w:val="ng-binding"/>
        <w:spacing w:after="0"/>
      </w:pPr>
      <w:r>
        <w:rPr>
          <w:rFonts w:ascii="Arial" w:hAnsi="Arial" w:cs="Arial"/>
          <w:color w:val="000000"/>
        </w:rPr>
        <w:t xml:space="preserve">Bower, V., (2014) </w:t>
      </w:r>
      <w:r>
        <w:rPr>
          <w:rFonts w:ascii="Arial" w:hAnsi="Arial" w:cs="Arial"/>
          <w:i/>
          <w:iCs/>
          <w:color w:val="000000"/>
        </w:rPr>
        <w:t>Developing Early Literacy 0-</w:t>
      </w:r>
      <w:proofErr w:type="gramStart"/>
      <w:r>
        <w:rPr>
          <w:rFonts w:ascii="Arial" w:hAnsi="Arial" w:cs="Arial"/>
          <w:i/>
          <w:iCs/>
          <w:color w:val="000000"/>
        </w:rPr>
        <w:t>8 :</w:t>
      </w:r>
      <w:proofErr w:type="gramEnd"/>
      <w:r>
        <w:rPr>
          <w:rFonts w:ascii="Arial" w:hAnsi="Arial" w:cs="Arial"/>
          <w:i/>
          <w:iCs/>
          <w:color w:val="000000"/>
        </w:rPr>
        <w:t xml:space="preserve"> From Theory to Practice</w:t>
      </w:r>
      <w:r>
        <w:rPr>
          <w:rFonts w:ascii="Arial" w:hAnsi="Arial" w:cs="Arial"/>
          <w:color w:val="000000"/>
        </w:rPr>
        <w:t>. SAGE Publications Ltd.</w:t>
      </w:r>
    </w:p>
    <w:p w14:paraId="62806E20" w14:textId="77777777" w:rsidR="00695D1D" w:rsidRDefault="00695D1D">
      <w:pPr>
        <w:rPr>
          <w:rFonts w:eastAsia="Times New Roman"/>
        </w:rPr>
      </w:pPr>
    </w:p>
    <w:p w14:paraId="740D9EAF" w14:textId="77777777" w:rsidR="00695D1D" w:rsidRDefault="00695D1D">
      <w:pPr>
        <w:pStyle w:val="ng-binding"/>
        <w:spacing w:after="0"/>
      </w:pPr>
      <w:r>
        <w:rPr>
          <w:rFonts w:ascii="Arial" w:hAnsi="Arial" w:cs="Arial"/>
          <w:color w:val="000000"/>
        </w:rPr>
        <w:t xml:space="preserve">Brock, A. (2008) </w:t>
      </w:r>
      <w:r>
        <w:rPr>
          <w:rFonts w:ascii="Arial" w:hAnsi="Arial" w:cs="Arial"/>
          <w:i/>
          <w:iCs/>
          <w:color w:val="000000"/>
        </w:rPr>
        <w:t xml:space="preserve">Communication, language and literacy from birth to five. </w:t>
      </w:r>
      <w:r>
        <w:rPr>
          <w:rFonts w:ascii="Arial" w:hAnsi="Arial" w:cs="Arial"/>
          <w:color w:val="000000"/>
        </w:rPr>
        <w:t>SAGE PUBLICATIONS.</w:t>
      </w:r>
    </w:p>
    <w:p w14:paraId="498D9057" w14:textId="77777777" w:rsidR="00695D1D" w:rsidRDefault="00695D1D">
      <w:pPr>
        <w:rPr>
          <w:rFonts w:eastAsia="Times New Roman"/>
        </w:rPr>
      </w:pPr>
    </w:p>
    <w:p w14:paraId="56E741AE" w14:textId="77777777" w:rsidR="00695D1D" w:rsidRDefault="00695D1D">
      <w:pPr>
        <w:pStyle w:val="ng-binding"/>
        <w:spacing w:after="0"/>
      </w:pPr>
      <w:r>
        <w:rPr>
          <w:rFonts w:ascii="Arial" w:hAnsi="Arial" w:cs="Arial"/>
          <w:color w:val="000000"/>
        </w:rPr>
        <w:t xml:space="preserve">Bryant, P.E., Bradley, L., Maclean, M. and </w:t>
      </w:r>
      <w:proofErr w:type="spellStart"/>
      <w:r>
        <w:rPr>
          <w:rFonts w:ascii="Arial" w:hAnsi="Arial" w:cs="Arial"/>
          <w:color w:val="000000"/>
        </w:rPr>
        <w:t>Crossland</w:t>
      </w:r>
      <w:proofErr w:type="spellEnd"/>
      <w:r>
        <w:rPr>
          <w:rFonts w:ascii="Arial" w:hAnsi="Arial" w:cs="Arial"/>
          <w:color w:val="000000"/>
        </w:rPr>
        <w:t xml:space="preserve">, J., (1989). </w:t>
      </w:r>
      <w:r>
        <w:rPr>
          <w:rFonts w:ascii="Arial" w:hAnsi="Arial" w:cs="Arial"/>
          <w:i/>
          <w:iCs/>
          <w:color w:val="000000"/>
        </w:rPr>
        <w:t>Nursery rhymes, phonological skills and reading.</w:t>
      </w:r>
      <w:r>
        <w:rPr>
          <w:rFonts w:ascii="Arial" w:hAnsi="Arial" w:cs="Arial"/>
          <w:color w:val="000000"/>
        </w:rPr>
        <w:t xml:space="preserve"> Journal of Child language, 16(2), pp.407-428.</w:t>
      </w:r>
    </w:p>
    <w:p w14:paraId="00CF9585" w14:textId="77777777" w:rsidR="00695D1D" w:rsidRDefault="00695D1D">
      <w:pPr>
        <w:rPr>
          <w:rFonts w:eastAsia="Times New Roman"/>
        </w:rPr>
      </w:pPr>
    </w:p>
    <w:p w14:paraId="36A7B29C" w14:textId="77777777" w:rsidR="00695D1D" w:rsidRDefault="00695D1D">
      <w:pPr>
        <w:pStyle w:val="ng-binding"/>
        <w:spacing w:after="0"/>
      </w:pPr>
      <w:proofErr w:type="spellStart"/>
      <w:r>
        <w:rPr>
          <w:rFonts w:ascii="Arial" w:hAnsi="Arial" w:cs="Arial"/>
          <w:color w:val="000000"/>
        </w:rPr>
        <w:t>Çakıroğlu</w:t>
      </w:r>
      <w:proofErr w:type="spellEnd"/>
      <w:r>
        <w:rPr>
          <w:rFonts w:ascii="Arial" w:hAnsi="Arial" w:cs="Arial"/>
          <w:color w:val="000000"/>
        </w:rPr>
        <w:t xml:space="preserve">, A., (2019). </w:t>
      </w:r>
      <w:r>
        <w:rPr>
          <w:rFonts w:ascii="Arial" w:hAnsi="Arial" w:cs="Arial"/>
          <w:i/>
          <w:iCs/>
          <w:color w:val="000000"/>
        </w:rPr>
        <w:t xml:space="preserve">The language acquisition approaches and the development of literacy skills in children. </w:t>
      </w:r>
      <w:r>
        <w:rPr>
          <w:rFonts w:ascii="Arial" w:hAnsi="Arial" w:cs="Arial"/>
          <w:color w:val="000000"/>
        </w:rPr>
        <w:t>International Electronic Journal of Elementary Education, 11(2), pp.201-206.</w:t>
      </w:r>
    </w:p>
    <w:p w14:paraId="5A7BD35A" w14:textId="77777777" w:rsidR="00695D1D" w:rsidRDefault="00695D1D">
      <w:pPr>
        <w:rPr>
          <w:rFonts w:eastAsia="Times New Roman"/>
        </w:rPr>
      </w:pPr>
    </w:p>
    <w:p w14:paraId="5B681057" w14:textId="77777777" w:rsidR="00695D1D" w:rsidRDefault="00695D1D">
      <w:pPr>
        <w:pStyle w:val="ng-binding"/>
        <w:spacing w:after="0"/>
      </w:pPr>
      <w:proofErr w:type="spellStart"/>
      <w:r>
        <w:rPr>
          <w:rFonts w:ascii="Arial" w:hAnsi="Arial" w:cs="Arial"/>
          <w:color w:val="000000"/>
        </w:rPr>
        <w:t>Goswami</w:t>
      </w:r>
      <w:proofErr w:type="spellEnd"/>
      <w:r>
        <w:rPr>
          <w:rFonts w:ascii="Arial" w:hAnsi="Arial" w:cs="Arial"/>
          <w:color w:val="000000"/>
        </w:rPr>
        <w:t xml:space="preserve">, U., 2001. </w:t>
      </w:r>
      <w:r>
        <w:rPr>
          <w:rFonts w:ascii="Arial" w:hAnsi="Arial" w:cs="Arial"/>
          <w:i/>
          <w:iCs/>
          <w:color w:val="000000"/>
        </w:rPr>
        <w:t>Early phonological development and the acquisition of literacy.</w:t>
      </w:r>
      <w:r>
        <w:rPr>
          <w:rFonts w:ascii="Arial" w:hAnsi="Arial" w:cs="Arial"/>
          <w:color w:val="000000"/>
        </w:rPr>
        <w:t xml:space="preserve"> Handbook of early literacy research, pp.111-125.</w:t>
      </w:r>
    </w:p>
    <w:p w14:paraId="4247C1FB" w14:textId="77777777" w:rsidR="00695D1D" w:rsidRDefault="00695D1D">
      <w:pPr>
        <w:rPr>
          <w:rFonts w:eastAsia="Times New Roman"/>
        </w:rPr>
      </w:pPr>
    </w:p>
    <w:p w14:paraId="55E994FF" w14:textId="77777777" w:rsidR="00695D1D" w:rsidRDefault="00695D1D">
      <w:pPr>
        <w:pStyle w:val="ng-binding"/>
        <w:spacing w:after="0"/>
      </w:pPr>
      <w:proofErr w:type="spellStart"/>
      <w:r>
        <w:rPr>
          <w:rFonts w:ascii="Arial" w:hAnsi="Arial" w:cs="Arial"/>
          <w:color w:val="000000"/>
        </w:rPr>
        <w:t>Heo</w:t>
      </w:r>
      <w:proofErr w:type="spellEnd"/>
      <w:r>
        <w:rPr>
          <w:rFonts w:ascii="Arial" w:hAnsi="Arial" w:cs="Arial"/>
          <w:color w:val="000000"/>
        </w:rPr>
        <w:t>, J., Han, S., Koch, C. and Aydin, H., (2011). P</w:t>
      </w:r>
      <w:r>
        <w:rPr>
          <w:rFonts w:ascii="Arial" w:hAnsi="Arial" w:cs="Arial"/>
          <w:i/>
          <w:iCs/>
          <w:color w:val="000000"/>
        </w:rPr>
        <w:t>iaget's egocentrism and language learning: Language egocentrism (LE) and language differentiation (LD)</w:t>
      </w:r>
      <w:r>
        <w:rPr>
          <w:rFonts w:ascii="Arial" w:hAnsi="Arial" w:cs="Arial"/>
          <w:color w:val="000000"/>
        </w:rPr>
        <w:t>. Journal of Language Teaching and Research, 2(4), p.733.</w:t>
      </w:r>
    </w:p>
    <w:p w14:paraId="7D05DA2B" w14:textId="77777777" w:rsidR="00695D1D" w:rsidRDefault="00695D1D">
      <w:pPr>
        <w:rPr>
          <w:rFonts w:eastAsia="Times New Roman"/>
        </w:rPr>
      </w:pPr>
    </w:p>
    <w:p w14:paraId="648F9429" w14:textId="77777777" w:rsidR="00695D1D" w:rsidRDefault="00695D1D">
      <w:pPr>
        <w:pStyle w:val="ng-binding"/>
        <w:spacing w:after="0"/>
      </w:pPr>
      <w:proofErr w:type="spellStart"/>
      <w:r>
        <w:rPr>
          <w:rFonts w:ascii="Arial" w:hAnsi="Arial" w:cs="Arial"/>
          <w:color w:val="000000"/>
        </w:rPr>
        <w:t>Huitt</w:t>
      </w:r>
      <w:proofErr w:type="spellEnd"/>
      <w:r>
        <w:rPr>
          <w:rFonts w:ascii="Arial" w:hAnsi="Arial" w:cs="Arial"/>
          <w:color w:val="000000"/>
        </w:rPr>
        <w:t xml:space="preserve">, W. and Hummel, J., (2003). </w:t>
      </w:r>
      <w:r>
        <w:rPr>
          <w:rFonts w:ascii="Arial" w:hAnsi="Arial" w:cs="Arial"/>
          <w:i/>
          <w:iCs/>
          <w:color w:val="000000"/>
        </w:rPr>
        <w:t>Piaget's theory of cognitive development. Educational psychology interactive</w:t>
      </w:r>
      <w:r>
        <w:rPr>
          <w:rFonts w:ascii="Arial" w:hAnsi="Arial" w:cs="Arial"/>
          <w:color w:val="000000"/>
        </w:rPr>
        <w:t>, 3(2), pp.1-5.</w:t>
      </w:r>
    </w:p>
    <w:p w14:paraId="7333E280" w14:textId="77777777" w:rsidR="00695D1D" w:rsidRDefault="00695D1D">
      <w:pPr>
        <w:rPr>
          <w:rFonts w:eastAsia="Times New Roman"/>
        </w:rPr>
      </w:pPr>
    </w:p>
    <w:p w14:paraId="28854123" w14:textId="77777777" w:rsidR="00695D1D" w:rsidRDefault="00695D1D">
      <w:pPr>
        <w:pStyle w:val="ng-binding"/>
        <w:spacing w:after="0"/>
      </w:pPr>
      <w:proofErr w:type="spellStart"/>
      <w:r>
        <w:rPr>
          <w:rFonts w:ascii="Arial" w:hAnsi="Arial" w:cs="Arial"/>
          <w:color w:val="000000"/>
        </w:rPr>
        <w:t>Kantartzis</w:t>
      </w:r>
      <w:proofErr w:type="spellEnd"/>
      <w:r>
        <w:rPr>
          <w:rFonts w:ascii="Arial" w:hAnsi="Arial" w:cs="Arial"/>
          <w:color w:val="000000"/>
        </w:rPr>
        <w:t>, K., Imai, M. and Kita, S., (2011). J</w:t>
      </w:r>
      <w:r>
        <w:rPr>
          <w:rFonts w:ascii="Arial" w:hAnsi="Arial" w:cs="Arial"/>
          <w:i/>
          <w:iCs/>
          <w:color w:val="000000"/>
        </w:rPr>
        <w:t>apanese sound</w:t>
      </w:r>
      <w:r>
        <w:rPr>
          <w:rFonts w:ascii="Cambria Math" w:hAnsi="Cambria Math" w:cs="Cambria Math"/>
          <w:i/>
          <w:iCs/>
          <w:color w:val="000000"/>
        </w:rPr>
        <w:t>‐</w:t>
      </w:r>
      <w:r>
        <w:rPr>
          <w:rFonts w:ascii="Arial" w:hAnsi="Arial" w:cs="Arial"/>
          <w:i/>
          <w:iCs/>
          <w:color w:val="000000"/>
        </w:rPr>
        <w:t>symbolism facilitates word learning in English</w:t>
      </w:r>
      <w:r>
        <w:rPr>
          <w:rFonts w:ascii="Cambria Math" w:hAnsi="Cambria Math" w:cs="Cambria Math"/>
          <w:i/>
          <w:iCs/>
          <w:color w:val="000000"/>
        </w:rPr>
        <w:t>‐</w:t>
      </w:r>
      <w:r>
        <w:rPr>
          <w:rFonts w:ascii="Arial" w:hAnsi="Arial" w:cs="Arial"/>
          <w:i/>
          <w:iCs/>
          <w:color w:val="000000"/>
        </w:rPr>
        <w:t xml:space="preserve">speaking children. Cognitive Science, </w:t>
      </w:r>
      <w:r>
        <w:rPr>
          <w:rFonts w:ascii="Arial" w:hAnsi="Arial" w:cs="Arial"/>
          <w:color w:val="000000"/>
        </w:rPr>
        <w:t>35(3), pp.575-586.</w:t>
      </w:r>
    </w:p>
    <w:p w14:paraId="1B20A047" w14:textId="77777777" w:rsidR="00695D1D" w:rsidRDefault="00695D1D">
      <w:pPr>
        <w:rPr>
          <w:rFonts w:eastAsia="Times New Roman"/>
        </w:rPr>
      </w:pPr>
    </w:p>
    <w:p w14:paraId="4DB17EFC" w14:textId="77777777" w:rsidR="00695D1D" w:rsidRDefault="00695D1D">
      <w:pPr>
        <w:pStyle w:val="ng-binding"/>
        <w:spacing w:after="0"/>
      </w:pPr>
      <w:r>
        <w:rPr>
          <w:rFonts w:ascii="Arial" w:hAnsi="Arial" w:cs="Arial"/>
          <w:color w:val="000000"/>
        </w:rPr>
        <w:t xml:space="preserve">Laing, C.E., 2014. </w:t>
      </w:r>
      <w:r>
        <w:rPr>
          <w:rFonts w:ascii="Arial" w:hAnsi="Arial" w:cs="Arial"/>
          <w:i/>
          <w:iCs/>
          <w:color w:val="000000"/>
        </w:rPr>
        <w:t xml:space="preserve">A phonological analysis of onomatopoeia in early word production. First Language, </w:t>
      </w:r>
      <w:r>
        <w:rPr>
          <w:rFonts w:ascii="Arial" w:hAnsi="Arial" w:cs="Arial"/>
          <w:color w:val="000000"/>
        </w:rPr>
        <w:t>34(5), pp.387-405.</w:t>
      </w:r>
    </w:p>
    <w:p w14:paraId="2D61766B" w14:textId="77777777" w:rsidR="00695D1D" w:rsidRDefault="00695D1D">
      <w:pPr>
        <w:rPr>
          <w:rFonts w:eastAsia="Times New Roman"/>
        </w:rPr>
      </w:pPr>
    </w:p>
    <w:p w14:paraId="0F08BDCB" w14:textId="77777777" w:rsidR="00695D1D" w:rsidRDefault="00695D1D">
      <w:pPr>
        <w:pStyle w:val="ng-binding"/>
        <w:spacing w:after="0"/>
      </w:pPr>
      <w:r>
        <w:rPr>
          <w:rFonts w:ascii="Arial" w:hAnsi="Arial" w:cs="Arial"/>
          <w:color w:val="000000"/>
        </w:rPr>
        <w:t xml:space="preserve">Laing, C., 2019. </w:t>
      </w:r>
      <w:r>
        <w:rPr>
          <w:rFonts w:ascii="Arial" w:hAnsi="Arial" w:cs="Arial"/>
          <w:i/>
          <w:iCs/>
          <w:color w:val="000000"/>
        </w:rPr>
        <w:t>A role for onomatopoeia in early language: evidence from phonological development.</w:t>
      </w:r>
      <w:r>
        <w:rPr>
          <w:rFonts w:ascii="Arial" w:hAnsi="Arial" w:cs="Arial"/>
          <w:color w:val="000000"/>
        </w:rPr>
        <w:t xml:space="preserve"> Language and Cognition, 11(2), pp.173-187.</w:t>
      </w:r>
    </w:p>
    <w:p w14:paraId="5D65BCD5" w14:textId="77777777" w:rsidR="00695D1D" w:rsidRDefault="00695D1D">
      <w:pPr>
        <w:rPr>
          <w:rFonts w:eastAsia="Times New Roman"/>
        </w:rPr>
      </w:pPr>
    </w:p>
    <w:p w14:paraId="230A180A" w14:textId="77777777" w:rsidR="00695D1D" w:rsidRDefault="00695D1D">
      <w:pPr>
        <w:pStyle w:val="ng-binding"/>
        <w:spacing w:after="0"/>
      </w:pPr>
      <w:proofErr w:type="spellStart"/>
      <w:r>
        <w:rPr>
          <w:rFonts w:ascii="Arial" w:hAnsi="Arial" w:cs="Arial"/>
          <w:color w:val="000000"/>
        </w:rPr>
        <w:t>Lysaker</w:t>
      </w:r>
      <w:proofErr w:type="spellEnd"/>
      <w:r>
        <w:rPr>
          <w:rFonts w:ascii="Arial" w:hAnsi="Arial" w:cs="Arial"/>
          <w:color w:val="000000"/>
        </w:rPr>
        <w:t>, Judith T. (2018).</w:t>
      </w:r>
      <w:r>
        <w:rPr>
          <w:rFonts w:ascii="Arial" w:hAnsi="Arial" w:cs="Arial"/>
          <w:i/>
          <w:iCs/>
          <w:color w:val="000000"/>
        </w:rPr>
        <w:t xml:space="preserve"> Before </w:t>
      </w:r>
      <w:proofErr w:type="gramStart"/>
      <w:r>
        <w:rPr>
          <w:rFonts w:ascii="Arial" w:hAnsi="Arial" w:cs="Arial"/>
          <w:i/>
          <w:iCs/>
          <w:color w:val="000000"/>
        </w:rPr>
        <w:t>Words :</w:t>
      </w:r>
      <w:proofErr w:type="gramEnd"/>
      <w:r>
        <w:rPr>
          <w:rFonts w:ascii="Arial" w:hAnsi="Arial" w:cs="Arial"/>
          <w:i/>
          <w:iCs/>
          <w:color w:val="000000"/>
        </w:rPr>
        <w:t xml:space="preserve"> Wordless Picture Books and the Development of Reading in Young Children,</w:t>
      </w:r>
      <w:r>
        <w:rPr>
          <w:rFonts w:ascii="Arial" w:hAnsi="Arial" w:cs="Arial"/>
          <w:color w:val="000000"/>
        </w:rPr>
        <w:t xml:space="preserve"> Teachers College Press. ProQuest </w:t>
      </w:r>
      <w:proofErr w:type="spellStart"/>
      <w:r>
        <w:rPr>
          <w:rFonts w:ascii="Arial" w:hAnsi="Arial" w:cs="Arial"/>
          <w:color w:val="000000"/>
        </w:rPr>
        <w:t>Ebook</w:t>
      </w:r>
      <w:proofErr w:type="spellEnd"/>
      <w:r>
        <w:rPr>
          <w:rFonts w:ascii="Arial" w:hAnsi="Arial" w:cs="Arial"/>
          <w:color w:val="000000"/>
        </w:rPr>
        <w:t xml:space="preserve"> Central, Available at: http://ebookcentral.proquest.com/lib/trinity/detail.action?docID=5611786. (Accessed:24th November 2020).</w:t>
      </w:r>
    </w:p>
    <w:p w14:paraId="5548F73F" w14:textId="77777777" w:rsidR="00695D1D" w:rsidRDefault="00695D1D">
      <w:pPr>
        <w:rPr>
          <w:rFonts w:eastAsia="Times New Roman"/>
        </w:rPr>
      </w:pPr>
    </w:p>
    <w:p w14:paraId="6B420DE4" w14:textId="77777777" w:rsidR="00695D1D" w:rsidRDefault="00695D1D">
      <w:pPr>
        <w:pStyle w:val="ng-binding"/>
        <w:spacing w:after="0"/>
      </w:pPr>
      <w:r>
        <w:rPr>
          <w:rFonts w:ascii="Arial" w:hAnsi="Arial" w:cs="Arial"/>
          <w:color w:val="000000"/>
        </w:rPr>
        <w:lastRenderedPageBreak/>
        <w:t xml:space="preserve">May, L., Byers-Heinlein, K., </w:t>
      </w:r>
      <w:proofErr w:type="spellStart"/>
      <w:r>
        <w:rPr>
          <w:rFonts w:ascii="Arial" w:hAnsi="Arial" w:cs="Arial"/>
          <w:color w:val="000000"/>
        </w:rPr>
        <w:t>Gervain</w:t>
      </w:r>
      <w:proofErr w:type="spellEnd"/>
      <w:r>
        <w:rPr>
          <w:rFonts w:ascii="Arial" w:hAnsi="Arial" w:cs="Arial"/>
          <w:color w:val="000000"/>
        </w:rPr>
        <w:t xml:space="preserve">, J. and </w:t>
      </w:r>
      <w:proofErr w:type="spellStart"/>
      <w:r>
        <w:rPr>
          <w:rFonts w:ascii="Arial" w:hAnsi="Arial" w:cs="Arial"/>
          <w:color w:val="000000"/>
        </w:rPr>
        <w:t>Werker</w:t>
      </w:r>
      <w:proofErr w:type="spellEnd"/>
      <w:r>
        <w:rPr>
          <w:rFonts w:ascii="Arial" w:hAnsi="Arial" w:cs="Arial"/>
          <w:color w:val="000000"/>
        </w:rPr>
        <w:t xml:space="preserve">, J.F., 2011. </w:t>
      </w:r>
      <w:r>
        <w:rPr>
          <w:rFonts w:ascii="Arial" w:hAnsi="Arial" w:cs="Arial"/>
          <w:i/>
          <w:iCs/>
          <w:color w:val="000000"/>
        </w:rPr>
        <w:t xml:space="preserve">Language and the </w:t>
      </w:r>
      <w:proofErr w:type="spellStart"/>
      <w:r>
        <w:rPr>
          <w:rFonts w:ascii="Arial" w:hAnsi="Arial" w:cs="Arial"/>
          <w:i/>
          <w:iCs/>
          <w:color w:val="000000"/>
        </w:rPr>
        <w:t>newborn</w:t>
      </w:r>
      <w:proofErr w:type="spellEnd"/>
      <w:r>
        <w:rPr>
          <w:rFonts w:ascii="Arial" w:hAnsi="Arial" w:cs="Arial"/>
          <w:i/>
          <w:iCs/>
          <w:color w:val="000000"/>
        </w:rPr>
        <w:t xml:space="preserve"> brain: </w:t>
      </w:r>
      <w:proofErr w:type="gramStart"/>
      <w:r>
        <w:rPr>
          <w:rFonts w:ascii="Arial" w:hAnsi="Arial" w:cs="Arial"/>
          <w:i/>
          <w:iCs/>
          <w:color w:val="000000"/>
        </w:rPr>
        <w:t>does</w:t>
      </w:r>
      <w:proofErr w:type="gramEnd"/>
      <w:r>
        <w:rPr>
          <w:rFonts w:ascii="Arial" w:hAnsi="Arial" w:cs="Arial"/>
          <w:i/>
          <w:iCs/>
          <w:color w:val="000000"/>
        </w:rPr>
        <w:t xml:space="preserve"> prenatal language experience shape the neonate neural response to speech?. </w:t>
      </w:r>
      <w:r>
        <w:rPr>
          <w:rFonts w:ascii="Arial" w:hAnsi="Arial" w:cs="Arial"/>
          <w:color w:val="000000"/>
        </w:rPr>
        <w:t>Frontiers in Psychology, 2, p.222.</w:t>
      </w:r>
    </w:p>
    <w:p w14:paraId="601BD425" w14:textId="77777777" w:rsidR="00695D1D" w:rsidRDefault="00695D1D">
      <w:pPr>
        <w:rPr>
          <w:rFonts w:eastAsia="Times New Roman"/>
        </w:rPr>
      </w:pPr>
    </w:p>
    <w:p w14:paraId="26A67412" w14:textId="77777777" w:rsidR="00695D1D" w:rsidRDefault="00695D1D">
      <w:pPr>
        <w:pStyle w:val="ng-binding"/>
        <w:spacing w:after="0"/>
      </w:pPr>
      <w:r>
        <w:rPr>
          <w:rFonts w:ascii="Arial" w:hAnsi="Arial" w:cs="Arial"/>
          <w:color w:val="000000"/>
        </w:rPr>
        <w:t xml:space="preserve">Uchida, L., (2012). </w:t>
      </w:r>
      <w:proofErr w:type="spellStart"/>
      <w:r>
        <w:rPr>
          <w:rFonts w:ascii="Arial" w:hAnsi="Arial" w:cs="Arial"/>
          <w:i/>
          <w:iCs/>
          <w:color w:val="000000"/>
        </w:rPr>
        <w:t>Allo</w:t>
      </w:r>
      <w:proofErr w:type="spellEnd"/>
      <w:r>
        <w:rPr>
          <w:rFonts w:ascii="Arial" w:hAnsi="Arial" w:cs="Arial"/>
          <w:i/>
          <w:iCs/>
          <w:color w:val="000000"/>
        </w:rPr>
        <w:t>-repetition in English Narratives: Functional Distribution and Collaboration between Storytellers and story-recipients.</w:t>
      </w:r>
      <w:r>
        <w:rPr>
          <w:rFonts w:ascii="Arial" w:hAnsi="Arial" w:cs="Arial"/>
          <w:color w:val="000000"/>
        </w:rPr>
        <w:t xml:space="preserve"> In Research Gate Conference Paper.</w:t>
      </w:r>
    </w:p>
    <w:p w14:paraId="5ABFAE34" w14:textId="77777777" w:rsidR="00695D1D" w:rsidRDefault="00695D1D">
      <w:pPr>
        <w:rPr>
          <w:rFonts w:eastAsia="Times New Roman"/>
        </w:rPr>
      </w:pPr>
    </w:p>
    <w:p w14:paraId="068AEEAA" w14:textId="6B31EF30" w:rsidR="00695D1D" w:rsidRDefault="00695D1D">
      <w:pPr>
        <w:pStyle w:val="ng-binding"/>
        <w:spacing w:after="0"/>
      </w:pPr>
      <w:r>
        <w:rPr>
          <w:rFonts w:ascii="Arial" w:hAnsi="Arial" w:cs="Arial"/>
          <w:color w:val="000000"/>
        </w:rPr>
        <w:t xml:space="preserve">Welsh Government (2019) </w:t>
      </w:r>
      <w:r>
        <w:rPr>
          <w:rFonts w:ascii="Arial" w:hAnsi="Arial" w:cs="Arial"/>
          <w:i/>
          <w:iCs/>
          <w:color w:val="000000"/>
        </w:rPr>
        <w:t>Area of Learning and Experience-Languages, Literacy and Communication.</w:t>
      </w:r>
      <w:r>
        <w:rPr>
          <w:rFonts w:ascii="Arial" w:hAnsi="Arial" w:cs="Arial"/>
          <w:color w:val="000000"/>
        </w:rPr>
        <w:t xml:space="preserve"> Available at:</w:t>
      </w:r>
    </w:p>
    <w:p w14:paraId="1AF2A735" w14:textId="77777777" w:rsidR="00695D1D" w:rsidRDefault="00695D1D">
      <w:pPr>
        <w:pStyle w:val="ng-binding"/>
        <w:spacing w:after="0"/>
      </w:pPr>
      <w:hyperlink r:id="rId6" w:history="1">
        <w:r>
          <w:rPr>
            <w:rStyle w:val="last-name"/>
            <w:rFonts w:ascii="Arial" w:hAnsi="Arial" w:cs="Arial"/>
            <w:color w:val="1155CC"/>
          </w:rPr>
          <w:t>https://hwb.gov.wales/curriculum-for-wales/languages-literacy-and-communication/designing-your-curriculum/</w:t>
        </w:r>
      </w:hyperlink>
      <w:r>
        <w:rPr>
          <w:rFonts w:ascii="Arial" w:hAnsi="Arial" w:cs="Arial"/>
          <w:color w:val="000000"/>
        </w:rPr>
        <w:t xml:space="preserve"> (Accessed: 24th November 2020).</w:t>
      </w:r>
    </w:p>
    <w:p w14:paraId="03CFC6C6" w14:textId="6A055F9D" w:rsidR="00144687" w:rsidRDefault="00695D1D">
      <w:r>
        <w:rPr>
          <w:rFonts w:eastAsia="Times New Roman"/>
        </w:rPr>
        <w:br/>
      </w:r>
      <w:proofErr w:type="spellStart"/>
      <w:r>
        <w:rPr>
          <w:rFonts w:ascii="Arial" w:eastAsia="Times New Roman" w:hAnsi="Arial" w:cs="Arial"/>
          <w:color w:val="000000"/>
        </w:rPr>
        <w:t>Whitehead.M</w:t>
      </w:r>
      <w:proofErr w:type="spellEnd"/>
      <w:r>
        <w:rPr>
          <w:rFonts w:ascii="Arial" w:eastAsia="Times New Roman" w:hAnsi="Arial" w:cs="Arial"/>
          <w:color w:val="000000"/>
        </w:rPr>
        <w:t xml:space="preserve">., (2010). </w:t>
      </w:r>
      <w:r>
        <w:rPr>
          <w:rFonts w:ascii="Arial" w:eastAsia="Times New Roman" w:hAnsi="Arial" w:cs="Arial"/>
          <w:i/>
          <w:iCs/>
          <w:color w:val="000000"/>
        </w:rPr>
        <w:t>Language and literacy in the early years 0-7.</w:t>
      </w:r>
      <w:r>
        <w:rPr>
          <w:rFonts w:ascii="Arial" w:eastAsia="Times New Roman" w:hAnsi="Arial" w:cs="Arial"/>
          <w:color w:val="000000"/>
        </w:rPr>
        <w:t xml:space="preserve"> 4th edition sage publications </w:t>
      </w:r>
      <w:proofErr w:type="spellStart"/>
      <w:r>
        <w:rPr>
          <w:rFonts w:ascii="Arial" w:eastAsia="Times New Roman" w:hAnsi="Arial" w:cs="Arial"/>
          <w:color w:val="000000"/>
        </w:rPr>
        <w:t>pulished</w:t>
      </w:r>
      <w:proofErr w:type="spellEnd"/>
      <w:r>
        <w:rPr>
          <w:rFonts w:ascii="Arial" w:eastAsia="Times New Roman" w:hAnsi="Arial" w:cs="Arial"/>
          <w:color w:val="000000"/>
        </w:rPr>
        <w:t xml:space="preserve"> in thousand oak CA.</w:t>
      </w:r>
    </w:p>
    <w:sectPr w:rsidR="00144687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821A5AA" w14:textId="77777777" w:rsidR="004206AF" w:rsidRDefault="004206AF" w:rsidP="00695D1D">
      <w:pPr>
        <w:spacing w:after="0" w:line="240" w:lineRule="auto"/>
      </w:pPr>
      <w:r>
        <w:separator/>
      </w:r>
    </w:p>
  </w:endnote>
  <w:endnote w:type="continuationSeparator" w:id="0">
    <w:p w14:paraId="78816296" w14:textId="77777777" w:rsidR="004206AF" w:rsidRDefault="004206AF" w:rsidP="00695D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BDB2014" w14:textId="77777777" w:rsidR="004206AF" w:rsidRDefault="004206AF" w:rsidP="00695D1D">
      <w:pPr>
        <w:spacing w:after="0" w:line="240" w:lineRule="auto"/>
      </w:pPr>
      <w:r>
        <w:separator/>
      </w:r>
    </w:p>
  </w:footnote>
  <w:footnote w:type="continuationSeparator" w:id="0">
    <w:p w14:paraId="49C15706" w14:textId="77777777" w:rsidR="004206AF" w:rsidRDefault="004206AF" w:rsidP="00695D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D2723B" w14:textId="29C94CB0" w:rsidR="00695D1D" w:rsidRDefault="00695D1D">
    <w:pPr>
      <w:pStyle w:val="Header"/>
      <w:rPr>
        <w:lang w:val="en-US"/>
      </w:rPr>
    </w:pPr>
    <w:r>
      <w:rPr>
        <w:lang w:val="en-US"/>
      </w:rPr>
      <w:t>Cassie Watkins</w:t>
    </w:r>
  </w:p>
  <w:p w14:paraId="2A8FBB54" w14:textId="78EDD614" w:rsidR="00695D1D" w:rsidRDefault="00695D1D">
    <w:pPr>
      <w:pStyle w:val="Header"/>
    </w:pPr>
    <w:r>
      <w:rPr>
        <w:lang w:val="en-US"/>
      </w:rPr>
      <w:t xml:space="preserve">1907671            </w:t>
    </w:r>
    <w:r w:rsidR="00F215B2">
      <w:rPr>
        <w:lang w:val="en-US"/>
      </w:rPr>
      <w:t xml:space="preserve">                                                                                                                                     </w:t>
    </w:r>
    <w:r>
      <w:rPr>
        <w:lang w:val="en-US"/>
      </w:rPr>
      <w:t xml:space="preserve"> EAEE5004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3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5392"/>
    <w:rsid w:val="00033EA1"/>
    <w:rsid w:val="00144687"/>
    <w:rsid w:val="00387A8B"/>
    <w:rsid w:val="003B3969"/>
    <w:rsid w:val="004206AF"/>
    <w:rsid w:val="004A3409"/>
    <w:rsid w:val="00557044"/>
    <w:rsid w:val="00560877"/>
    <w:rsid w:val="005704D1"/>
    <w:rsid w:val="0068101C"/>
    <w:rsid w:val="00695D1D"/>
    <w:rsid w:val="00855014"/>
    <w:rsid w:val="009330DB"/>
    <w:rsid w:val="00943C47"/>
    <w:rsid w:val="009801E4"/>
    <w:rsid w:val="009B7091"/>
    <w:rsid w:val="00A70673"/>
    <w:rsid w:val="00B250B3"/>
    <w:rsid w:val="00BB2206"/>
    <w:rsid w:val="00C260AD"/>
    <w:rsid w:val="00DB7B99"/>
    <w:rsid w:val="00EA7E58"/>
    <w:rsid w:val="00EE3775"/>
    <w:rsid w:val="00F215B2"/>
    <w:rsid w:val="00F45392"/>
    <w:rsid w:val="00F86034"/>
    <w:rsid w:val="00FF28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2216012"/>
  <w15:chartTrackingRefBased/>
  <w15:docId w15:val="{BB344BD0-1E33-9249-BA02-EBC07C4ECD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4539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4539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g-binding">
    <w:name w:val="ng-binding"/>
    <w:basedOn w:val="DefaultParagraphFont"/>
    <w:rsid w:val="00F45392"/>
  </w:style>
  <w:style w:type="character" w:customStyle="1" w:styleId="last-name">
    <w:name w:val="last-name"/>
    <w:basedOn w:val="DefaultParagraphFont"/>
    <w:rsid w:val="00F45392"/>
  </w:style>
  <w:style w:type="character" w:styleId="Emphasis">
    <w:name w:val="Emphasis"/>
    <w:basedOn w:val="DefaultParagraphFont"/>
    <w:uiPriority w:val="20"/>
    <w:qFormat/>
    <w:rsid w:val="0068101C"/>
    <w:rPr>
      <w:i/>
      <w:iCs/>
    </w:rPr>
  </w:style>
  <w:style w:type="character" w:styleId="Hyperlink">
    <w:name w:val="Hyperlink"/>
    <w:basedOn w:val="DefaultParagraphFont"/>
    <w:uiPriority w:val="99"/>
    <w:unhideWhenUsed/>
    <w:rsid w:val="00EA7E5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A7E58"/>
    <w:rPr>
      <w:color w:val="605E5C"/>
      <w:shd w:val="clear" w:color="auto" w:fill="E1DFDD"/>
    </w:rPr>
  </w:style>
  <w:style w:type="paragraph" w:customStyle="1" w:styleId="mb0">
    <w:name w:val="mb0"/>
    <w:basedOn w:val="Normal"/>
    <w:rsid w:val="0014468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695D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95D1D"/>
  </w:style>
  <w:style w:type="paragraph" w:styleId="Footer">
    <w:name w:val="footer"/>
    <w:basedOn w:val="Normal"/>
    <w:link w:val="FooterChar"/>
    <w:uiPriority w:val="99"/>
    <w:unhideWhenUsed/>
    <w:rsid w:val="00695D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95D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33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679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 /><Relationship Id="rId3" Type="http://schemas.openxmlformats.org/officeDocument/2006/relationships/webSettings" Target="webSettings.xml" /><Relationship Id="rId7" Type="http://schemas.openxmlformats.org/officeDocument/2006/relationships/header" Target="header1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hyperlink" Target="https://hwb.gov.wales/curriculum-for-wales/languages-literacy-and-communication/designing-your-curriculum/" TargetMode="External" /><Relationship Id="rId5" Type="http://schemas.openxmlformats.org/officeDocument/2006/relationships/endnotes" Target="endnotes.xml" /><Relationship Id="rId4" Type="http://schemas.openxmlformats.org/officeDocument/2006/relationships/footnotes" Target="footnotes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404</Words>
  <Characters>2309</Characters>
  <Application>Microsoft Office Word</Application>
  <DocSecurity>0</DocSecurity>
  <Lines>19</Lines>
  <Paragraphs>5</Paragraphs>
  <ScaleCrop>false</ScaleCrop>
  <Company/>
  <LinksUpToDate>false</LinksUpToDate>
  <CharactersWithSpaces>2708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Cassie Watkins</dc:creator>
  <cp:keywords/>
  <dc:description/>
  <cp:lastModifiedBy>Cassie Watkins (1907671)</cp:lastModifiedBy>
  <cp:revision>25</cp:revision>
  <dcterms:created xsi:type="dcterms:W3CDTF">2020-11-21T13:23:00Z</dcterms:created>
  <dcterms:modified xsi:type="dcterms:W3CDTF">2020-11-28T19:49:00Z</dcterms:modified>
</cp:coreProperties>
</file>