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CCCCFF"/>
  <w:body>
    <w:p w:rsidR="00B6470E" w:rsidRPr="00B6470E" w:rsidRDefault="00B6470E" w:rsidP="00B6470E">
      <w:r w:rsidRPr="00B6470E">
        <w:t>Identify the type of trial and the process that need to be followed in this case.</w:t>
      </w:r>
    </w:p>
    <w:p w:rsidR="009A05BE" w:rsidRDefault="009A05BE" w:rsidP="009A05BE">
      <w:r w:rsidRPr="009A05BE">
        <w:t xml:space="preserve">Two of the options in which </w:t>
      </w:r>
      <w:proofErr w:type="spellStart"/>
      <w:r w:rsidRPr="009A05BE">
        <w:t>Lysikles</w:t>
      </w:r>
      <w:proofErr w:type="spellEnd"/>
      <w:r w:rsidRPr="009A05BE">
        <w:t xml:space="preserve"> could take in order to resolve the issue of the stolen lease payment will be addressed. Arbitration of two varieties:</w:t>
      </w:r>
      <w:r>
        <w:t xml:space="preserve"> Public and Private. However, in this scenario before </w:t>
      </w:r>
      <w:proofErr w:type="spellStart"/>
      <w:r>
        <w:t>Lysikles</w:t>
      </w:r>
      <w:proofErr w:type="spellEnd"/>
      <w:r>
        <w:t xml:space="preserve"> can bring the man to trial he must pay the debt which he owes to the state. This is </w:t>
      </w:r>
      <w:r w:rsidR="00D94CBB">
        <w:t>due to “</w:t>
      </w:r>
      <w:proofErr w:type="spellStart"/>
      <w:r w:rsidR="00D94CBB">
        <w:t>Atimia</w:t>
      </w:r>
      <w:proofErr w:type="spellEnd"/>
      <w:r w:rsidR="00D94CBB">
        <w:t>” where a person would lose their rights to citizenship, this loss of rights would also include the right to bring trial against another or appear as a witness.</w:t>
      </w:r>
      <w:r w:rsidR="00180190">
        <w:rPr>
          <w:vertAlign w:val="superscript"/>
        </w:rPr>
        <w:t>[</w:t>
      </w:r>
      <w:r w:rsidR="00D94CBB">
        <w:rPr>
          <w:rStyle w:val="FootnoteReference"/>
        </w:rPr>
        <w:footnoteReference w:id="1"/>
      </w:r>
      <w:r w:rsidR="00180190">
        <w:rPr>
          <w:vertAlign w:val="superscript"/>
        </w:rPr>
        <w:t>]</w:t>
      </w:r>
      <w:r w:rsidR="00266618">
        <w:t xml:space="preserve"> </w:t>
      </w:r>
    </w:p>
    <w:p w:rsidR="00531DD1" w:rsidRDefault="00531DD1" w:rsidP="009A05BE">
      <w:r>
        <w:t>In regards to public arbitration, two men could agree to have the issue dealt with by a third party, this person would need to be agreed on by both participants in order to make sure a person who held no bias towards one was the one making the ruling decision.</w:t>
      </w:r>
      <w:r w:rsidR="00180190">
        <w:rPr>
          <w:vertAlign w:val="superscript"/>
        </w:rPr>
        <w:t>[</w:t>
      </w:r>
      <w:r>
        <w:rPr>
          <w:rStyle w:val="FootnoteReference"/>
        </w:rPr>
        <w:footnoteReference w:id="2"/>
      </w:r>
      <w:r w:rsidR="00180190">
        <w:rPr>
          <w:vertAlign w:val="superscript"/>
        </w:rPr>
        <w:t>]</w:t>
      </w:r>
      <w:r>
        <w:t xml:space="preserve"> Once a decision is reached it is final a</w:t>
      </w:r>
      <w:r w:rsidR="009A3672">
        <w:t>nd there is no r</w:t>
      </w:r>
      <w:r w:rsidR="00D967E2">
        <w:t xml:space="preserve">ight to appeal this is illustrated in Menander’s Epitrepontes where the arbitrator asks “Will you abide by my decision?” and </w:t>
      </w:r>
      <w:proofErr w:type="spellStart"/>
      <w:r w:rsidR="00D967E2">
        <w:t>Syrikos</w:t>
      </w:r>
      <w:proofErr w:type="spellEnd"/>
      <w:r w:rsidR="00D967E2">
        <w:t xml:space="preserve"> responds “Yes.” before the arbitrator has listened to the case at hand.</w:t>
      </w:r>
      <w:r w:rsidR="00180190">
        <w:rPr>
          <w:vertAlign w:val="superscript"/>
        </w:rPr>
        <w:t>[</w:t>
      </w:r>
      <w:r w:rsidR="00D967E2">
        <w:rPr>
          <w:rStyle w:val="FootnoteReference"/>
        </w:rPr>
        <w:footnoteReference w:id="3"/>
      </w:r>
      <w:r w:rsidR="00180190">
        <w:rPr>
          <w:vertAlign w:val="superscript"/>
        </w:rPr>
        <w:t>]</w:t>
      </w:r>
      <w:r w:rsidR="00347837">
        <w:t xml:space="preserve"> Whilst this type of trial is a quick and useful way in order to resolve issues between two parties, the lack of ability for appeal seems its downfall. This is due to the subjective nature of the arbitrator decision and different arbitrators would come to multiple different decisions and the inability to argue against said decision even if it is </w:t>
      </w:r>
      <w:r w:rsidR="007A2F15">
        <w:t>an “outrageous verdict”.</w:t>
      </w:r>
      <w:r w:rsidR="00180190">
        <w:rPr>
          <w:vertAlign w:val="superscript"/>
        </w:rPr>
        <w:t>[</w:t>
      </w:r>
      <w:r w:rsidR="007A2F15">
        <w:rPr>
          <w:rStyle w:val="FootnoteReference"/>
        </w:rPr>
        <w:footnoteReference w:id="4"/>
      </w:r>
      <w:r w:rsidR="00180190">
        <w:rPr>
          <w:vertAlign w:val="superscript"/>
        </w:rPr>
        <w:t>]</w:t>
      </w:r>
      <w:r w:rsidR="007A2F15">
        <w:t xml:space="preserve"> Though as both men must agree to the arbitrator who is picked, it makes this process slightly more fair as they have the right to pick another.</w:t>
      </w:r>
      <w:r w:rsidR="00180190">
        <w:rPr>
          <w:vertAlign w:val="superscript"/>
        </w:rPr>
        <w:t>[</w:t>
      </w:r>
      <w:r w:rsidR="007A2F15">
        <w:rPr>
          <w:rStyle w:val="FootnoteReference"/>
        </w:rPr>
        <w:footnoteReference w:id="5"/>
      </w:r>
      <w:r w:rsidR="00180190">
        <w:rPr>
          <w:vertAlign w:val="superscript"/>
        </w:rPr>
        <w:t>]</w:t>
      </w:r>
    </w:p>
    <w:p w:rsidR="00266618" w:rsidRDefault="007A2F15" w:rsidP="009A05BE">
      <w:pPr>
        <w:rPr>
          <w:vertAlign w:val="superscript"/>
        </w:rPr>
      </w:pPr>
      <w:r>
        <w:t xml:space="preserve">Whilst in public arbitration the arbitrator is an Athenian citizen </w:t>
      </w:r>
      <w:r w:rsidR="00180190">
        <w:t>who had no specialist abilities or training, this is shown further in Demosthenes where it is stated that the arbitrator was “</w:t>
      </w:r>
      <w:r w:rsidR="00180190" w:rsidRPr="00180190">
        <w:t>a poor man, who took no interest in public affairs, but in other respects not</w:t>
      </w:r>
      <w:r w:rsidR="00180190">
        <w:t xml:space="preserve"> bad, in fact very respectable.”</w:t>
      </w:r>
      <w:r w:rsidR="00180190">
        <w:rPr>
          <w:vertAlign w:val="superscript"/>
        </w:rPr>
        <w:t>[</w:t>
      </w:r>
      <w:r w:rsidR="00180190">
        <w:rPr>
          <w:rStyle w:val="FootnoteReference"/>
        </w:rPr>
        <w:footnoteReference w:id="6"/>
      </w:r>
      <w:r w:rsidR="00180190">
        <w:rPr>
          <w:vertAlign w:val="superscript"/>
        </w:rPr>
        <w:t>][</w:t>
      </w:r>
      <w:r w:rsidR="00180190">
        <w:rPr>
          <w:rStyle w:val="FootnoteReference"/>
        </w:rPr>
        <w:footnoteReference w:id="7"/>
      </w:r>
      <w:r w:rsidR="00180190">
        <w:rPr>
          <w:vertAlign w:val="superscript"/>
        </w:rPr>
        <w:t xml:space="preserve">] </w:t>
      </w:r>
      <w:r w:rsidR="00180190">
        <w:t xml:space="preserve">The role of arbitrator was to try and form a resolution between the two parties and if this was not something which could be achieved then the judgement would occur on the next day. </w:t>
      </w:r>
      <w:r w:rsidR="00180190">
        <w:rPr>
          <w:vertAlign w:val="superscript"/>
        </w:rPr>
        <w:t>[</w:t>
      </w:r>
      <w:r w:rsidR="00180190">
        <w:rPr>
          <w:rStyle w:val="FootnoteReference"/>
        </w:rPr>
        <w:footnoteReference w:id="8"/>
      </w:r>
      <w:r w:rsidR="00180190">
        <w:rPr>
          <w:vertAlign w:val="superscript"/>
        </w:rPr>
        <w:t xml:space="preserve">] </w:t>
      </w:r>
      <w:r w:rsidR="00A03383">
        <w:rPr>
          <w:vertAlign w:val="superscript"/>
        </w:rPr>
        <w:t xml:space="preserve"> </w:t>
      </w:r>
      <w:r w:rsidR="00A03383">
        <w:t>Unlike in private trials, either party could appeal against a decision made if they disagreed with it, in this situation the trial would be taken before four judges.</w:t>
      </w:r>
      <w:r w:rsidR="00A03383">
        <w:rPr>
          <w:vertAlign w:val="superscript"/>
        </w:rPr>
        <w:t>[</w:t>
      </w:r>
      <w:r w:rsidR="00A03383">
        <w:rPr>
          <w:rStyle w:val="FootnoteReference"/>
        </w:rPr>
        <w:footnoteReference w:id="9"/>
      </w:r>
      <w:r w:rsidR="00A03383">
        <w:rPr>
          <w:vertAlign w:val="superscript"/>
        </w:rPr>
        <w:t xml:space="preserve">] </w:t>
      </w:r>
    </w:p>
    <w:p w:rsidR="00A03383" w:rsidRDefault="00A03383" w:rsidP="009A05BE">
      <w:r>
        <w:t xml:space="preserve">In this scenario, </w:t>
      </w:r>
      <w:proofErr w:type="gramStart"/>
      <w:r>
        <w:t>It</w:t>
      </w:r>
      <w:proofErr w:type="gramEnd"/>
      <w:r>
        <w:t xml:space="preserve"> is better for </w:t>
      </w:r>
      <w:proofErr w:type="spellStart"/>
      <w:r>
        <w:t>Lysikles</w:t>
      </w:r>
      <w:proofErr w:type="spellEnd"/>
      <w:r>
        <w:t xml:space="preserve"> to go for a public arbitration due to the ability to appeal against a decision and not being stuck with the result of a private arbitration</w:t>
      </w:r>
      <w:r w:rsidR="00B6470E">
        <w:t xml:space="preserve"> and it may also be difficult for both men to find a third party who they agree is impartial and not bias towards one or the other. This is all assuming that </w:t>
      </w:r>
      <w:proofErr w:type="spellStart"/>
      <w:r w:rsidR="00B6470E">
        <w:t>Lyskiles</w:t>
      </w:r>
      <w:proofErr w:type="spellEnd"/>
      <w:r w:rsidR="00B6470E">
        <w:t xml:space="preserve"> first manages to pay his debt.</w:t>
      </w:r>
    </w:p>
    <w:p w:rsidR="00B6470E" w:rsidRDefault="00B6470E" w:rsidP="009A05BE"/>
    <w:p w:rsidR="00B6470E" w:rsidRDefault="00B6470E" w:rsidP="009A05BE"/>
    <w:p w:rsidR="00B6470E" w:rsidRDefault="00B6470E" w:rsidP="009A05BE"/>
    <w:p w:rsidR="00B6470E" w:rsidRDefault="00B6470E" w:rsidP="009A05BE"/>
    <w:p w:rsidR="00B6470E" w:rsidRDefault="00B6470E" w:rsidP="009A05BE"/>
    <w:p w:rsidR="00B6470E" w:rsidRDefault="00B6470E" w:rsidP="009A05BE">
      <w:pPr>
        <w:rPr>
          <w:sz w:val="32"/>
          <w:u w:val="single"/>
        </w:rPr>
      </w:pPr>
      <w:r w:rsidRPr="00B6470E">
        <w:rPr>
          <w:sz w:val="32"/>
          <w:u w:val="single"/>
        </w:rPr>
        <w:lastRenderedPageBreak/>
        <w:t xml:space="preserve">Bibliography </w:t>
      </w:r>
    </w:p>
    <w:p w:rsidR="00B6470E" w:rsidRDefault="00B6470E" w:rsidP="009A05BE">
      <w:r>
        <w:rPr>
          <w:u w:val="single"/>
        </w:rPr>
        <w:t>Ancient Sources:</w:t>
      </w:r>
    </w:p>
    <w:p w:rsidR="00B6470E" w:rsidRDefault="00B6470E" w:rsidP="009A05BE">
      <w:r>
        <w:t>Demosthenes, 33</w:t>
      </w:r>
      <w:r w:rsidR="0072705A">
        <w:t>, 14-19</w:t>
      </w:r>
    </w:p>
    <w:p w:rsidR="00B6470E" w:rsidRDefault="00B6470E" w:rsidP="00B6470E">
      <w:r>
        <w:t xml:space="preserve">Menander, Volume 1, </w:t>
      </w:r>
      <w:r w:rsidRPr="00B6470E">
        <w:t>Epitrepontes</w:t>
      </w:r>
      <w:r>
        <w:t xml:space="preserve"> </w:t>
      </w:r>
      <w:r w:rsidR="0072705A">
        <w:t>238-239 373</w:t>
      </w:r>
    </w:p>
    <w:p w:rsidR="0072705A" w:rsidRDefault="0072705A" w:rsidP="00B6470E"/>
    <w:p w:rsidR="0072705A" w:rsidRDefault="0072705A" w:rsidP="00B6470E">
      <w:pPr>
        <w:rPr>
          <w:u w:val="single"/>
        </w:rPr>
      </w:pPr>
      <w:r w:rsidRPr="0072705A">
        <w:rPr>
          <w:u w:val="single"/>
        </w:rPr>
        <w:t>Modern Sources</w:t>
      </w:r>
    </w:p>
    <w:p w:rsidR="0072705A" w:rsidRDefault="0072705A" w:rsidP="00B6470E">
      <w:r w:rsidRPr="0072705A">
        <w:t>MacDowell D. M. (1978) The law in classical Athens London: Thames and Hudson LTD.</w:t>
      </w:r>
      <w:r>
        <w:t xml:space="preserve"> 203 208 </w:t>
      </w:r>
    </w:p>
    <w:p w:rsidR="0072705A" w:rsidRDefault="0072705A" w:rsidP="00B6470E">
      <w:r w:rsidRPr="0072705A">
        <w:t xml:space="preserve">Todd, S. C. (1995) The shape of Athenian </w:t>
      </w:r>
      <w:proofErr w:type="gramStart"/>
      <w:r w:rsidRPr="0072705A">
        <w:t>law</w:t>
      </w:r>
      <w:proofErr w:type="gramEnd"/>
      <w:r w:rsidRPr="0072705A">
        <w:t xml:space="preserve"> United States: Oxford University Press Inc. Page: 142-143</w:t>
      </w:r>
    </w:p>
    <w:p w:rsidR="0072705A" w:rsidRPr="0072705A" w:rsidRDefault="0072705A" w:rsidP="00B6470E"/>
    <w:p w:rsidR="0072705A" w:rsidRPr="0072705A" w:rsidRDefault="0072705A" w:rsidP="00B6470E"/>
    <w:p w:rsidR="00B6470E" w:rsidRDefault="00B6470E" w:rsidP="009A05BE">
      <w:bookmarkStart w:id="0" w:name="_GoBack"/>
      <w:bookmarkEnd w:id="0"/>
      <w:r>
        <w:t>Word Count (Excluding Title and Bibliography): 550</w:t>
      </w:r>
    </w:p>
    <w:p w:rsidR="00B6470E" w:rsidRPr="00A03383" w:rsidRDefault="00B6470E" w:rsidP="009A05BE">
      <w:r>
        <w:t xml:space="preserve">Word Count (Total): </w:t>
      </w:r>
      <w:r w:rsidR="0072705A">
        <w:t>624</w:t>
      </w:r>
    </w:p>
    <w:sectPr w:rsidR="00B6470E" w:rsidRPr="00A033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28BE" w:rsidRDefault="007F28BE" w:rsidP="00D94CBB">
      <w:pPr>
        <w:spacing w:after="0" w:line="240" w:lineRule="auto"/>
      </w:pPr>
      <w:r>
        <w:separator/>
      </w:r>
    </w:p>
  </w:endnote>
  <w:endnote w:type="continuationSeparator" w:id="0">
    <w:p w:rsidR="007F28BE" w:rsidRDefault="007F28BE" w:rsidP="00D94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28BE" w:rsidRDefault="007F28BE" w:rsidP="00D94CBB">
      <w:pPr>
        <w:spacing w:after="0" w:line="240" w:lineRule="auto"/>
      </w:pPr>
      <w:r>
        <w:separator/>
      </w:r>
    </w:p>
  </w:footnote>
  <w:footnote w:type="continuationSeparator" w:id="0">
    <w:p w:rsidR="007F28BE" w:rsidRDefault="007F28BE" w:rsidP="00D94CBB">
      <w:pPr>
        <w:spacing w:after="0" w:line="240" w:lineRule="auto"/>
      </w:pPr>
      <w:r>
        <w:continuationSeparator/>
      </w:r>
    </w:p>
  </w:footnote>
  <w:footnote w:id="1">
    <w:p w:rsidR="00D94CBB" w:rsidRPr="00266618" w:rsidRDefault="00D94CBB">
      <w:pPr>
        <w:pStyle w:val="FootnoteText"/>
      </w:pPr>
      <w:r>
        <w:rPr>
          <w:rStyle w:val="FootnoteReference"/>
        </w:rPr>
        <w:footnoteRef/>
      </w:r>
      <w:r>
        <w:t xml:space="preserve"> Todd, S. C. (1995) </w:t>
      </w:r>
      <w:r w:rsidR="00266618">
        <w:rPr>
          <w:i/>
        </w:rPr>
        <w:t xml:space="preserve">The shape of Athenian </w:t>
      </w:r>
      <w:proofErr w:type="gramStart"/>
      <w:r w:rsidR="00266618">
        <w:rPr>
          <w:i/>
        </w:rPr>
        <w:t>law</w:t>
      </w:r>
      <w:proofErr w:type="gramEnd"/>
      <w:r w:rsidR="00266618">
        <w:rPr>
          <w:i/>
        </w:rPr>
        <w:t xml:space="preserve"> </w:t>
      </w:r>
      <w:r w:rsidR="00266618">
        <w:t>United States: Oxford University Press Inc. Page: 142-143</w:t>
      </w:r>
    </w:p>
  </w:footnote>
  <w:footnote w:id="2">
    <w:p w:rsidR="00531DD1" w:rsidRPr="002356A2" w:rsidRDefault="00531DD1">
      <w:pPr>
        <w:pStyle w:val="FootnoteText"/>
      </w:pPr>
      <w:r>
        <w:rPr>
          <w:rStyle w:val="FootnoteReference"/>
        </w:rPr>
        <w:footnoteRef/>
      </w:r>
      <w:r>
        <w:t xml:space="preserve"> MacDowell D. M. (</w:t>
      </w:r>
      <w:r w:rsidR="002356A2">
        <w:t xml:space="preserve">1978) </w:t>
      </w:r>
      <w:r w:rsidR="002356A2">
        <w:rPr>
          <w:i/>
        </w:rPr>
        <w:t xml:space="preserve">The law in classical Athens </w:t>
      </w:r>
      <w:r w:rsidR="002356A2">
        <w:t>London: Thames and Hudson LTD.  Page: 203</w:t>
      </w:r>
    </w:p>
  </w:footnote>
  <w:footnote w:id="3">
    <w:p w:rsidR="00D967E2" w:rsidRDefault="00D967E2">
      <w:pPr>
        <w:pStyle w:val="FootnoteText"/>
      </w:pPr>
      <w:r>
        <w:rPr>
          <w:rStyle w:val="FootnoteReference"/>
        </w:rPr>
        <w:footnoteRef/>
      </w:r>
      <w:r>
        <w:t xml:space="preserve"> Men. </w:t>
      </w:r>
      <w:proofErr w:type="spellStart"/>
      <w:r>
        <w:t>Epit</w:t>
      </w:r>
      <w:proofErr w:type="spellEnd"/>
      <w:r>
        <w:t>. 1.</w:t>
      </w:r>
      <w:r w:rsidR="009A0656">
        <w:t xml:space="preserve"> 238-239</w:t>
      </w:r>
    </w:p>
  </w:footnote>
  <w:footnote w:id="4">
    <w:p w:rsidR="007A2F15" w:rsidRDefault="007A2F15">
      <w:pPr>
        <w:pStyle w:val="FootnoteText"/>
      </w:pPr>
      <w:r>
        <w:rPr>
          <w:rStyle w:val="FootnoteReference"/>
        </w:rPr>
        <w:footnoteRef/>
      </w:r>
      <w:r>
        <w:t xml:space="preserve"> Men. </w:t>
      </w:r>
      <w:proofErr w:type="spellStart"/>
      <w:r>
        <w:t>Epit</w:t>
      </w:r>
      <w:proofErr w:type="spellEnd"/>
      <w:r>
        <w:t>. 1. 373</w:t>
      </w:r>
    </w:p>
  </w:footnote>
  <w:footnote w:id="5">
    <w:p w:rsidR="007A2F15" w:rsidRDefault="007A2F15">
      <w:pPr>
        <w:pStyle w:val="FootnoteText"/>
      </w:pPr>
      <w:r>
        <w:rPr>
          <w:rStyle w:val="FootnoteReference"/>
        </w:rPr>
        <w:footnoteRef/>
      </w:r>
      <w:r>
        <w:t xml:space="preserve"> </w:t>
      </w:r>
      <w:r w:rsidRPr="007A2F15">
        <w:t>The law in classical Athens London</w:t>
      </w:r>
      <w:r w:rsidR="00B6470E">
        <w:t xml:space="preserve"> </w:t>
      </w:r>
      <w:r w:rsidRPr="007A2F15">
        <w:t>Page: 203</w:t>
      </w:r>
    </w:p>
  </w:footnote>
  <w:footnote w:id="6">
    <w:p w:rsidR="00180190" w:rsidRDefault="00180190">
      <w:pPr>
        <w:pStyle w:val="FootnoteText"/>
      </w:pPr>
      <w:r>
        <w:rPr>
          <w:rStyle w:val="FootnoteReference"/>
        </w:rPr>
        <w:footnoteRef/>
      </w:r>
      <w:r>
        <w:t xml:space="preserve"> </w:t>
      </w:r>
      <w:r w:rsidRPr="00180190">
        <w:t>law in</w:t>
      </w:r>
      <w:r w:rsidR="00B6470E">
        <w:t xml:space="preserve"> classical Athens London </w:t>
      </w:r>
      <w:r>
        <w:t>Page: 208</w:t>
      </w:r>
    </w:p>
  </w:footnote>
  <w:footnote w:id="7">
    <w:p w:rsidR="00180190" w:rsidRDefault="00180190">
      <w:pPr>
        <w:pStyle w:val="FootnoteText"/>
      </w:pPr>
      <w:r>
        <w:rPr>
          <w:rStyle w:val="FootnoteReference"/>
        </w:rPr>
        <w:footnoteRef/>
      </w:r>
      <w:r>
        <w:t xml:space="preserve"> Dem. 33. 14-19</w:t>
      </w:r>
    </w:p>
  </w:footnote>
  <w:footnote w:id="8">
    <w:p w:rsidR="00180190" w:rsidRDefault="00180190">
      <w:pPr>
        <w:pStyle w:val="FootnoteText"/>
      </w:pPr>
      <w:r>
        <w:rPr>
          <w:rStyle w:val="FootnoteReference"/>
        </w:rPr>
        <w:footnoteRef/>
      </w:r>
      <w:r>
        <w:t xml:space="preserve"> </w:t>
      </w:r>
      <w:r w:rsidRPr="00180190">
        <w:t>The law in classical Athens London: Thames and Hudson LTD.  Page: 208</w:t>
      </w:r>
    </w:p>
  </w:footnote>
  <w:footnote w:id="9">
    <w:p w:rsidR="00B6470E" w:rsidRDefault="00A03383">
      <w:pPr>
        <w:pStyle w:val="FootnoteText"/>
      </w:pPr>
      <w:r>
        <w:rPr>
          <w:rStyle w:val="FootnoteReference"/>
        </w:rPr>
        <w:footnoteRef/>
      </w:r>
      <w:r>
        <w:t xml:space="preserve"> </w:t>
      </w:r>
      <w:r w:rsidRPr="00A03383">
        <w:t>The law in classical Athens London: Thames and Hudson LTD.  Page: 208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5BE"/>
    <w:rsid w:val="00180190"/>
    <w:rsid w:val="002356A2"/>
    <w:rsid w:val="00266618"/>
    <w:rsid w:val="00347837"/>
    <w:rsid w:val="00531DD1"/>
    <w:rsid w:val="0072705A"/>
    <w:rsid w:val="007A2F15"/>
    <w:rsid w:val="007F28BE"/>
    <w:rsid w:val="009A05BE"/>
    <w:rsid w:val="009A0656"/>
    <w:rsid w:val="009A3672"/>
    <w:rsid w:val="00A03383"/>
    <w:rsid w:val="00B6470E"/>
    <w:rsid w:val="00D94CBB"/>
    <w:rsid w:val="00D9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D0E48"/>
  <w15:chartTrackingRefBased/>
  <w15:docId w15:val="{3048CE6D-7D0B-421C-9A50-DB08F90AB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4C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CBB"/>
    <w:rPr>
      <w:sz w:val="20"/>
      <w:szCs w:val="20"/>
    </w:rPr>
  </w:style>
  <w:style w:type="character" w:styleId="FootnoteReference">
    <w:name w:val="footnote reference"/>
    <w:basedOn w:val="DefaultParagraphFont"/>
    <w:uiPriority w:val="99"/>
    <w:semiHidden/>
    <w:unhideWhenUsed/>
    <w:rsid w:val="00D94CB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2</Pages>
  <Words>514</Words>
  <Characters>2536</Characters>
  <Application>Microsoft Office Word</Application>
  <DocSecurity>0</DocSecurity>
  <Lines>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5</cp:revision>
  <dcterms:created xsi:type="dcterms:W3CDTF">2018-09-30T16:45:00Z</dcterms:created>
  <dcterms:modified xsi:type="dcterms:W3CDTF">2018-09-30T19:25:00Z</dcterms:modified>
</cp:coreProperties>
</file>