
<file path=[Content_Types].xml><?xml version="1.0" encoding="utf-8"?>
<Types xmlns="http://schemas.openxmlformats.org/package/2006/content-types">
  <Default ContentType="image/jpeg" Extension="jpg"/>
  <Default ContentType="image/gif" Extension="gif"/>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before="600" w:lineRule="auto"/>
        <w:jc w:val="center"/>
        <w:rPr>
          <w:sz w:val="32"/>
          <w:szCs w:val="32"/>
        </w:rPr>
      </w:pPr>
      <w:r w:rsidDel="00000000" w:rsidR="00000000" w:rsidRPr="00000000">
        <w:rPr>
          <w:b w:val="1"/>
          <w:bCs w:val="1"/>
          <w:sz w:val="32"/>
          <w:szCs w:val="32"/>
          <w:rtl w:val="0"/>
        </w:rPr>
        <w:t xml:space="preserve">LEVEL 7 ASSESSMENT</w:t>
        <w:br w:type="textWrapping"/>
        <w:t xml:space="preserve">INFORMATION BOOKLET</w:t>
      </w:r>
      <w:r w:rsidDel="00000000" w:rsidR="00000000" w:rsidRPr="00000000">
        <w:rPr>
          <w:rtl w:val="0"/>
        </w:rPr>
      </w:r>
    </w:p>
    <w:p w:rsidR="00000000" w:rsidDel="00000000" w:rsidP="00000000" w:rsidRDefault="00000000" w:rsidRPr="00000000" w14:paraId="00000002">
      <w:pPr>
        <w:spacing w:before="500" w:lineRule="auto"/>
        <w:jc w:val="center"/>
        <w:rPr>
          <w:sz w:val="32"/>
          <w:szCs w:val="32"/>
        </w:rPr>
      </w:pPr>
      <w:r w:rsidDel="00000000" w:rsidR="00000000" w:rsidRPr="00000000">
        <w:rPr>
          <w:b w:val="1"/>
          <w:bCs w:val="1"/>
          <w:sz w:val="32"/>
          <w:szCs w:val="32"/>
          <w:rtl w:val="0"/>
        </w:rPr>
        <w:t xml:space="preserve">RHEUMATOID ARTHRITIS</w:t>
      </w:r>
      <w:r w:rsidDel="00000000" w:rsidR="00000000" w:rsidRPr="00000000">
        <w:rPr>
          <w:rtl w:val="0"/>
        </w:rPr>
      </w:r>
    </w:p>
    <w:p w:rsidR="00000000" w:rsidDel="00000000" w:rsidP="00000000" w:rsidRDefault="00000000" w:rsidRPr="00000000" w14:paraId="00000003">
      <w:pPr>
        <w:spacing w:after="440" w:lineRule="auto"/>
        <w:jc w:val="center"/>
        <w:rPr>
          <w:sz w:val="32"/>
          <w:szCs w:val="32"/>
        </w:rPr>
      </w:pPr>
      <w:r w:rsidDel="00000000" w:rsidR="00000000" w:rsidRPr="00000000">
        <w:rPr>
          <w:b w:val="1"/>
          <w:bCs w:val="1"/>
          <w:sz w:val="32"/>
          <w:szCs w:val="32"/>
          <w:rtl w:val="0"/>
        </w:rPr>
        <w:t xml:space="preserve">A Whole-Person Approach to Long-Term Condition Management in the UK  </w:t>
      </w:r>
      <w:r w:rsidDel="00000000" w:rsidR="00000000" w:rsidRPr="00000000">
        <w:rPr>
          <w:rtl w:val="0"/>
        </w:rPr>
      </w:r>
    </w:p>
    <w:tbl>
      <w:tblPr>
        <w:tblStyle w:val="Table1"/>
        <w:tblW w:w="9242.0" w:type="dxa"/>
        <w:jc w:val="left"/>
        <w:tblInd w:w="-108.0" w:type="dxa"/>
        <w:tblBorders>
          <w:top w:color="fabf8f" w:space="0" w:sz="4" w:val="single"/>
          <w:bottom w:color="fabf8f" w:space="0" w:sz="4" w:val="single"/>
          <w:insideH w:color="fabf8f" w:space="0" w:sz="4" w:val="single"/>
          <w:insideV w:color="fabf8f" w:space="0" w:sz="4" w:val="single"/>
        </w:tblBorders>
        <w:tblLayout w:type="fixed"/>
        <w:tblLook w:val="04A0"/>
      </w:tblPr>
      <w:tblGrid>
        <w:gridCol w:w="4622"/>
        <w:gridCol w:w="4620"/>
        <w:tblGridChange w:id="0">
          <w:tblGrid>
            <w:gridCol w:w="4622"/>
            <w:gridCol w:w="4620"/>
          </w:tblGrid>
        </w:tblGridChange>
      </w:tblGrid>
      <w:tr>
        <w:trPr>
          <w:cantSplit w:val="0"/>
          <w:tblHeader w:val="0"/>
        </w:trPr>
        <w:tc>
          <w:tcPr/>
          <w:p w:rsidR="00000000" w:rsidDel="00000000" w:rsidP="00000000" w:rsidRDefault="00000000" w:rsidRPr="00000000" w14:paraId="00000004">
            <w:pPr>
              <w:spacing w:after="20" w:lineRule="auto"/>
              <w:rPr/>
            </w:pPr>
            <w:r w:rsidDel="00000000" w:rsidR="00000000" w:rsidRPr="00000000">
              <w:rPr>
                <w:color w:val="000000"/>
                <w:rtl w:val="0"/>
              </w:rPr>
              <w:t xml:space="preserve">Programme</w:t>
            </w:r>
            <w:r w:rsidDel="00000000" w:rsidR="00000000" w:rsidRPr="00000000">
              <w:rPr>
                <w:rtl w:val="0"/>
              </w:rPr>
            </w:r>
          </w:p>
        </w:tc>
        <w:tc>
          <w:tcPr/>
          <w:p w:rsidR="00000000" w:rsidDel="00000000" w:rsidP="00000000" w:rsidRDefault="00000000" w:rsidRPr="00000000" w14:paraId="00000005">
            <w:pPr>
              <w:spacing w:after="20" w:lineRule="auto"/>
              <w:rPr/>
            </w:pPr>
            <w:r w:rsidDel="00000000" w:rsidR="00000000" w:rsidRPr="00000000">
              <w:rPr>
                <w:b w:val="0"/>
                <w:bCs w:val="0"/>
                <w:color w:val="000000"/>
                <w:rtl w:val="0"/>
              </w:rPr>
              <w:t xml:space="preserve">MSc Public Health and Social Care in Practice</w:t>
            </w:r>
            <w:r w:rsidDel="00000000" w:rsidR="00000000" w:rsidRPr="00000000">
              <w:rPr>
                <w:rtl w:val="0"/>
              </w:rPr>
            </w:r>
          </w:p>
        </w:tc>
      </w:tr>
      <w:tr>
        <w:trPr>
          <w:cantSplit w:val="0"/>
          <w:tblHeader w:val="0"/>
        </w:trPr>
        <w:tc>
          <w:tcPr/>
          <w:p w:rsidR="00000000" w:rsidDel="00000000" w:rsidP="00000000" w:rsidRDefault="00000000" w:rsidRPr="00000000" w14:paraId="00000006">
            <w:pPr>
              <w:spacing w:after="20" w:lineRule="auto"/>
              <w:rPr/>
            </w:pPr>
            <w:r w:rsidDel="00000000" w:rsidR="00000000" w:rsidRPr="00000000">
              <w:rPr>
                <w:color w:val="000000"/>
                <w:rtl w:val="0"/>
              </w:rPr>
              <w:t xml:space="preserve">Module</w:t>
            </w:r>
            <w:r w:rsidDel="00000000" w:rsidR="00000000" w:rsidRPr="00000000">
              <w:rPr>
                <w:rtl w:val="0"/>
              </w:rPr>
            </w:r>
          </w:p>
        </w:tc>
        <w:tc>
          <w:tcPr/>
          <w:p w:rsidR="00000000" w:rsidDel="00000000" w:rsidP="00000000" w:rsidRDefault="00000000" w:rsidRPr="00000000" w14:paraId="00000007">
            <w:pPr>
              <w:spacing w:after="20" w:lineRule="auto"/>
              <w:rPr/>
            </w:pPr>
            <w:r w:rsidDel="00000000" w:rsidR="00000000" w:rsidRPr="00000000">
              <w:rPr>
                <w:color w:val="000000"/>
                <w:rtl w:val="0"/>
              </w:rPr>
              <w:t xml:space="preserve">LCHS7003 - Community Care and Management of Longer-term Conditions</w:t>
            </w:r>
            <w:r w:rsidDel="00000000" w:rsidR="00000000" w:rsidRPr="00000000">
              <w:rPr>
                <w:rtl w:val="0"/>
              </w:rPr>
            </w:r>
          </w:p>
        </w:tc>
      </w:tr>
      <w:tr>
        <w:trPr>
          <w:cantSplit w:val="0"/>
          <w:tblHeader w:val="0"/>
        </w:trPr>
        <w:tc>
          <w:tcPr/>
          <w:p w:rsidR="00000000" w:rsidDel="00000000" w:rsidP="00000000" w:rsidRDefault="00000000" w:rsidRPr="00000000" w14:paraId="00000008">
            <w:pPr>
              <w:spacing w:after="20" w:lineRule="auto"/>
              <w:rPr/>
            </w:pPr>
            <w:r w:rsidDel="00000000" w:rsidR="00000000" w:rsidRPr="00000000">
              <w:rPr>
                <w:color w:val="000000"/>
                <w:rtl w:val="0"/>
              </w:rPr>
              <w:t xml:space="preserve">Assessment</w:t>
            </w:r>
            <w:r w:rsidDel="00000000" w:rsidR="00000000" w:rsidRPr="00000000">
              <w:rPr>
                <w:rtl w:val="0"/>
              </w:rPr>
            </w:r>
          </w:p>
        </w:tc>
        <w:tc>
          <w:tcPr/>
          <w:p w:rsidR="00000000" w:rsidDel="00000000" w:rsidP="00000000" w:rsidRDefault="00000000" w:rsidRPr="00000000" w14:paraId="00000009">
            <w:pPr>
              <w:spacing w:after="20" w:lineRule="auto"/>
              <w:rPr/>
            </w:pPr>
            <w:r w:rsidDel="00000000" w:rsidR="00000000" w:rsidRPr="00000000">
              <w:rPr>
                <w:color w:val="000000"/>
                <w:rtl w:val="0"/>
              </w:rPr>
              <w:t xml:space="preserve">Component 1 - Information Booklet of Long-term Condition Management</w:t>
            </w:r>
            <w:r w:rsidDel="00000000" w:rsidR="00000000" w:rsidRPr="00000000">
              <w:rPr>
                <w:rtl w:val="0"/>
              </w:rPr>
            </w:r>
          </w:p>
        </w:tc>
      </w:tr>
      <w:tr>
        <w:trPr>
          <w:cantSplit w:val="0"/>
          <w:tblHeader w:val="0"/>
        </w:trPr>
        <w:tc>
          <w:tcPr/>
          <w:p w:rsidR="00000000" w:rsidDel="00000000" w:rsidP="00000000" w:rsidRDefault="00000000" w:rsidRPr="00000000" w14:paraId="0000000A">
            <w:pPr>
              <w:spacing w:after="20" w:lineRule="auto"/>
              <w:rPr/>
            </w:pPr>
            <w:r w:rsidDel="00000000" w:rsidR="00000000" w:rsidRPr="00000000">
              <w:rPr>
                <w:color w:val="000000"/>
                <w:rtl w:val="0"/>
              </w:rPr>
              <w:t xml:space="preserve">Student name</w:t>
            </w:r>
            <w:r w:rsidDel="00000000" w:rsidR="00000000" w:rsidRPr="00000000">
              <w:rPr>
                <w:rtl w:val="0"/>
              </w:rPr>
            </w:r>
          </w:p>
        </w:tc>
        <w:tc>
          <w:tcPr/>
          <w:p w:rsidR="00000000" w:rsidDel="00000000" w:rsidP="00000000" w:rsidRDefault="00000000" w:rsidRPr="00000000" w14:paraId="0000000B">
            <w:pPr>
              <w:spacing w:after="20" w:lineRule="auto"/>
              <w:rPr/>
            </w:pPr>
            <w:r w:rsidDel="00000000" w:rsidR="00000000" w:rsidRPr="00000000">
              <w:rPr>
                <w:rtl w:val="0"/>
              </w:rPr>
            </w:r>
          </w:p>
        </w:tc>
      </w:tr>
      <w:tr>
        <w:trPr>
          <w:cantSplit w:val="0"/>
          <w:tblHeader w:val="0"/>
        </w:trPr>
        <w:tc>
          <w:tcPr/>
          <w:p w:rsidR="00000000" w:rsidDel="00000000" w:rsidP="00000000" w:rsidRDefault="00000000" w:rsidRPr="00000000" w14:paraId="0000000C">
            <w:pPr>
              <w:spacing w:after="20" w:lineRule="auto"/>
              <w:rPr/>
            </w:pPr>
            <w:r w:rsidDel="00000000" w:rsidR="00000000" w:rsidRPr="00000000">
              <w:rPr>
                <w:color w:val="000000"/>
                <w:rtl w:val="0"/>
              </w:rPr>
              <w:t xml:space="preserve">Student ID</w:t>
            </w:r>
            <w:r w:rsidDel="00000000" w:rsidR="00000000" w:rsidRPr="00000000">
              <w:rPr>
                <w:rtl w:val="0"/>
              </w:rPr>
            </w:r>
          </w:p>
        </w:tc>
        <w:tc>
          <w:tcPr/>
          <w:p w:rsidR="00000000" w:rsidDel="00000000" w:rsidP="00000000" w:rsidRDefault="00000000" w:rsidRPr="00000000" w14:paraId="0000000D">
            <w:pPr>
              <w:spacing w:after="20" w:lineRule="auto"/>
              <w:rPr/>
            </w:pPr>
            <w:r w:rsidDel="00000000" w:rsidR="00000000" w:rsidRPr="00000000">
              <w:rPr>
                <w:rtl w:val="0"/>
              </w:rPr>
            </w:r>
          </w:p>
        </w:tc>
      </w:tr>
      <w:tr>
        <w:trPr>
          <w:cantSplit w:val="0"/>
          <w:tblHeader w:val="0"/>
        </w:trPr>
        <w:tc>
          <w:tcPr/>
          <w:p w:rsidR="00000000" w:rsidDel="00000000" w:rsidP="00000000" w:rsidRDefault="00000000" w:rsidRPr="00000000" w14:paraId="0000000E">
            <w:pPr>
              <w:spacing w:after="20" w:lineRule="auto"/>
              <w:rPr/>
            </w:pPr>
            <w:r w:rsidDel="00000000" w:rsidR="00000000" w:rsidRPr="00000000">
              <w:rPr>
                <w:color w:val="000000"/>
                <w:rtl w:val="0"/>
              </w:rPr>
              <w:t xml:space="preserve">Lecturer</w:t>
            </w:r>
            <w:r w:rsidDel="00000000" w:rsidR="00000000" w:rsidRPr="00000000">
              <w:rPr>
                <w:rtl w:val="0"/>
              </w:rPr>
            </w:r>
          </w:p>
        </w:tc>
        <w:tc>
          <w:tcPr/>
          <w:p w:rsidR="00000000" w:rsidDel="00000000" w:rsidP="00000000" w:rsidRDefault="00000000" w:rsidRPr="00000000" w14:paraId="0000000F">
            <w:pPr>
              <w:spacing w:after="20" w:lineRule="auto"/>
              <w:rPr/>
            </w:pPr>
            <w:r w:rsidDel="00000000" w:rsidR="00000000" w:rsidRPr="00000000">
              <w:rPr>
                <w:color w:val="000000"/>
                <w:rtl w:val="0"/>
              </w:rPr>
              <w:t xml:space="preserve">Dr Aishat Bakre</w:t>
            </w:r>
            <w:r w:rsidDel="00000000" w:rsidR="00000000" w:rsidRPr="00000000">
              <w:rPr>
                <w:rtl w:val="0"/>
              </w:rPr>
            </w:r>
          </w:p>
        </w:tc>
      </w:tr>
      <w:tr>
        <w:trPr>
          <w:cantSplit w:val="0"/>
          <w:tblHeader w:val="0"/>
        </w:trPr>
        <w:tc>
          <w:tcPr/>
          <w:p w:rsidR="00000000" w:rsidDel="00000000" w:rsidP="00000000" w:rsidRDefault="00000000" w:rsidRPr="00000000" w14:paraId="00000010">
            <w:pPr>
              <w:spacing w:after="20" w:lineRule="auto"/>
              <w:rPr/>
            </w:pPr>
            <w:r w:rsidDel="00000000" w:rsidR="00000000" w:rsidRPr="00000000">
              <w:rPr>
                <w:color w:val="000000"/>
                <w:rtl w:val="0"/>
              </w:rPr>
              <w:t xml:space="preserve">Word count</w:t>
            </w:r>
            <w:r w:rsidDel="00000000" w:rsidR="00000000" w:rsidRPr="00000000">
              <w:rPr>
                <w:rtl w:val="0"/>
              </w:rPr>
            </w:r>
          </w:p>
        </w:tc>
        <w:tc>
          <w:tcPr/>
          <w:p w:rsidR="00000000" w:rsidDel="00000000" w:rsidP="00000000" w:rsidRDefault="00000000" w:rsidRPr="00000000" w14:paraId="00000011">
            <w:pPr>
              <w:rPr/>
            </w:pPr>
            <w:r w:rsidDel="00000000" w:rsidR="00000000" w:rsidRPr="00000000">
              <w:rPr>
                <w:color w:val="000000"/>
                <w:rtl w:val="0"/>
              </w:rPr>
              <w:t xml:space="preserve">3000</w:t>
            </w:r>
            <w:r w:rsidDel="00000000" w:rsidR="00000000" w:rsidRPr="00000000">
              <w:rPr>
                <w:rtl w:val="0"/>
              </w:rPr>
            </w:r>
          </w:p>
        </w:tc>
      </w:tr>
    </w:tbl>
    <w:p w:rsidR="00000000" w:rsidDel="00000000" w:rsidP="00000000" w:rsidRDefault="00000000" w:rsidRPr="00000000" w14:paraId="00000012">
      <w:pPr>
        <w:spacing w:before="400" w:lineRule="auto"/>
        <w:jc w:val="center"/>
        <w:rPr/>
      </w:pPr>
      <w:r w:rsidDel="00000000" w:rsidR="00000000" w:rsidRPr="00000000">
        <w:rPr>
          <w:b w:val="1"/>
          <w:bCs w:val="1"/>
          <w:rtl w:val="0"/>
        </w:rPr>
        <w:t xml:space="preserve">Audience: UK health and care service users and professionals</w:t>
      </w:r>
      <w:r w:rsidDel="00000000" w:rsidR="00000000" w:rsidRPr="00000000">
        <w:rPr>
          <w:rtl w:val="0"/>
        </w:rPr>
      </w:r>
    </w:p>
    <w:p w:rsidR="00000000" w:rsidDel="00000000" w:rsidP="00000000" w:rsidRDefault="00000000" w:rsidRPr="00000000" w14:paraId="00000013">
      <w:pPr>
        <w:spacing w:after="0" w:before="0" w:line="240" w:lineRule="auto"/>
        <w:jc w:val="center"/>
        <w:rPr/>
      </w:pPr>
      <w:r w:rsidDel="00000000" w:rsidR="00000000" w:rsidRPr="00000000">
        <w:rPr/>
        <w:drawing>
          <wp:inline distB="0" distT="0" distL="0" distR="0">
            <wp:extent cx="3036893" cy="1946762"/>
            <wp:effectExtent b="0" l="0" r="0" t="0"/>
            <wp:docPr descr="Rheumatoid Arthritis:" id="1694424883" name="image5.jpg"/>
            <a:graphic>
              <a:graphicData uri="http://schemas.openxmlformats.org/drawingml/2006/picture">
                <pic:pic>
                  <pic:nvPicPr>
                    <pic:cNvPr descr="Rheumatoid Arthritis:" id="0" name="image5.jpg"/>
                    <pic:cNvPicPr preferRelativeResize="0"/>
                  </pic:nvPicPr>
                  <pic:blipFill>
                    <a:blip r:embed="rId7"/>
                    <a:srcRect b="0" l="0" r="0" t="0"/>
                    <a:stretch>
                      <a:fillRect/>
                    </a:stretch>
                  </pic:blipFill>
                  <pic:spPr>
                    <a:xfrm>
                      <a:off x="0" y="0"/>
                      <a:ext cx="3036893" cy="1946762"/>
                    </a:xfrm>
                    <a:prstGeom prst="rect"/>
                    <a:ln/>
                  </pic:spPr>
                </pic:pic>
              </a:graphicData>
            </a:graphic>
          </wp:inline>
        </w:drawing>
      </w:r>
      <w:r w:rsidDel="00000000" w:rsidR="00000000" w:rsidRPr="00000000">
        <w:rPr>
          <w:rtl w:val="0"/>
        </w:rPr>
      </w:r>
    </w:p>
    <w:p w:rsidR="00000000" w:rsidDel="00000000" w:rsidP="00000000" w:rsidRDefault="00000000" w:rsidRPr="00000000" w14:paraId="00000014">
      <w:pPr>
        <w:spacing w:after="0" w:before="0" w:line="240" w:lineRule="auto"/>
        <w:jc w:val="center"/>
        <w:rPr/>
      </w:pPr>
      <w:r w:rsidDel="00000000" w:rsidR="00000000" w:rsidRPr="00000000">
        <w:rPr>
          <w:b w:val="1"/>
          <w:bCs w:val="1"/>
          <w:sz w:val="17"/>
          <w:szCs w:val="17"/>
          <w:rtl w:val="0"/>
        </w:rPr>
        <w:t xml:space="preserve">Figure 1.</w:t>
      </w:r>
      <w:r w:rsidDel="00000000" w:rsidR="00000000" w:rsidRPr="00000000">
        <w:rPr>
          <w:sz w:val="17"/>
          <w:szCs w:val="17"/>
          <w:rtl w:val="0"/>
        </w:rPr>
        <w:t xml:space="preserve"> Rheumatoid arthritis in the hand: clinical photograph showing multiple rheumatoid nodules.</w:t>
      </w:r>
      <w:r w:rsidDel="00000000" w:rsidR="00000000" w:rsidRPr="00000000">
        <w:rPr>
          <w:rtl w:val="0"/>
        </w:rPr>
      </w:r>
    </w:p>
    <w:p w:rsidR="00000000" w:rsidDel="00000000" w:rsidP="00000000" w:rsidRDefault="00000000" w:rsidRPr="00000000" w14:paraId="00000015">
      <w:pPr>
        <w:spacing w:after="0" w:before="0" w:line="240" w:lineRule="auto"/>
        <w:jc w:val="center"/>
        <w:rPr/>
      </w:pPr>
      <w:r w:rsidDel="00000000" w:rsidR="00000000" w:rsidRPr="00000000">
        <w:rPr>
          <w:sz w:val="17"/>
          <w:szCs w:val="17"/>
          <w:rtl w:val="0"/>
        </w:rPr>
        <w:t xml:space="preserve">Source: Albert (2024).</w:t>
      </w:r>
      <w:r w:rsidDel="00000000" w:rsidR="00000000" w:rsidRPr="00000000">
        <w:rPr>
          <w:rtl w:val="0"/>
        </w:rPr>
      </w:r>
    </w:p>
    <w:p w:rsidR="00000000" w:rsidDel="00000000" w:rsidP="00000000" w:rsidRDefault="00000000" w:rsidRPr="00000000" w14:paraId="00000016">
      <w:pPr>
        <w:rPr/>
      </w:pPr>
      <w:r w:rsidDel="00000000" w:rsidR="00000000" w:rsidRPr="00000000">
        <w:br w:type="page"/>
      </w:r>
      <w:r w:rsidDel="00000000" w:rsidR="00000000" w:rsidRPr="00000000">
        <w:rPr>
          <w:rtl w:val="0"/>
        </w:rPr>
      </w:r>
    </w:p>
    <w:p w:rsidR="00000000" w:rsidDel="00000000" w:rsidP="00000000" w:rsidRDefault="00000000" w:rsidRPr="00000000" w14:paraId="00000017">
      <w:pPr>
        <w:spacing w:after="200" w:before="0" w:line="276" w:lineRule="auto"/>
        <w:jc w:val="center"/>
        <w:rPr>
          <w:b w:val="1"/>
          <w:bCs w:val="1"/>
        </w:rPr>
      </w:pPr>
      <w:r w:rsidDel="00000000" w:rsidR="00000000" w:rsidRPr="00000000">
        <w:rPr>
          <w:b w:val="1"/>
          <w:bCs w:val="1"/>
          <w:rtl w:val="0"/>
        </w:rPr>
        <w:t xml:space="preserve">Table of Contents</w:t>
      </w:r>
    </w:p>
    <w:sdt>
      <w:sdtPr>
        <w:id w:val="-611584569"/>
        <w:docPartObj>
          <w:docPartGallery w:val="Table of Contents"/>
          <w:docPartUnique w:val="1"/>
        </w:docPartObj>
      </w:sdtPr>
      <w:sdtContent>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57ydxtjvblo">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Definition</w:t>
              <w:tab/>
              <w:t xml:space="preserve">5</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qogs8pnyp1v8">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Burden / Prevalence: UK and Worldwide</w:t>
              <w:tab/>
              <w:t xml:space="preserve">5</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6zn1ajpwdzus">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Risk Factors</w:t>
              <w:tab/>
              <w:t xml:space="preserve">5</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tvw7r2691v4d">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Physical, Psychological and Social Implications of Rheumatoid Arthritis</w:t>
              <w:tab/>
              <w:t xml:space="preserve">6</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yaxutxn9gxyd">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Physical implications</w:t>
              <w:tab/>
              <w:t xml:space="preserve">6</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44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rpl4ga3g9qzt">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Joint pain, swelling and morning stiffness</w:t>
              <w:tab/>
              <w:t xml:space="preserve">6</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44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v7wt0axas1rv">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Reduced mobility and daily function</w:t>
              <w:tab/>
              <w:t xml:space="preserve">7</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44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3wmll0xhtf1u">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Fatigue and comorbidity</w:t>
              <w:tab/>
              <w:t xml:space="preserve">7</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flhe9nrrtei3">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Psychological implications</w:t>
              <w:tab/>
              <w:t xml:space="preserve">7</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44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1b2acr5dlapa">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Depression and emotional wellbeing</w:t>
              <w:tab/>
              <w:t xml:space="preserve">7</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44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bjgeiq62ljup">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Anxiety</w:t>
              <w:tab/>
              <w:t xml:space="preserve">7</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44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trj9jbwa8ps7">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Psychological stress and coping</w:t>
              <w:tab/>
              <w:t xml:space="preserve">7</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fkvdaqpsbzzi">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Social implications</w:t>
              <w:tab/>
              <w:t xml:space="preserve">7</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44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713g37mcs8km">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Employment and productivity</w:t>
              <w:tab/>
              <w:t xml:space="preserve">7</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44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d4vy64pee5l2">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Inequalities in access and outcomes</w:t>
              <w:tab/>
              <w:t xml:space="preserve">7</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44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mes258f8s4cb">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Social participation and quality of life</w:t>
              <w:tab/>
              <w:t xml:space="preserve">8</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o7z3o6b364d8">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Family and carer implications</w:t>
              <w:tab/>
              <w:t xml:space="preserve">8</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gmdhrrcvsld8">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Evidence-Based Treatment and Management Through the NHS</w:t>
              <w:tab/>
              <w:t xml:space="preserve">8</w:t>
            </w:r>
          </w:hyperlink>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i26uqxm4ryxu">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Theoretical Models and Frameworks for Improving Outcomes</w:t>
              <w:tab/>
              <w:t xml:space="preserve">9</w:t>
            </w:r>
          </w:hyperlink>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yj8iq8p5m7tj">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UK model: House of Care</w:t>
              <w:tab/>
              <w:t xml:space="preserve">9</w:t>
            </w:r>
          </w:hyperlink>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at81fe8km1cw">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International model: Chronic Care Model</w:t>
              <w:tab/>
              <w:t xml:space="preserve">10</w:t>
            </w:r>
          </w:hyperlink>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y9k6lgt9tlxt">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Comparison of the Models</w:t>
              <w:tab/>
              <w:t xml:space="preserve">11</w:t>
            </w:r>
          </w:hyperlink>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14wl56ly7wc2">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Local and National Health and Social-Care Policy and Implementation</w:t>
              <w:tab/>
              <w:t xml:space="preserve">12</w:t>
            </w:r>
          </w:hyperlink>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8koieatz27ho">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Person-Centred Care and Self-Management</w:t>
              <w:tab/>
              <w:t xml:space="preserve">13</w:t>
            </w:r>
          </w:hyperlink>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irbcbhpoj1pp">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End-of-life care where appropriate</w:t>
              <w:tab/>
              <w:t xml:space="preserve">14</w:t>
            </w:r>
          </w:hyperlink>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ndbtai3zwj12">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Recommendations for Improvement</w:t>
              <w:tab/>
              <w:t xml:space="preserve">14</w:t>
            </w:r>
          </w:hyperlink>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wr218a97rw9j">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Earlier referral and access</w:t>
              <w:tab/>
              <w:t xml:space="preserve">14</w:t>
            </w:r>
          </w:hyperlink>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6cuce14nf0c4">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Individualised care and support plans</w:t>
              <w:tab/>
              <w:t xml:space="preserve">15</w:t>
            </w:r>
          </w:hyperlink>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t38uctqlrhp0">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Blended self-management options</w:t>
              <w:tab/>
              <w:t xml:space="preserve">15</w:t>
            </w:r>
          </w:hyperlink>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lhf7mhrttveh">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Routine psychosocial assessment</w:t>
              <w:tab/>
              <w:t xml:space="preserve">15</w:t>
            </w:r>
          </w:hyperlink>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9lrmmp8ym3jx">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Outcome monitoring</w:t>
              <w:tab/>
              <w:t xml:space="preserve">15</w:t>
            </w:r>
          </w:hyperlink>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fl5cw1yjd59y">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Conclusion</w:t>
              <w:tab/>
              <w:t xml:space="preserve">15</w:t>
            </w:r>
          </w:hyperlink>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cqcpi75vja1a">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Reference List</w:t>
              <w:tab/>
              <w:t xml:space="preserve">16</w:t>
            </w:r>
          </w:hyperlink>
          <w:r w:rsidDel="00000000" w:rsidR="00000000" w:rsidRPr="00000000">
            <w:rPr>
              <w:rtl w:val="0"/>
            </w:rPr>
          </w:r>
        </w:p>
        <w:p w:rsidR="00000000" w:rsidDel="00000000" w:rsidP="00000000" w:rsidRDefault="00000000" w:rsidRPr="00000000" w14:paraId="00000039">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A">
      <w:pPr>
        <w:pageBreakBefore w:val="1"/>
        <w:jc w:val="center"/>
        <w:rPr>
          <w:b w:val="1"/>
          <w:bCs w:val="1"/>
        </w:rPr>
      </w:pPr>
      <w:r w:rsidDel="00000000" w:rsidR="00000000" w:rsidRPr="00000000">
        <w:rPr>
          <w:b w:val="1"/>
          <w:bCs w:val="1"/>
          <w:rtl w:val="0"/>
        </w:rPr>
        <w:t xml:space="preserve">Rheumatoid arthritis at a glance</w:t>
      </w:r>
    </w:p>
    <w:tbl>
      <w:tblPr>
        <w:tblStyle w:val="Table2"/>
        <w:tblW w:w="9242.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623"/>
        <w:gridCol w:w="4619"/>
        <w:tblGridChange w:id="0">
          <w:tblGrid>
            <w:gridCol w:w="4623"/>
            <w:gridCol w:w="4619"/>
          </w:tblGrid>
        </w:tblGridChange>
      </w:tblGrid>
      <w:tr>
        <w:trPr>
          <w:cantSplit w:val="0"/>
          <w:tblHeader w:val="0"/>
        </w:trPr>
        <w:tc>
          <w:tcPr/>
          <w:p w:rsidR="00000000" w:rsidDel="00000000" w:rsidP="00000000" w:rsidRDefault="00000000" w:rsidRPr="00000000" w14:paraId="0000003B">
            <w:pPr>
              <w:spacing w:after="20" w:line="288" w:lineRule="auto"/>
              <w:rPr/>
            </w:pPr>
            <w:r w:rsidDel="00000000" w:rsidR="00000000" w:rsidRPr="00000000">
              <w:rPr>
                <w:b w:val="1"/>
                <w:bCs w:val="1"/>
                <w:color w:val="000000"/>
                <w:sz w:val="21"/>
                <w:szCs w:val="21"/>
                <w:rtl w:val="0"/>
              </w:rPr>
              <w:t xml:space="preserve">Global prevalence</w:t>
            </w:r>
            <w:r w:rsidDel="00000000" w:rsidR="00000000" w:rsidRPr="00000000">
              <w:rPr>
                <w:rtl w:val="0"/>
              </w:rPr>
            </w:r>
          </w:p>
        </w:tc>
        <w:tc>
          <w:tcPr/>
          <w:p w:rsidR="00000000" w:rsidDel="00000000" w:rsidP="00000000" w:rsidRDefault="00000000" w:rsidRPr="00000000" w14:paraId="0000003C">
            <w:pPr>
              <w:spacing w:after="20" w:line="288" w:lineRule="auto"/>
              <w:rPr/>
            </w:pPr>
            <w:r w:rsidDel="00000000" w:rsidR="00000000" w:rsidRPr="00000000">
              <w:rPr>
                <w:color w:val="000000"/>
                <w:sz w:val="21"/>
                <w:szCs w:val="21"/>
                <w:rtl w:val="0"/>
              </w:rPr>
              <w:t xml:space="preserve">18 million people were living with rheumatoid arthritis worldwide in 2019 (World Health Organization, 2023).</w:t>
            </w:r>
            <w:r w:rsidDel="00000000" w:rsidR="00000000" w:rsidRPr="00000000">
              <w:rPr>
                <w:rtl w:val="0"/>
              </w:rPr>
            </w:r>
          </w:p>
        </w:tc>
      </w:tr>
      <w:tr>
        <w:trPr>
          <w:cantSplit w:val="0"/>
          <w:tblHeader w:val="0"/>
        </w:trPr>
        <w:tc>
          <w:tcPr/>
          <w:p w:rsidR="00000000" w:rsidDel="00000000" w:rsidP="00000000" w:rsidRDefault="00000000" w:rsidRPr="00000000" w14:paraId="0000003D">
            <w:pPr>
              <w:spacing w:after="20" w:line="288" w:lineRule="auto"/>
              <w:rPr/>
            </w:pPr>
            <w:r w:rsidDel="00000000" w:rsidR="00000000" w:rsidRPr="00000000">
              <w:rPr>
                <w:color w:val="000000"/>
                <w:rtl w:val="0"/>
              </w:rPr>
              <w:t xml:space="preserve">UK prevalence context</w:t>
            </w:r>
            <w:r w:rsidDel="00000000" w:rsidR="00000000" w:rsidRPr="00000000">
              <w:rPr>
                <w:rtl w:val="0"/>
              </w:rPr>
            </w:r>
          </w:p>
        </w:tc>
        <w:tc>
          <w:tcPr/>
          <w:p w:rsidR="00000000" w:rsidDel="00000000" w:rsidP="00000000" w:rsidRDefault="00000000" w:rsidRPr="00000000" w14:paraId="0000003E">
            <w:pPr>
              <w:spacing w:after="20" w:line="288" w:lineRule="auto"/>
              <w:rPr/>
            </w:pPr>
            <w:r w:rsidDel="00000000" w:rsidR="00000000" w:rsidRPr="00000000">
              <w:rPr>
                <w:color w:val="000000"/>
                <w:rtl w:val="0"/>
              </w:rPr>
              <w:t xml:space="preserve">England: 0.79% of people aged 16 and over in 2024/25; earlier estimates were 0.78% in Scotland (adults aged 18+) and 0.94% in Wales (people aged 16+). Northern Ireland publishes a separate register series; years and age groups differ (NHS England, 2025; Versus Arthritis, 2021; Department of Health Northern Ireland, 2026).</w:t>
            </w:r>
            <w:r w:rsidDel="00000000" w:rsidR="00000000" w:rsidRPr="00000000">
              <w:rPr>
                <w:rtl w:val="0"/>
              </w:rPr>
            </w:r>
          </w:p>
        </w:tc>
      </w:tr>
      <w:tr>
        <w:trPr>
          <w:cantSplit w:val="0"/>
          <w:tblHeader w:val="0"/>
        </w:trPr>
        <w:tc>
          <w:tcPr/>
          <w:p w:rsidR="00000000" w:rsidDel="00000000" w:rsidP="00000000" w:rsidRDefault="00000000" w:rsidRPr="00000000" w14:paraId="0000003F">
            <w:pPr>
              <w:spacing w:after="20" w:line="288" w:lineRule="auto"/>
              <w:rPr/>
            </w:pPr>
            <w:r w:rsidDel="00000000" w:rsidR="00000000" w:rsidRPr="00000000">
              <w:rPr>
                <w:b w:val="1"/>
                <w:bCs w:val="1"/>
                <w:color w:val="000000"/>
                <w:sz w:val="21"/>
                <w:szCs w:val="21"/>
                <w:rtl w:val="0"/>
              </w:rPr>
              <w:t xml:space="preserve">Treatment within six weeks</w:t>
            </w:r>
            <w:r w:rsidDel="00000000" w:rsidR="00000000" w:rsidRPr="00000000">
              <w:rPr>
                <w:rtl w:val="0"/>
              </w:rPr>
            </w:r>
          </w:p>
        </w:tc>
        <w:tc>
          <w:tcPr/>
          <w:p w:rsidR="00000000" w:rsidDel="00000000" w:rsidP="00000000" w:rsidRDefault="00000000" w:rsidRPr="00000000" w14:paraId="00000040">
            <w:pPr>
              <w:spacing w:after="20" w:line="288" w:lineRule="auto"/>
              <w:rPr/>
            </w:pPr>
            <w:r w:rsidDel="00000000" w:rsidR="00000000" w:rsidRPr="00000000">
              <w:rPr>
                <w:color w:val="000000"/>
                <w:sz w:val="21"/>
                <w:szCs w:val="21"/>
                <w:rtl w:val="0"/>
              </w:rPr>
              <w:t xml:space="preserve">60% started a disease-modifying antirheumatic drug within six weeks of referral in the 2024/25 National Early Inflammatory Arthritis Audit (Healthcare Quality Improvement Partnership, 2025).</w:t>
            </w:r>
            <w:r w:rsidDel="00000000" w:rsidR="00000000" w:rsidRPr="00000000">
              <w:rPr>
                <w:rtl w:val="0"/>
              </w:rPr>
            </w:r>
          </w:p>
        </w:tc>
      </w:tr>
      <w:tr>
        <w:trPr>
          <w:cantSplit w:val="0"/>
          <w:tblHeader w:val="0"/>
        </w:trPr>
        <w:tc>
          <w:tcPr/>
          <w:p w:rsidR="00000000" w:rsidDel="00000000" w:rsidP="00000000" w:rsidRDefault="00000000" w:rsidRPr="00000000" w14:paraId="00000041">
            <w:pPr>
              <w:spacing w:after="20" w:line="288" w:lineRule="auto"/>
              <w:rPr/>
            </w:pPr>
            <w:r w:rsidDel="00000000" w:rsidR="00000000" w:rsidRPr="00000000">
              <w:rPr>
                <w:b w:val="1"/>
                <w:bCs w:val="1"/>
                <w:color w:val="000000"/>
                <w:sz w:val="21"/>
                <w:szCs w:val="21"/>
                <w:rtl w:val="0"/>
              </w:rPr>
              <w:t xml:space="preserve">Symptoms for six months or more before referral</w:t>
            </w:r>
            <w:r w:rsidDel="00000000" w:rsidR="00000000" w:rsidRPr="00000000">
              <w:rPr>
                <w:rtl w:val="0"/>
              </w:rPr>
            </w:r>
          </w:p>
        </w:tc>
        <w:tc>
          <w:tcPr/>
          <w:p w:rsidR="00000000" w:rsidDel="00000000" w:rsidP="00000000" w:rsidRDefault="00000000" w:rsidRPr="00000000" w14:paraId="00000042">
            <w:pPr>
              <w:spacing w:after="20" w:line="288" w:lineRule="auto"/>
              <w:rPr/>
            </w:pPr>
            <w:r w:rsidDel="00000000" w:rsidR="00000000" w:rsidRPr="00000000">
              <w:rPr>
                <w:color w:val="000000"/>
                <w:sz w:val="21"/>
                <w:szCs w:val="21"/>
                <w:rtl w:val="0"/>
              </w:rPr>
              <w:t xml:space="preserve">38% had symptoms for at least six months before referral, showing continuing delay before specialist assessment (Healthcare Quality Improvement Partnership, 2025).</w:t>
            </w:r>
            <w:r w:rsidDel="00000000" w:rsidR="00000000" w:rsidRPr="00000000">
              <w:rPr>
                <w:rtl w:val="0"/>
              </w:rPr>
            </w:r>
          </w:p>
        </w:tc>
      </w:tr>
      <w:tr>
        <w:trPr>
          <w:cantSplit w:val="0"/>
          <w:tblHeader w:val="0"/>
        </w:trPr>
        <w:tc>
          <w:tcPr/>
          <w:p w:rsidR="00000000" w:rsidDel="00000000" w:rsidP="00000000" w:rsidRDefault="00000000" w:rsidRPr="00000000" w14:paraId="00000043">
            <w:pPr>
              <w:spacing w:after="20" w:line="288" w:lineRule="auto"/>
              <w:rPr/>
            </w:pPr>
            <w:r w:rsidDel="00000000" w:rsidR="00000000" w:rsidRPr="00000000">
              <w:rPr>
                <w:b w:val="1"/>
                <w:bCs w:val="1"/>
                <w:color w:val="000000"/>
                <w:sz w:val="21"/>
                <w:szCs w:val="21"/>
                <w:rtl w:val="0"/>
              </w:rPr>
              <w:t xml:space="preserve">Core management idea</w:t>
            </w:r>
            <w:r w:rsidDel="00000000" w:rsidR="00000000" w:rsidRPr="00000000">
              <w:rPr>
                <w:rtl w:val="0"/>
              </w:rPr>
            </w:r>
          </w:p>
        </w:tc>
        <w:tc>
          <w:tcPr/>
          <w:p w:rsidR="00000000" w:rsidDel="00000000" w:rsidP="00000000" w:rsidRDefault="00000000" w:rsidRPr="00000000" w14:paraId="00000044">
            <w:pPr>
              <w:spacing w:after="20" w:line="288" w:lineRule="auto"/>
              <w:rPr/>
            </w:pPr>
            <w:r w:rsidDel="00000000" w:rsidR="00000000" w:rsidRPr="00000000">
              <w:rPr>
                <w:color w:val="000000"/>
                <w:sz w:val="21"/>
                <w:szCs w:val="21"/>
                <w:rtl w:val="0"/>
              </w:rPr>
              <w:t xml:space="preserve">Early disease control plus rehabilitation, self-management and person-centred care.</w:t>
            </w:r>
            <w:r w:rsidDel="00000000" w:rsidR="00000000" w:rsidRPr="00000000">
              <w:rPr>
                <w:rtl w:val="0"/>
              </w:rPr>
            </w:r>
          </w:p>
        </w:tc>
      </w:tr>
    </w:tbl>
    <w:p w:rsidR="00000000" w:rsidDel="00000000" w:rsidP="00000000" w:rsidRDefault="00000000" w:rsidRPr="00000000" w14:paraId="00000045">
      <w:pPr>
        <w:pStyle w:val="Heading3"/>
        <w:rPr/>
      </w:pPr>
      <w:r w:rsidDel="00000000" w:rsidR="00000000" w:rsidRPr="00000000">
        <w:rPr>
          <w:rtl w:val="0"/>
        </w:rPr>
      </w:r>
    </w:p>
    <w:p w:rsidR="00000000" w:rsidDel="00000000" w:rsidP="00000000" w:rsidRDefault="00000000" w:rsidRPr="00000000" w14:paraId="00000046">
      <w:pPr>
        <w:spacing w:after="200" w:before="0" w:line="276" w:lineRule="auto"/>
        <w:jc w:val="left"/>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47">
      <w:pPr>
        <w:pStyle w:val="Heading1"/>
        <w:rPr/>
      </w:pPr>
      <w:bookmarkStart w:colFirst="0" w:colLast="0" w:name="_heading=h.57ydxtjvblo" w:id="0"/>
      <w:bookmarkEnd w:id="0"/>
      <w:r w:rsidDel="00000000" w:rsidR="00000000" w:rsidRPr="00000000">
        <w:rPr>
          <w:rtl w:val="0"/>
        </w:rPr>
        <w:t xml:space="preserve">Definition</w:t>
      </w:r>
    </w:p>
    <w:p w:rsidR="00000000" w:rsidDel="00000000" w:rsidP="00000000" w:rsidRDefault="00000000" w:rsidRPr="00000000" w14:paraId="00000048">
      <w:pPr>
        <w:spacing w:after="100" w:lineRule="auto"/>
        <w:rPr/>
      </w:pPr>
      <w:r w:rsidDel="00000000" w:rsidR="00000000" w:rsidRPr="00000000">
        <w:rPr>
          <w:rtl w:val="0"/>
        </w:rPr>
        <w:t xml:space="preserve">Rheumatoid arthritis (RA) is an autoimmune chronic inflammatory condition. The immune system malfunctions and results in constant inflammation of the synovium, the tissue lining the joints. Uncontrolled inflammation leads to cartilage and bone damage and impairment over time. RA may also target tissues beyond the joints, meaning that management has to take into account the whole patient rather than just joint symptoms (Romao and Fonseca, 2021; Ciofoaia, Pillarisetty and Constantinescu, 2022).  </w:t>
      </w:r>
    </w:p>
    <w:p w:rsidR="00000000" w:rsidDel="00000000" w:rsidP="00000000" w:rsidRDefault="00000000" w:rsidRPr="00000000" w14:paraId="00000049">
      <w:pPr>
        <w:pStyle w:val="Heading1"/>
        <w:rPr/>
      </w:pPr>
      <w:bookmarkStart w:colFirst="0" w:colLast="0" w:name="_heading=h.qogs8pnyp1v8" w:id="1"/>
      <w:bookmarkEnd w:id="1"/>
      <w:r w:rsidDel="00000000" w:rsidR="00000000" w:rsidRPr="00000000">
        <w:rPr>
          <w:rtl w:val="0"/>
        </w:rPr>
        <w:t xml:space="preserve">Burden / Prevalence: UK and Worldwide</w:t>
      </w:r>
    </w:p>
    <w:p w:rsidR="00000000" w:rsidDel="00000000" w:rsidP="00000000" w:rsidRDefault="00000000" w:rsidRPr="00000000" w14:paraId="0000004A">
      <w:pPr>
        <w:rPr>
          <w:color w:val="ee0000"/>
        </w:rPr>
      </w:pPr>
      <w:r w:rsidDel="00000000" w:rsidR="00000000" w:rsidRPr="00000000">
        <w:rPr>
          <w:color w:val="ee0000"/>
          <w:rtl w:val="0"/>
        </w:rPr>
        <w:t xml:space="preserve">The World Health Organization estimated that 18 million individuals had rheumatoid arthritis globally in 2019 (World Health Organization, 2023). Prevalence in the UK needs to be interpreted with caution since national registers use different years and ages. In 2024/25, NHS England indicated that 0.79% of the population aged 16 and above was on the RA register. Previous estimates for 0.78% among adults aged 18 and older in Scotland and 0.94% among individuals aged 16 and above in Wales have been based on 2016 and 2017 data respectively (NHS England, 2025; Versus Arthritis, 2021). There is a separate register series for Northern Ireland, where 2025/26 data will be released in 2026 (Department of Health Northern Ireland, 2026). These statistics cannot be used as the one current, comparable UK prevalence. The recorded prevalence could be related to the change in demographics and registration practices; however, these statistics do not determine the cause. Rheumatoid arthritis has a connection with chronic pain, disability, absenteeism from work, and comorbidities.</w:t>
      </w:r>
    </w:p>
    <w:p w:rsidR="00000000" w:rsidDel="00000000" w:rsidP="00000000" w:rsidRDefault="00000000" w:rsidRPr="00000000" w14:paraId="0000004B">
      <w:pPr>
        <w:rPr>
          <w:color w:val="ee0000"/>
        </w:rPr>
      </w:pPr>
      <w:r w:rsidDel="00000000" w:rsidR="00000000" w:rsidRPr="00000000">
        <w:rPr>
          <w:color w:val="ee0000"/>
          <w:rtl w:val="0"/>
        </w:rPr>
        <w:t xml:space="preserve">A meta-analysis conducted in 2024 has established that there is greater all-cause and cause-specific mortality compared to controls, suggesting a relationship between RA management and quality of life and survival (Lee and Song, 2024). Unequal health status and unequal access to health services are factors that influence the outcome, which means that the joint-only strategy is inadequate (Ciofoaia, Pillarisetty and Constantinescu, 2022). </w:t>
      </w:r>
    </w:p>
    <w:p w:rsidR="00000000" w:rsidDel="00000000" w:rsidP="00000000" w:rsidRDefault="00000000" w:rsidRPr="00000000" w14:paraId="0000004C">
      <w:pPr>
        <w:pStyle w:val="Heading1"/>
        <w:rPr/>
      </w:pPr>
      <w:bookmarkStart w:colFirst="0" w:colLast="0" w:name="_heading=h.6zn1ajpwdzus" w:id="2"/>
      <w:bookmarkEnd w:id="2"/>
      <w:r w:rsidDel="00000000" w:rsidR="00000000" w:rsidRPr="00000000">
        <w:rPr>
          <w:rtl w:val="0"/>
        </w:rPr>
        <w:t xml:space="preserve">Risk Factors</w:t>
      </w:r>
    </w:p>
    <w:p w:rsidR="00000000" w:rsidDel="00000000" w:rsidP="00000000" w:rsidRDefault="00000000" w:rsidRPr="00000000" w14:paraId="0000004D">
      <w:pPr>
        <w:spacing w:after="100" w:lineRule="auto"/>
        <w:rPr/>
      </w:pPr>
      <w:r w:rsidDel="00000000" w:rsidR="00000000" w:rsidRPr="00000000">
        <w:rPr>
          <w:rtl w:val="0"/>
        </w:rPr>
        <w:t xml:space="preserve">RA has a multifactorial pathogenesis. Genetic predisposition, immunological dysregulation and environmental factors work together, rather than a single factor causing disease (Romao and Fonseca, 2021). In people at risk, anti-citrullinated protein antibodies, symptoms and subclinical inflammation on imaging can help assess risk, although their predictive value varies between populations (Mankia </w:t>
      </w:r>
      <w:r w:rsidDel="00000000" w:rsidR="00000000" w:rsidRPr="00000000">
        <w:rPr>
          <w:i w:val="1"/>
          <w:iCs w:val="1"/>
          <w:rtl w:val="0"/>
        </w:rPr>
        <w:t xml:space="preserve">et al</w:t>
      </w:r>
      <w:r w:rsidDel="00000000" w:rsidR="00000000" w:rsidRPr="00000000">
        <w:rPr>
          <w:rtl w:val="0"/>
        </w:rPr>
        <w:t xml:space="preserve">., 2021). Risk factors inform assessment but cannot show that an individual will definitely develop RA.</w:t>
      </w:r>
    </w:p>
    <w:p w:rsidR="00000000" w:rsidDel="00000000" w:rsidP="00000000" w:rsidRDefault="00000000" w:rsidRPr="00000000" w14:paraId="0000004E">
      <w:pPr>
        <w:rPr/>
      </w:pPr>
      <w:r w:rsidDel="00000000" w:rsidR="00000000" w:rsidRPr="00000000">
        <w:rPr>
          <w:rtl w:val="0"/>
        </w:rPr>
        <w:t xml:space="preserve">Smoking is a risk factor for seropositive rheumatoid arthritis, as it may increase protein citrullination and interact with genetic susceptibility (Ishikawa and Terao, 2020). Obesity is linked to risk, but is a risk modifier rather than a cause (Ohno, Aune and Heath, 2020). Periodontal disease has been associated with rheumatoid arthritis, but results are inconsistent, and no causal relationship has been established (Qiao </w:t>
      </w:r>
      <w:r w:rsidDel="00000000" w:rsidR="00000000" w:rsidRPr="00000000">
        <w:rPr>
          <w:i w:val="1"/>
          <w:iCs w:val="1"/>
          <w:rtl w:val="0"/>
        </w:rPr>
        <w:t xml:space="preserve">et al</w:t>
      </w:r>
      <w:r w:rsidDel="00000000" w:rsidR="00000000" w:rsidRPr="00000000">
        <w:rPr>
          <w:rtl w:val="0"/>
        </w:rPr>
        <w:t xml:space="preserve">., 2020).</w:t>
      </w:r>
    </w:p>
    <w:p w:rsidR="00000000" w:rsidDel="00000000" w:rsidP="00000000" w:rsidRDefault="00000000" w:rsidRPr="00000000" w14:paraId="0000004F">
      <w:pPr>
        <w:rPr/>
      </w:pPr>
      <w:r w:rsidDel="00000000" w:rsidR="00000000" w:rsidRPr="00000000">
        <w:rPr>
          <w:rtl w:val="0"/>
        </w:rPr>
        <w:t xml:space="preserve">Genetic susceptibility, such as leukocyte antigen shared-epitope variants, can interact with environmental factors, but does not dictate that an individual will develop the disease (Mankia </w:t>
      </w:r>
      <w:r w:rsidDel="00000000" w:rsidR="00000000" w:rsidRPr="00000000">
        <w:rPr>
          <w:i w:val="1"/>
          <w:iCs w:val="1"/>
          <w:rtl w:val="0"/>
        </w:rPr>
        <w:t xml:space="preserve">et al</w:t>
      </w:r>
      <w:r w:rsidDel="00000000" w:rsidR="00000000" w:rsidRPr="00000000">
        <w:rPr>
          <w:rtl w:val="0"/>
        </w:rPr>
        <w:t xml:space="preserve">., 2021). Rheumatoid arthritis affects more women than men, but hormonal influences are not sufficient to explain the sex difference (Venetsanopoulou </w:t>
      </w:r>
      <w:r w:rsidDel="00000000" w:rsidR="00000000" w:rsidRPr="00000000">
        <w:rPr>
          <w:i w:val="1"/>
          <w:iCs w:val="1"/>
          <w:rtl w:val="0"/>
        </w:rPr>
        <w:t xml:space="preserve">et al</w:t>
      </w:r>
      <w:r w:rsidDel="00000000" w:rsidR="00000000" w:rsidRPr="00000000">
        <w:rPr>
          <w:rtl w:val="0"/>
        </w:rPr>
        <w:t xml:space="preserve">., 2023). The condition can develop at different ages, with prevalence varying by age group and geographical location, and age should be considered in relation to likelihood, rather than suggesting certainty (GBD 2021 Rheumatoid Arthritis Collaborators, 2023).</w:t>
      </w:r>
    </w:p>
    <w:p w:rsidR="00000000" w:rsidDel="00000000" w:rsidP="00000000" w:rsidRDefault="00000000" w:rsidRPr="00000000" w14:paraId="00000050">
      <w:pPr>
        <w:keepNext w:val="1"/>
        <w:spacing w:after="40" w:before="100" w:lineRule="auto"/>
        <w:jc w:val="center"/>
        <w:rPr/>
      </w:pPr>
      <w:r w:rsidDel="00000000" w:rsidR="00000000" w:rsidRPr="00000000">
        <w:rPr/>
        <w:drawing>
          <wp:inline distB="0" distT="0" distL="0" distR="0">
            <wp:extent cx="5731510" cy="1956435"/>
            <wp:effectExtent b="0" l="0" r="0" t="0"/>
            <wp:docPr id="1694424885"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731510" cy="1956435"/>
                    </a:xfrm>
                    <a:prstGeom prst="rect"/>
                    <a:ln/>
                  </pic:spPr>
                </pic:pic>
              </a:graphicData>
            </a:graphic>
          </wp:inline>
        </w:drawing>
      </w:r>
      <w:r w:rsidDel="00000000" w:rsidR="00000000" w:rsidRPr="00000000">
        <w:rPr>
          <w:rtl w:val="0"/>
        </w:rPr>
      </w:r>
    </w:p>
    <w:p w:rsidR="00000000" w:rsidDel="00000000" w:rsidP="00000000" w:rsidRDefault="00000000" w:rsidRPr="00000000" w14:paraId="00000051">
      <w:pPr>
        <w:keepNext w:val="1"/>
        <w:spacing w:after="20" w:lineRule="auto"/>
        <w:jc w:val="center"/>
        <w:rPr/>
      </w:pPr>
      <w:r w:rsidDel="00000000" w:rsidR="00000000" w:rsidRPr="00000000">
        <w:rPr>
          <w:b w:val="1"/>
          <w:bCs w:val="1"/>
          <w:sz w:val="20"/>
          <w:szCs w:val="20"/>
          <w:rtl w:val="0"/>
        </w:rPr>
        <w:t xml:space="preserve">Figure 2. Risk factors for the development of rheumatoid arthritis.</w:t>
      </w:r>
      <w:r w:rsidDel="00000000" w:rsidR="00000000" w:rsidRPr="00000000">
        <w:rPr>
          <w:rtl w:val="0"/>
        </w:rPr>
      </w:r>
    </w:p>
    <w:p w:rsidR="00000000" w:rsidDel="00000000" w:rsidP="00000000" w:rsidRDefault="00000000" w:rsidRPr="00000000" w14:paraId="00000052">
      <w:pPr>
        <w:spacing w:after="140" w:lineRule="auto"/>
        <w:jc w:val="center"/>
        <w:rPr/>
      </w:pPr>
      <w:r w:rsidDel="00000000" w:rsidR="00000000" w:rsidRPr="00000000">
        <w:rPr>
          <w:sz w:val="20"/>
          <w:szCs w:val="20"/>
          <w:rtl w:val="0"/>
        </w:rPr>
        <w:t xml:space="preserve">Source: Romão and Fonseca (2021), Figure 1.</w:t>
      </w:r>
      <w:r w:rsidDel="00000000" w:rsidR="00000000" w:rsidRPr="00000000">
        <w:rPr>
          <w:rtl w:val="0"/>
        </w:rPr>
      </w:r>
    </w:p>
    <w:p w:rsidR="00000000" w:rsidDel="00000000" w:rsidP="00000000" w:rsidRDefault="00000000" w:rsidRPr="00000000" w14:paraId="00000053">
      <w:pPr>
        <w:rPr/>
      </w:pPr>
      <w:r w:rsidDel="00000000" w:rsidR="00000000" w:rsidRPr="00000000">
        <w:rPr>
          <w:rtl w:val="0"/>
        </w:rPr>
        <w:t xml:space="preserve">The aim of this booklet is to inform UK health and care service users and professionals about rheumatoid arthritis. It examines the condition's burden, causes and whole-person impact, evaluates evidence-based National Health Service (NHS) management, considers UK and international care models and relevant UK policy, and recommends improvements in person-centred care and self-management.</w:t>
      </w:r>
    </w:p>
    <w:p w:rsidR="00000000" w:rsidDel="00000000" w:rsidP="00000000" w:rsidRDefault="00000000" w:rsidRPr="00000000" w14:paraId="00000054">
      <w:pPr>
        <w:pStyle w:val="Heading1"/>
        <w:rPr/>
      </w:pPr>
      <w:bookmarkStart w:colFirst="0" w:colLast="0" w:name="_heading=h.tvw7r2691v4d" w:id="3"/>
      <w:bookmarkEnd w:id="3"/>
      <w:r w:rsidDel="00000000" w:rsidR="00000000" w:rsidRPr="00000000">
        <w:rPr>
          <w:rtl w:val="0"/>
        </w:rPr>
        <w:t xml:space="preserve">Physical, Psychological and Social Implications of Rheumatoid Arthritis</w:t>
      </w:r>
    </w:p>
    <w:p w:rsidR="00000000" w:rsidDel="00000000" w:rsidP="00000000" w:rsidRDefault="00000000" w:rsidRPr="00000000" w14:paraId="00000055">
      <w:pPr>
        <w:pStyle w:val="Heading2"/>
        <w:rPr/>
      </w:pPr>
      <w:bookmarkStart w:colFirst="0" w:colLast="0" w:name="_heading=h.yaxutxn9gxyd" w:id="4"/>
      <w:bookmarkEnd w:id="4"/>
      <w:r w:rsidDel="00000000" w:rsidR="00000000" w:rsidRPr="00000000">
        <w:rPr>
          <w:rtl w:val="0"/>
        </w:rPr>
        <w:t xml:space="preserve">Physical implications</w:t>
      </w:r>
    </w:p>
    <w:p w:rsidR="00000000" w:rsidDel="00000000" w:rsidP="00000000" w:rsidRDefault="00000000" w:rsidRPr="00000000" w14:paraId="00000056">
      <w:pPr>
        <w:pStyle w:val="Heading3"/>
        <w:rPr/>
      </w:pPr>
      <w:bookmarkStart w:colFirst="0" w:colLast="0" w:name="_heading=h.rpl4ga3g9qzt" w:id="5"/>
      <w:bookmarkEnd w:id="5"/>
      <w:r w:rsidDel="00000000" w:rsidR="00000000" w:rsidRPr="00000000">
        <w:rPr>
          <w:rtl w:val="0"/>
        </w:rPr>
        <w:t xml:space="preserve">Joint pain, swelling and morning stiffness</w:t>
      </w:r>
    </w:p>
    <w:p w:rsidR="00000000" w:rsidDel="00000000" w:rsidP="00000000" w:rsidRDefault="00000000" w:rsidRPr="00000000" w14:paraId="00000057">
      <w:pPr>
        <w:spacing w:after="100" w:lineRule="auto"/>
        <w:rPr/>
      </w:pPr>
      <w:r w:rsidDel="00000000" w:rsidR="00000000" w:rsidRPr="00000000">
        <w:rPr>
          <w:rtl w:val="0"/>
        </w:rPr>
        <w:t xml:space="preserve">Joint inflammation (synovitis) may cause pain, swelling, morning stiffness and reduced range of motion, consistent with the clinical features addressed in guidance from the National Institute for Health and Care Excellence (NICE) (NICE, 2020). These symptoms can fluctuate and may make daily tasks difficult, even when visible joint damage is limited (NICE, 2020).</w:t>
      </w:r>
    </w:p>
    <w:p w:rsidR="00000000" w:rsidDel="00000000" w:rsidP="00000000" w:rsidRDefault="00000000" w:rsidRPr="00000000" w14:paraId="00000058">
      <w:pPr>
        <w:pStyle w:val="Heading3"/>
        <w:rPr/>
      </w:pPr>
      <w:bookmarkStart w:colFirst="0" w:colLast="0" w:name="_heading=h.v7wt0axas1rv" w:id="6"/>
      <w:bookmarkEnd w:id="6"/>
      <w:r w:rsidDel="00000000" w:rsidR="00000000" w:rsidRPr="00000000">
        <w:rPr>
          <w:rtl w:val="0"/>
        </w:rPr>
        <w:t xml:space="preserve">Reduced mobility and daily function</w:t>
      </w:r>
    </w:p>
    <w:p w:rsidR="00000000" w:rsidDel="00000000" w:rsidP="00000000" w:rsidRDefault="00000000" w:rsidRPr="00000000" w14:paraId="00000059">
      <w:pPr>
        <w:spacing w:after="100" w:lineRule="auto"/>
        <w:rPr/>
      </w:pPr>
      <w:r w:rsidDel="00000000" w:rsidR="00000000" w:rsidRPr="00000000">
        <w:rPr>
          <w:rtl w:val="0"/>
        </w:rPr>
        <w:t xml:space="preserve">Disease activity and structural damage may affect walking, manual dexterity, household activities and work. Occupational therapy can help people adapt activities and build practical self-management skills, although interventions and outcome measures differ between studies (Gavin </w:t>
      </w:r>
      <w:r w:rsidDel="00000000" w:rsidR="00000000" w:rsidRPr="00000000">
        <w:rPr>
          <w:i w:val="1"/>
          <w:iCs w:val="1"/>
          <w:rtl w:val="0"/>
        </w:rPr>
        <w:t xml:space="preserve">et al</w:t>
      </w:r>
      <w:r w:rsidDel="00000000" w:rsidR="00000000" w:rsidRPr="00000000">
        <w:rPr>
          <w:rtl w:val="0"/>
        </w:rPr>
        <w:t xml:space="preserve">., 2024).</w:t>
      </w:r>
    </w:p>
    <w:p w:rsidR="00000000" w:rsidDel="00000000" w:rsidP="00000000" w:rsidRDefault="00000000" w:rsidRPr="00000000" w14:paraId="0000005A">
      <w:pPr>
        <w:pStyle w:val="Heading3"/>
        <w:rPr/>
      </w:pPr>
      <w:bookmarkStart w:colFirst="0" w:colLast="0" w:name="_heading=h.3wmll0xhtf1u" w:id="7"/>
      <w:bookmarkEnd w:id="7"/>
      <w:r w:rsidDel="00000000" w:rsidR="00000000" w:rsidRPr="00000000">
        <w:rPr>
          <w:rtl w:val="0"/>
        </w:rPr>
        <w:t xml:space="preserve">Fatigue and comorbidity</w:t>
      </w:r>
    </w:p>
    <w:p w:rsidR="00000000" w:rsidDel="00000000" w:rsidP="00000000" w:rsidRDefault="00000000" w:rsidRPr="00000000" w14:paraId="0000005B">
      <w:pPr>
        <w:spacing w:after="100" w:lineRule="auto"/>
        <w:rPr/>
      </w:pPr>
      <w:r w:rsidDel="00000000" w:rsidR="00000000" w:rsidRPr="00000000">
        <w:rPr>
          <w:rtl w:val="0"/>
        </w:rPr>
        <w:t xml:space="preserve">Fatigue is an important patient experience and is not explained exclusively by inflammatory activity. Comorbidity adds further burden; a review of 33 studies estimated hypertension prevalence at 37.7% among people with RA, although estimates vary across studies (Hill </w:t>
      </w:r>
      <w:r w:rsidDel="00000000" w:rsidR="00000000" w:rsidRPr="00000000">
        <w:rPr>
          <w:i w:val="1"/>
          <w:iCs w:val="1"/>
          <w:rtl w:val="0"/>
        </w:rPr>
        <w:t xml:space="preserve">et al</w:t>
      </w:r>
      <w:r w:rsidDel="00000000" w:rsidR="00000000" w:rsidRPr="00000000">
        <w:rPr>
          <w:rtl w:val="0"/>
        </w:rPr>
        <w:t xml:space="preserve">., 2022).</w:t>
      </w:r>
    </w:p>
    <w:p w:rsidR="00000000" w:rsidDel="00000000" w:rsidP="00000000" w:rsidRDefault="00000000" w:rsidRPr="00000000" w14:paraId="0000005C">
      <w:pPr>
        <w:pStyle w:val="Heading2"/>
        <w:rPr/>
      </w:pPr>
      <w:bookmarkStart w:colFirst="0" w:colLast="0" w:name="_heading=h.flhe9nrrtei3" w:id="8"/>
      <w:bookmarkEnd w:id="8"/>
      <w:r w:rsidDel="00000000" w:rsidR="00000000" w:rsidRPr="00000000">
        <w:rPr>
          <w:rtl w:val="0"/>
        </w:rPr>
        <w:t xml:space="preserve">Psychological implications</w:t>
      </w:r>
    </w:p>
    <w:p w:rsidR="00000000" w:rsidDel="00000000" w:rsidP="00000000" w:rsidRDefault="00000000" w:rsidRPr="00000000" w14:paraId="0000005D">
      <w:pPr>
        <w:pStyle w:val="Heading3"/>
        <w:rPr/>
      </w:pPr>
      <w:bookmarkStart w:colFirst="0" w:colLast="0" w:name="_heading=h.1b2acr5dlapa" w:id="9"/>
      <w:bookmarkEnd w:id="9"/>
      <w:r w:rsidDel="00000000" w:rsidR="00000000" w:rsidRPr="00000000">
        <w:rPr>
          <w:rtl w:val="0"/>
        </w:rPr>
        <w:t xml:space="preserve">Depression and emotional wellbeing</w:t>
      </w:r>
    </w:p>
    <w:p w:rsidR="00000000" w:rsidDel="00000000" w:rsidP="00000000" w:rsidRDefault="00000000" w:rsidRPr="00000000" w14:paraId="0000005E">
      <w:pPr>
        <w:spacing w:after="100" w:lineRule="auto"/>
        <w:rPr/>
      </w:pPr>
      <w:r w:rsidDel="00000000" w:rsidR="00000000" w:rsidRPr="00000000">
        <w:rPr>
          <w:rtl w:val="0"/>
        </w:rPr>
        <w:t xml:space="preserve">Psychological impact may be persistent and bidirectional. A systematic review and meta-analysis found an association between RA and depression in both directions, indicating that mental wellbeing is more than a reaction to physical symptoms (Ng </w:t>
      </w:r>
      <w:r w:rsidDel="00000000" w:rsidR="00000000" w:rsidRPr="00000000">
        <w:rPr>
          <w:i w:val="1"/>
          <w:iCs w:val="1"/>
          <w:rtl w:val="0"/>
        </w:rPr>
        <w:t xml:space="preserve">et al</w:t>
      </w:r>
      <w:r w:rsidDel="00000000" w:rsidR="00000000" w:rsidRPr="00000000">
        <w:rPr>
          <w:rtl w:val="0"/>
        </w:rPr>
        <w:t xml:space="preserve">., 2022).</w:t>
      </w:r>
    </w:p>
    <w:p w:rsidR="00000000" w:rsidDel="00000000" w:rsidP="00000000" w:rsidRDefault="00000000" w:rsidRPr="00000000" w14:paraId="0000005F">
      <w:pPr>
        <w:pStyle w:val="Heading3"/>
        <w:rPr/>
      </w:pPr>
      <w:bookmarkStart w:colFirst="0" w:colLast="0" w:name="_heading=h.bjgeiq62ljup" w:id="10"/>
      <w:bookmarkEnd w:id="10"/>
      <w:r w:rsidDel="00000000" w:rsidR="00000000" w:rsidRPr="00000000">
        <w:rPr>
          <w:rtl w:val="0"/>
        </w:rPr>
        <w:t xml:space="preserve">Anxiety</w:t>
      </w:r>
    </w:p>
    <w:p w:rsidR="00000000" w:rsidDel="00000000" w:rsidP="00000000" w:rsidRDefault="00000000" w:rsidRPr="00000000" w14:paraId="00000060">
      <w:pPr>
        <w:spacing w:after="100" w:lineRule="auto"/>
        <w:rPr/>
      </w:pPr>
      <w:r w:rsidDel="00000000" w:rsidR="00000000" w:rsidRPr="00000000">
        <w:rPr>
          <w:rtl w:val="0"/>
        </w:rPr>
        <w:t xml:space="preserve">The meta-analysis of 33 studies estimated anxiety-disorder prevalence at 62.1% and depression prevalence at 32.1% among people with RA. High statistical heterogeneity means that these figures should not be treated as universal rates (Hill </w:t>
      </w:r>
      <w:r w:rsidDel="00000000" w:rsidR="00000000" w:rsidRPr="00000000">
        <w:rPr>
          <w:i w:val="1"/>
          <w:iCs w:val="1"/>
          <w:rtl w:val="0"/>
        </w:rPr>
        <w:t xml:space="preserve">et al</w:t>
      </w:r>
      <w:r w:rsidDel="00000000" w:rsidR="00000000" w:rsidRPr="00000000">
        <w:rPr>
          <w:rtl w:val="0"/>
        </w:rPr>
        <w:t xml:space="preserve">., 2022).</w:t>
      </w:r>
    </w:p>
    <w:p w:rsidR="00000000" w:rsidDel="00000000" w:rsidP="00000000" w:rsidRDefault="00000000" w:rsidRPr="00000000" w14:paraId="00000061">
      <w:pPr>
        <w:pStyle w:val="Heading3"/>
        <w:rPr/>
      </w:pPr>
      <w:bookmarkStart w:colFirst="0" w:colLast="0" w:name="_heading=h.trj9jbwa8ps7" w:id="11"/>
      <w:bookmarkEnd w:id="11"/>
      <w:r w:rsidDel="00000000" w:rsidR="00000000" w:rsidRPr="00000000">
        <w:rPr>
          <w:rtl w:val="0"/>
        </w:rPr>
        <w:t xml:space="preserve">Psychological stress and coping</w:t>
      </w:r>
    </w:p>
    <w:p w:rsidR="00000000" w:rsidDel="00000000" w:rsidP="00000000" w:rsidRDefault="00000000" w:rsidRPr="00000000" w14:paraId="00000062">
      <w:pPr>
        <w:spacing w:after="100" w:lineRule="auto"/>
        <w:rPr/>
      </w:pPr>
      <w:r w:rsidDel="00000000" w:rsidR="00000000" w:rsidRPr="00000000">
        <w:rPr>
          <w:rtl w:val="0"/>
        </w:rPr>
        <w:t xml:space="preserve">A scoping review linked psychological distress with pain, uncertainty, fatigue, social pressure and coping challenges (De Cock </w:t>
      </w:r>
      <w:r w:rsidDel="00000000" w:rsidR="00000000" w:rsidRPr="00000000">
        <w:rPr>
          <w:i w:val="1"/>
          <w:iCs w:val="1"/>
          <w:rtl w:val="0"/>
        </w:rPr>
        <w:t xml:space="preserve">et al</w:t>
      </w:r>
      <w:r w:rsidDel="00000000" w:rsidR="00000000" w:rsidRPr="00000000">
        <w:rPr>
          <w:rtl w:val="0"/>
        </w:rPr>
        <w:t xml:space="preserve">., 2022). Care should therefore assess mood, sleep, coping and health literacy. Clinically controlled joints may coexist with poor psychological wellbeing.</w:t>
      </w:r>
    </w:p>
    <w:p w:rsidR="00000000" w:rsidDel="00000000" w:rsidP="00000000" w:rsidRDefault="00000000" w:rsidRPr="00000000" w14:paraId="00000063">
      <w:pPr>
        <w:pStyle w:val="Heading2"/>
        <w:rPr/>
      </w:pPr>
      <w:bookmarkStart w:colFirst="0" w:colLast="0" w:name="_heading=h.fkvdaqpsbzzi" w:id="12"/>
      <w:bookmarkEnd w:id="12"/>
      <w:r w:rsidDel="00000000" w:rsidR="00000000" w:rsidRPr="00000000">
        <w:rPr>
          <w:rtl w:val="0"/>
        </w:rPr>
        <w:t xml:space="preserve">Social implications</w:t>
      </w:r>
    </w:p>
    <w:p w:rsidR="00000000" w:rsidDel="00000000" w:rsidP="00000000" w:rsidRDefault="00000000" w:rsidRPr="00000000" w14:paraId="00000064">
      <w:pPr>
        <w:pStyle w:val="Heading3"/>
        <w:rPr/>
      </w:pPr>
      <w:bookmarkStart w:colFirst="0" w:colLast="0" w:name="_heading=h.713g37mcs8km" w:id="13"/>
      <w:bookmarkEnd w:id="13"/>
      <w:r w:rsidDel="00000000" w:rsidR="00000000" w:rsidRPr="00000000">
        <w:rPr>
          <w:rtl w:val="0"/>
        </w:rPr>
        <w:t xml:space="preserve">Employment and productivity</w:t>
      </w:r>
    </w:p>
    <w:p w:rsidR="00000000" w:rsidDel="00000000" w:rsidP="00000000" w:rsidRDefault="00000000" w:rsidRPr="00000000" w14:paraId="00000065">
      <w:pPr>
        <w:spacing w:after="100" w:lineRule="auto"/>
        <w:rPr/>
      </w:pPr>
      <w:r w:rsidDel="00000000" w:rsidR="00000000" w:rsidRPr="00000000">
        <w:rPr>
          <w:rtl w:val="0"/>
        </w:rPr>
        <w:t xml:space="preserve">RA may affect employment, productivity and the ability to perform usual social roles. A systematic review and meta-analysis found that employment outcomes were worse with longer disease duration and greater disease burden, showing that RA can create continued social and economic pressure (Kirkeskov and Bray, 2023).</w:t>
      </w:r>
    </w:p>
    <w:p w:rsidR="00000000" w:rsidDel="00000000" w:rsidP="00000000" w:rsidRDefault="00000000" w:rsidRPr="00000000" w14:paraId="00000066">
      <w:pPr>
        <w:pStyle w:val="Heading3"/>
        <w:rPr/>
      </w:pPr>
      <w:bookmarkStart w:colFirst="0" w:colLast="0" w:name="_heading=h.d4vy64pee5l2" w:id="14"/>
      <w:bookmarkEnd w:id="14"/>
      <w:r w:rsidDel="00000000" w:rsidR="00000000" w:rsidRPr="00000000">
        <w:rPr>
          <w:rtl w:val="0"/>
        </w:rPr>
        <w:t xml:space="preserve">Inequalities in access and outcomes</w:t>
      </w:r>
    </w:p>
    <w:p w:rsidR="00000000" w:rsidDel="00000000" w:rsidP="00000000" w:rsidRDefault="00000000" w:rsidRPr="00000000" w14:paraId="00000067">
      <w:pPr>
        <w:spacing w:after="100" w:lineRule="auto"/>
        <w:rPr/>
      </w:pPr>
      <w:r w:rsidDel="00000000" w:rsidR="00000000" w:rsidRPr="00000000">
        <w:rPr>
          <w:rtl w:val="0"/>
        </w:rPr>
        <w:t xml:space="preserve">Social and demographic differences can influence diagnosis, access to healthcare, treatment and prognosis. These inequalities mean that average outcomes may conceal unmet need in some groups and that services should review access and outcomes across their local populations (Ciofoaia, Pillarisetty and Constantinescu, 2022).</w:t>
      </w:r>
    </w:p>
    <w:p w:rsidR="00000000" w:rsidDel="00000000" w:rsidP="00000000" w:rsidRDefault="00000000" w:rsidRPr="00000000" w14:paraId="00000068">
      <w:pPr>
        <w:pStyle w:val="Heading3"/>
        <w:rPr/>
      </w:pPr>
      <w:bookmarkStart w:colFirst="0" w:colLast="0" w:name="_heading=h.mes258f8s4cb" w:id="15"/>
      <w:bookmarkEnd w:id="15"/>
      <w:r w:rsidDel="00000000" w:rsidR="00000000" w:rsidRPr="00000000">
        <w:rPr>
          <w:rtl w:val="0"/>
        </w:rPr>
        <w:t xml:space="preserve">Social participation and quality of life</w:t>
      </w:r>
    </w:p>
    <w:p w:rsidR="00000000" w:rsidDel="00000000" w:rsidP="00000000" w:rsidRDefault="00000000" w:rsidRPr="00000000" w14:paraId="00000069">
      <w:pPr>
        <w:spacing w:after="100" w:lineRule="auto"/>
        <w:rPr/>
      </w:pPr>
      <w:r w:rsidDel="00000000" w:rsidR="00000000" w:rsidRPr="00000000">
        <w:rPr>
          <w:rtl w:val="0"/>
        </w:rPr>
        <w:t xml:space="preserve">RA can limit social participation and affect quality of life through its combined physical, psychological and social effects. A systematic review found that RA-specific, general and psychosocial factors all contribute to health-related quality of life (Hassen </w:t>
      </w:r>
      <w:r w:rsidDel="00000000" w:rsidR="00000000" w:rsidRPr="00000000">
        <w:rPr>
          <w:i w:val="1"/>
          <w:iCs w:val="1"/>
          <w:rtl w:val="0"/>
        </w:rPr>
        <w:t xml:space="preserve">et al</w:t>
      </w:r>
      <w:r w:rsidDel="00000000" w:rsidR="00000000" w:rsidRPr="00000000">
        <w:rPr>
          <w:rtl w:val="0"/>
        </w:rPr>
        <w:t xml:space="preserve">., 2025).</w:t>
      </w:r>
    </w:p>
    <w:p w:rsidR="00000000" w:rsidDel="00000000" w:rsidP="00000000" w:rsidRDefault="00000000" w:rsidRPr="00000000" w14:paraId="0000006A">
      <w:pPr>
        <w:pStyle w:val="Heading2"/>
        <w:rPr/>
      </w:pPr>
      <w:bookmarkStart w:colFirst="0" w:colLast="0" w:name="_heading=h.o7z3o6b364d8" w:id="16"/>
      <w:bookmarkEnd w:id="16"/>
      <w:r w:rsidDel="00000000" w:rsidR="00000000" w:rsidRPr="00000000">
        <w:rPr>
          <w:rtl w:val="0"/>
        </w:rPr>
        <w:t xml:space="preserve">Family and carer implications</w:t>
      </w:r>
    </w:p>
    <w:p w:rsidR="00000000" w:rsidDel="00000000" w:rsidP="00000000" w:rsidRDefault="00000000" w:rsidRPr="00000000" w14:paraId="0000006B">
      <w:pPr>
        <w:spacing w:after="100" w:lineRule="auto"/>
        <w:rPr/>
      </w:pPr>
      <w:r w:rsidDel="00000000" w:rsidR="00000000" w:rsidRPr="00000000">
        <w:rPr>
          <w:rtl w:val="0"/>
        </w:rPr>
        <w:t xml:space="preserve">Family members may be impacted through changes in care roles, supportive assistance and emotional strain. The family's participation may positively affect continuity when the patient wants relatives or carers to participate, but patient wishes and confidentiality must remain a priority (Oliver, Roberts and Haines, 2020; NHS England, 2023).</w:t>
      </w:r>
    </w:p>
    <w:p w:rsidR="00000000" w:rsidDel="00000000" w:rsidP="00000000" w:rsidRDefault="00000000" w:rsidRPr="00000000" w14:paraId="0000006C">
      <w:pPr>
        <w:keepLines w:val="1"/>
        <w:spacing w:after="100" w:lineRule="auto"/>
        <w:rPr/>
      </w:pPr>
      <w:r w:rsidDel="00000000" w:rsidR="00000000" w:rsidRPr="00000000">
        <w:rPr>
          <w:rtl w:val="0"/>
        </w:rPr>
        <w:t xml:space="preserve">A broader review of chronic care organisational models found that caregiver outcomes are assessed less often than those of patients, which is an important service gap (Longhini </w:t>
      </w:r>
      <w:r w:rsidDel="00000000" w:rsidR="00000000" w:rsidRPr="00000000">
        <w:rPr>
          <w:i w:val="1"/>
          <w:iCs w:val="1"/>
          <w:rtl w:val="0"/>
        </w:rPr>
        <w:t xml:space="preserve">et al</w:t>
      </w:r>
      <w:r w:rsidDel="00000000" w:rsidR="00000000" w:rsidRPr="00000000">
        <w:rPr>
          <w:rtl w:val="0"/>
        </w:rPr>
        <w:t xml:space="preserve">., 2022). As far as RA is concerned, family involvement must be person-centred and service-enabled rather than a shift of clinical responsibilities onto relatives.</w:t>
      </w:r>
    </w:p>
    <w:p w:rsidR="00000000" w:rsidDel="00000000" w:rsidP="00000000" w:rsidRDefault="00000000" w:rsidRPr="00000000" w14:paraId="0000006D">
      <w:pPr>
        <w:pStyle w:val="Heading1"/>
        <w:rPr/>
      </w:pPr>
      <w:bookmarkStart w:colFirst="0" w:colLast="0" w:name="_heading=h.gmdhrrcvsld8" w:id="17"/>
      <w:bookmarkEnd w:id="17"/>
      <w:r w:rsidDel="00000000" w:rsidR="00000000" w:rsidRPr="00000000">
        <w:rPr>
          <w:rtl w:val="0"/>
        </w:rPr>
        <w:t xml:space="preserve">Evidence-Based Treatment and Management Through the NHS</w:t>
      </w:r>
    </w:p>
    <w:p w:rsidR="00000000" w:rsidDel="00000000" w:rsidP="00000000" w:rsidRDefault="00000000" w:rsidRPr="00000000" w14:paraId="0000006E">
      <w:pPr>
        <w:spacing w:after="100" w:lineRule="auto"/>
        <w:rPr/>
      </w:pPr>
      <w:r w:rsidDel="00000000" w:rsidR="00000000" w:rsidRPr="00000000">
        <w:rPr>
          <w:rtl w:val="0"/>
        </w:rPr>
        <w:t xml:space="preserve">Within the NHS, early and targeted disease control is a key clinical principle. The National Institute for Health and Care Excellence recommends treating active rheumatoid arthritis to achieve remission or low disease activity through a treat-to-target strategy. For newly diagnosed active disease, a conventional disease-modifying antirheumatic drug (DMARD), such as methotrexate, leflunomide or sulfasalazine, should start as soon as possible and preferably within three months of persistent symptoms (NICE, 2020). Glucocorticoids may be used as bridging treatment, while non-steroidal anti-inflammatory drugs (NSAIDs) may help control pain or stiffness when needed. Symptom relief alone is not the goal: disease-modifying treatment aims to suppress inflammation and reduce the risk of structural damage and loss of function (NICE, 2020; Smolen </w:t>
      </w:r>
      <w:r w:rsidDel="00000000" w:rsidR="00000000" w:rsidRPr="00000000">
        <w:rPr>
          <w:i w:val="1"/>
          <w:iCs w:val="1"/>
          <w:rtl w:val="0"/>
        </w:rPr>
        <w:t xml:space="preserve">et al</w:t>
      </w:r>
      <w:r w:rsidDel="00000000" w:rsidR="00000000" w:rsidRPr="00000000">
        <w:rPr>
          <w:rtl w:val="0"/>
        </w:rPr>
        <w:t xml:space="preserve">., 2023).</w:t>
      </w:r>
    </w:p>
    <w:p w:rsidR="00000000" w:rsidDel="00000000" w:rsidP="00000000" w:rsidRDefault="00000000" w:rsidRPr="00000000" w14:paraId="0000006F">
      <w:pPr>
        <w:spacing w:after="100" w:lineRule="auto"/>
        <w:rPr/>
      </w:pPr>
      <w:r w:rsidDel="00000000" w:rsidR="00000000" w:rsidRPr="00000000">
        <w:rPr>
          <w:rtl w:val="0"/>
        </w:rPr>
        <w:t xml:space="preserve">If conventional disease-modifying antirheumatic drugs do not provide sufficient control, biological or targeted synthetic disease-modifying antirheumatic drugs may be considered according to disease severity, previous response, safety and cost-effectiveness. Evidence reviews by the European Alliance of Associations for Rheumatology (EULAR) report clinical benefits from synthetic and biological therapies, although safety differs by medicine class and patient group (Kerschbaumer </w:t>
      </w:r>
      <w:r w:rsidDel="00000000" w:rsidR="00000000" w:rsidRPr="00000000">
        <w:rPr>
          <w:i w:val="1"/>
          <w:iCs w:val="1"/>
          <w:rtl w:val="0"/>
        </w:rPr>
        <w:t xml:space="preserve">et al</w:t>
      </w:r>
      <w:r w:rsidDel="00000000" w:rsidR="00000000" w:rsidRPr="00000000">
        <w:rPr>
          <w:rtl w:val="0"/>
        </w:rPr>
        <w:t xml:space="preserve">., 2023; Sepriano </w:t>
      </w:r>
      <w:r w:rsidDel="00000000" w:rsidR="00000000" w:rsidRPr="00000000">
        <w:rPr>
          <w:i w:val="1"/>
          <w:iCs w:val="1"/>
          <w:rtl w:val="0"/>
        </w:rPr>
        <w:t xml:space="preserve">et al</w:t>
      </w:r>
      <w:r w:rsidDel="00000000" w:rsidR="00000000" w:rsidRPr="00000000">
        <w:rPr>
          <w:rtl w:val="0"/>
        </w:rPr>
        <w:t xml:space="preserve">., 2023). A 2024 systematic review found better outcomes with treat-to-target strategies than usual care in most included comparisons, with a pooled relative risk for remission of 1.68 at one year (Hao, Oon and Nikpour, 2024). Reaching the target depends on timely review, repeated measurement and treatment adjustment. Safety monitoring is also essential, particularly for immunosuppression and co-morbidity (Sepriano </w:t>
      </w:r>
      <w:r w:rsidDel="00000000" w:rsidR="00000000" w:rsidRPr="00000000">
        <w:rPr>
          <w:i w:val="1"/>
          <w:iCs w:val="1"/>
          <w:rtl w:val="0"/>
        </w:rPr>
        <w:t xml:space="preserve">et al</w:t>
      </w:r>
      <w:r w:rsidDel="00000000" w:rsidR="00000000" w:rsidRPr="00000000">
        <w:rPr>
          <w:rtl w:val="0"/>
        </w:rPr>
        <w:t xml:space="preserve">., 2023).</w:t>
      </w:r>
    </w:p>
    <w:p w:rsidR="00000000" w:rsidDel="00000000" w:rsidP="00000000" w:rsidRDefault="00000000" w:rsidRPr="00000000" w14:paraId="00000070">
      <w:pPr>
        <w:spacing w:after="100" w:lineRule="auto"/>
        <w:rPr/>
      </w:pPr>
      <w:r w:rsidDel="00000000" w:rsidR="00000000" w:rsidRPr="00000000">
        <w:rPr>
          <w:rtl w:val="0"/>
        </w:rPr>
        <w:t xml:space="preserve">Drug treatment should be accompanied by rehabilitation and self-management. NICE recommends access to multidisciplinary team, including physiotherapy and occupational therapy, and annual review of disease activity, functional status, comorbidities and impact of RA on daily life (NICE, 2020). A systematic review in 2024 showed that occupational therapy helps to support self-management through education, problem-solving and adaptation of the activity, although interventions and measures differed between studies (Gavin </w:t>
      </w:r>
      <w:r w:rsidDel="00000000" w:rsidR="00000000" w:rsidRPr="00000000">
        <w:rPr>
          <w:i w:val="1"/>
          <w:iCs w:val="1"/>
          <w:rtl w:val="0"/>
        </w:rPr>
        <w:t xml:space="preserve">et al</w:t>
      </w:r>
      <w:r w:rsidDel="00000000" w:rsidR="00000000" w:rsidRPr="00000000">
        <w:rPr>
          <w:rtl w:val="0"/>
        </w:rPr>
        <w:t xml:space="preserve">., 2024). Exercise therapy is also appropriate. Evidence on physical activity in lifestyle proved its potential to improve patient-relevant outcomes, and a network meta-analysis from 2025 confirmed benefits of various types of exercises (Brady </w:t>
      </w:r>
      <w:r w:rsidDel="00000000" w:rsidR="00000000" w:rsidRPr="00000000">
        <w:rPr>
          <w:i w:val="1"/>
          <w:iCs w:val="1"/>
          <w:rtl w:val="0"/>
        </w:rPr>
        <w:t xml:space="preserve">et al</w:t>
      </w:r>
      <w:r w:rsidDel="00000000" w:rsidR="00000000" w:rsidRPr="00000000">
        <w:rPr>
          <w:rtl w:val="0"/>
        </w:rPr>
        <w:t xml:space="preserve">., 2023; Zhang </w:t>
      </w:r>
      <w:r w:rsidDel="00000000" w:rsidR="00000000" w:rsidRPr="00000000">
        <w:rPr>
          <w:i w:val="1"/>
          <w:iCs w:val="1"/>
          <w:rtl w:val="0"/>
        </w:rPr>
        <w:t xml:space="preserve">et al</w:t>
      </w:r>
      <w:r w:rsidDel="00000000" w:rsidR="00000000" w:rsidRPr="00000000">
        <w:rPr>
          <w:rtl w:val="0"/>
        </w:rPr>
        <w:t xml:space="preserve">., 2025).</w:t>
      </w:r>
    </w:p>
    <w:p w:rsidR="00000000" w:rsidDel="00000000" w:rsidP="00000000" w:rsidRDefault="00000000" w:rsidRPr="00000000" w14:paraId="00000071">
      <w:pPr>
        <w:keepLines w:val="1"/>
        <w:spacing w:after="100" w:lineRule="auto"/>
        <w:rPr/>
      </w:pPr>
      <w:r w:rsidDel="00000000" w:rsidR="00000000" w:rsidRPr="00000000">
        <w:rPr>
          <w:rtl w:val="0"/>
        </w:rPr>
        <w:t xml:space="preserve">Due to different certainty and responsiveness, the programs should be adjusted to the patient's symptoms, fitness, preferences and safety rather than prescribed as the same routine.</w:t>
      </w:r>
    </w:p>
    <w:p w:rsidR="00000000" w:rsidDel="00000000" w:rsidP="00000000" w:rsidRDefault="00000000" w:rsidRPr="00000000" w14:paraId="00000072">
      <w:pPr>
        <w:spacing w:after="100" w:lineRule="auto"/>
        <w:rPr/>
      </w:pPr>
      <w:r w:rsidDel="00000000" w:rsidR="00000000" w:rsidRPr="00000000">
        <w:rPr>
          <w:rtl w:val="0"/>
        </w:rPr>
        <w:t xml:space="preserve">Digital support can be additional but not replacement of clinical care. Systematic review showed that telehealth can support RA self-management, but results depended on the intervention and long-term effects were not always clear (MacIver, Hollinger and Carolan, 2021). Digital solutions should be provided along with non-digital ones in order to ensure that people who lack digital skills, Internet access or communication ability are not left behind.</w:t>
      </w:r>
    </w:p>
    <w:p w:rsidR="00000000" w:rsidDel="00000000" w:rsidP="00000000" w:rsidRDefault="00000000" w:rsidRPr="00000000" w14:paraId="00000073">
      <w:pPr>
        <w:pStyle w:val="Heading1"/>
        <w:rPr/>
      </w:pPr>
      <w:bookmarkStart w:colFirst="0" w:colLast="0" w:name="_heading=h.i26uqxm4ryxu" w:id="18"/>
      <w:bookmarkEnd w:id="18"/>
      <w:r w:rsidDel="00000000" w:rsidR="00000000" w:rsidRPr="00000000">
        <w:rPr>
          <w:rtl w:val="0"/>
        </w:rPr>
        <w:t xml:space="preserve">Theoretical Models and Frameworks for Improving Outcomes</w:t>
      </w:r>
    </w:p>
    <w:p w:rsidR="00000000" w:rsidDel="00000000" w:rsidP="00000000" w:rsidRDefault="00000000" w:rsidRPr="00000000" w14:paraId="00000074">
      <w:pPr>
        <w:pStyle w:val="Heading2"/>
        <w:rPr/>
      </w:pPr>
      <w:bookmarkStart w:colFirst="0" w:colLast="0" w:name="_heading=h.yj8iq8p5m7tj" w:id="19"/>
      <w:bookmarkEnd w:id="19"/>
      <w:r w:rsidDel="00000000" w:rsidR="00000000" w:rsidRPr="00000000">
        <w:rPr>
          <w:rtl w:val="0"/>
        </w:rPr>
        <w:t xml:space="preserve">UK model: House of Care</w:t>
      </w:r>
    </w:p>
    <w:p w:rsidR="00000000" w:rsidDel="00000000" w:rsidP="00000000" w:rsidRDefault="00000000" w:rsidRPr="00000000" w14:paraId="00000075">
      <w:pPr>
        <w:rPr>
          <w:color w:val="ee0000"/>
        </w:rPr>
      </w:pPr>
      <w:r w:rsidDel="00000000" w:rsidR="00000000" w:rsidRPr="00000000">
        <w:rPr>
          <w:b w:val="1"/>
          <w:bCs w:val="1"/>
          <w:color w:val="ee0000"/>
          <w:rtl w:val="0"/>
        </w:rPr>
        <w:t xml:space="preserve">House of Care is a UK personalised care approach. </w:t>
      </w:r>
      <w:r w:rsidDel="00000000" w:rsidR="00000000" w:rsidRPr="00000000">
        <w:rPr>
          <w:color w:val="ee0000"/>
          <w:rtl w:val="0"/>
        </w:rPr>
        <w:t xml:space="preserve">Care and support planning discussion links together key building blocks; in rheumatoid arthritis (RA), they have to integrate disease control with functional capacity, confidence and quality of life (Oliver, Roberts and Haines, 2020; NHS England, 2023).</w:t>
      </w:r>
    </w:p>
    <w:p w:rsidR="00000000" w:rsidDel="00000000" w:rsidP="00000000" w:rsidRDefault="00000000" w:rsidRPr="00000000" w14:paraId="00000076">
      <w:pPr>
        <w:rPr>
          <w:color w:val="ee0000"/>
        </w:rPr>
      </w:pPr>
      <w:r w:rsidDel="00000000" w:rsidR="00000000" w:rsidRPr="00000000">
        <w:rPr>
          <w:b w:val="1"/>
          <w:bCs w:val="1"/>
          <w:color w:val="ee0000"/>
          <w:rtl w:val="0"/>
        </w:rPr>
        <w:t xml:space="preserve">Engaged, informed individual and carer.</w:t>
      </w:r>
      <w:r w:rsidDel="00000000" w:rsidR="00000000" w:rsidRPr="00000000">
        <w:rPr>
          <w:color w:val="ee0000"/>
          <w:rtl w:val="0"/>
        </w:rPr>
        <w:t xml:space="preserve"> Information on RA, medication, fatigue management, flares and treatment options in clear language. Encourage individual to define their priorities like dressing, work or taking care of their family members and agree on reasonable goals. Carers get involved after receiving permission from the person.</w:t>
      </w:r>
    </w:p>
    <w:p w:rsidR="00000000" w:rsidDel="00000000" w:rsidP="00000000" w:rsidRDefault="00000000" w:rsidRPr="00000000" w14:paraId="00000077">
      <w:pPr>
        <w:rPr>
          <w:color w:val="ee0000"/>
        </w:rPr>
      </w:pPr>
      <w:r w:rsidDel="00000000" w:rsidR="00000000" w:rsidRPr="00000000">
        <w:rPr>
          <w:b w:val="1"/>
          <w:bCs w:val="1"/>
          <w:color w:val="ee0000"/>
          <w:rtl w:val="0"/>
        </w:rPr>
        <w:t xml:space="preserve">Care and support planning discussion.</w:t>
      </w:r>
      <w:r w:rsidDel="00000000" w:rsidR="00000000" w:rsidRPr="00000000">
        <w:rPr>
          <w:color w:val="ee0000"/>
          <w:rtl w:val="0"/>
        </w:rPr>
        <w:t xml:space="preserve"> Use the review to integrate disease activity and medicine safety with what matters to the person. Document agreed goals, responsible persons for each task and time for reviewing it so that the care plan becomes a guideline for the care and not just a documentation of it.</w:t>
      </w:r>
    </w:p>
    <w:p w:rsidR="00000000" w:rsidDel="00000000" w:rsidP="00000000" w:rsidRDefault="00000000" w:rsidRPr="00000000" w14:paraId="00000078">
      <w:pPr>
        <w:rPr>
          <w:color w:val="ee0000"/>
        </w:rPr>
      </w:pPr>
      <w:r w:rsidDel="00000000" w:rsidR="00000000" w:rsidRPr="00000000">
        <w:rPr>
          <w:b w:val="1"/>
          <w:bCs w:val="1"/>
          <w:color w:val="ee0000"/>
          <w:rtl w:val="0"/>
        </w:rPr>
        <w:t xml:space="preserve">Health and care professionals working in partnership.</w:t>
      </w:r>
      <w:r w:rsidDel="00000000" w:rsidR="00000000" w:rsidRPr="00000000">
        <w:rPr>
          <w:color w:val="ee0000"/>
          <w:rtl w:val="0"/>
        </w:rPr>
        <w:t xml:space="preserve"> Clinicians working in rheumatology, specialist nurse, GP, physiotherapist, occupational therapist and psychological services need to coordinate treatment, rehabilitation and referrals. Pain, fatigue, mood and functionality get reviewed with joint symptoms.</w:t>
      </w:r>
    </w:p>
    <w:p w:rsidR="00000000" w:rsidDel="00000000" w:rsidP="00000000" w:rsidRDefault="00000000" w:rsidRPr="00000000" w14:paraId="00000079">
      <w:pPr>
        <w:rPr>
          <w:color w:val="ee0000"/>
        </w:rPr>
      </w:pPr>
      <w:r w:rsidDel="00000000" w:rsidR="00000000" w:rsidRPr="00000000">
        <w:rPr>
          <w:b w:val="1"/>
          <w:bCs w:val="1"/>
          <w:color w:val="ee0000"/>
          <w:rtl w:val="0"/>
        </w:rPr>
        <w:t xml:space="preserve">Organisational processes and arrangements.</w:t>
      </w:r>
      <w:r w:rsidDel="00000000" w:rsidR="00000000" w:rsidRPr="00000000">
        <w:rPr>
          <w:color w:val="ee0000"/>
          <w:rtl w:val="0"/>
        </w:rPr>
        <w:t xml:space="preserve"> Ensure prompt appointments, testing, monitoring of medication safety, annual review and easy access to urgent advice. Named coordinator keeps track of referrals and outstanding tasks. Accessible information, interpreters and telephone availability minimize the obstacles.</w:t>
      </w:r>
    </w:p>
    <w:p w:rsidR="00000000" w:rsidDel="00000000" w:rsidP="00000000" w:rsidRDefault="00000000" w:rsidRPr="00000000" w14:paraId="0000007A">
      <w:pPr>
        <w:rPr>
          <w:color w:val="ee0000"/>
        </w:rPr>
      </w:pPr>
      <w:r w:rsidDel="00000000" w:rsidR="00000000" w:rsidRPr="00000000">
        <w:rPr>
          <w:b w:val="1"/>
          <w:bCs w:val="1"/>
          <w:color w:val="ee0000"/>
          <w:rtl w:val="0"/>
        </w:rPr>
        <w:t xml:space="preserve">Commissioning and community resources ("more than medicine").</w:t>
      </w:r>
      <w:r w:rsidDel="00000000" w:rsidR="00000000" w:rsidRPr="00000000">
        <w:rPr>
          <w:color w:val="ee0000"/>
          <w:rtl w:val="0"/>
        </w:rPr>
        <w:t xml:space="preserve"> Ensure integration of care plan with community exercise, peer support, welfare or employment advice and psychological services if necessary. In case of absence of local services, document this fact and find a way out (Dup, 2020).</w:t>
      </w:r>
    </w:p>
    <w:p w:rsidR="00000000" w:rsidDel="00000000" w:rsidP="00000000" w:rsidRDefault="00000000" w:rsidRPr="00000000" w14:paraId="0000007B">
      <w:pPr>
        <w:jc w:val="center"/>
        <w:rPr/>
      </w:pPr>
      <w:r w:rsidDel="00000000" w:rsidR="00000000" w:rsidRPr="00000000">
        <w:rPr/>
        <w:drawing>
          <wp:inline distB="0" distT="0" distL="0" distR="0">
            <wp:extent cx="3627120" cy="3634740"/>
            <wp:effectExtent b="0" l="0" r="0" t="0"/>
            <wp:docPr descr="House of Care" id="1694424884" name="image2.gif"/>
            <a:graphic>
              <a:graphicData uri="http://schemas.openxmlformats.org/drawingml/2006/picture">
                <pic:pic>
                  <pic:nvPicPr>
                    <pic:cNvPr descr="House of Care" id="0" name="image2.gif"/>
                    <pic:cNvPicPr preferRelativeResize="0"/>
                  </pic:nvPicPr>
                  <pic:blipFill>
                    <a:blip r:embed="rId9"/>
                    <a:srcRect b="0" l="0" r="0" t="0"/>
                    <a:stretch>
                      <a:fillRect/>
                    </a:stretch>
                  </pic:blipFill>
                  <pic:spPr>
                    <a:xfrm>
                      <a:off x="0" y="0"/>
                      <a:ext cx="3627120" cy="3634740"/>
                    </a:xfrm>
                    <a:prstGeom prst="rect"/>
                    <a:ln/>
                  </pic:spPr>
                </pic:pic>
              </a:graphicData>
            </a:graphic>
          </wp:inline>
        </w:drawing>
      </w:r>
      <w:r w:rsidDel="00000000" w:rsidR="00000000" w:rsidRPr="00000000">
        <w:rPr>
          <w:rtl w:val="0"/>
        </w:rPr>
      </w:r>
    </w:p>
    <w:p w:rsidR="00000000" w:rsidDel="00000000" w:rsidP="00000000" w:rsidRDefault="00000000" w:rsidRPr="00000000" w14:paraId="0000007C">
      <w:pPr>
        <w:keepNext w:val="1"/>
        <w:spacing w:after="20" w:lineRule="auto"/>
        <w:jc w:val="center"/>
        <w:rPr/>
      </w:pPr>
      <w:r w:rsidDel="00000000" w:rsidR="00000000" w:rsidRPr="00000000">
        <w:rPr>
          <w:b w:val="1"/>
          <w:bCs w:val="1"/>
          <w:rtl w:val="0"/>
        </w:rPr>
        <w:t xml:space="preserve">Figure 3.</w:t>
      </w:r>
      <w:r w:rsidDel="00000000" w:rsidR="00000000" w:rsidRPr="00000000">
        <w:rPr>
          <w:rtl w:val="0"/>
        </w:rPr>
        <w:t xml:space="preserve"> House of Care framework for person-centred coordinated care.</w:t>
      </w:r>
    </w:p>
    <w:p w:rsidR="00000000" w:rsidDel="00000000" w:rsidP="00000000" w:rsidRDefault="00000000" w:rsidRPr="00000000" w14:paraId="0000007D">
      <w:pPr>
        <w:spacing w:after="140" w:lineRule="auto"/>
        <w:jc w:val="center"/>
        <w:rPr/>
      </w:pPr>
      <w:r w:rsidDel="00000000" w:rsidR="00000000" w:rsidRPr="00000000">
        <w:rPr>
          <w:rtl w:val="0"/>
        </w:rPr>
        <w:t xml:space="preserve">Source: Scottish Government (2019), Figure 1.</w:t>
      </w:r>
    </w:p>
    <w:p w:rsidR="00000000" w:rsidDel="00000000" w:rsidP="00000000" w:rsidRDefault="00000000" w:rsidRPr="00000000" w14:paraId="0000007E">
      <w:pPr>
        <w:pStyle w:val="Heading2"/>
        <w:rPr/>
      </w:pPr>
      <w:bookmarkStart w:colFirst="0" w:colLast="0" w:name="_heading=h.at81fe8km1cw" w:id="20"/>
      <w:bookmarkEnd w:id="20"/>
      <w:r w:rsidDel="00000000" w:rsidR="00000000" w:rsidRPr="00000000">
        <w:rPr>
          <w:rtl w:val="0"/>
        </w:rPr>
        <w:t xml:space="preserve">International model: Chronic Care Model</w:t>
      </w:r>
    </w:p>
    <w:p w:rsidR="00000000" w:rsidDel="00000000" w:rsidP="00000000" w:rsidRDefault="00000000" w:rsidRPr="00000000" w14:paraId="0000007F">
      <w:pPr>
        <w:rPr>
          <w:color w:val="ee0000"/>
        </w:rPr>
      </w:pPr>
      <w:r w:rsidDel="00000000" w:rsidR="00000000" w:rsidRPr="00000000">
        <w:rPr>
          <w:color w:val="ee0000"/>
          <w:rtl w:val="0"/>
        </w:rPr>
        <w:t xml:space="preserve">The Chronic Care Model (CCM) is based on the concept of the relationship between an informed and activated patient and a prepared and proactive team, supported by organized services. All six elements of the model can be used as a framework for organized care of patients with RA (Goh </w:t>
      </w:r>
      <w:r w:rsidDel="00000000" w:rsidR="00000000" w:rsidRPr="00000000">
        <w:rPr>
          <w:i w:val="1"/>
          <w:iCs w:val="1"/>
          <w:color w:val="ee0000"/>
          <w:rtl w:val="0"/>
        </w:rPr>
        <w:t xml:space="preserve">et al</w:t>
      </w:r>
      <w:r w:rsidDel="00000000" w:rsidR="00000000" w:rsidRPr="00000000">
        <w:rPr>
          <w:color w:val="ee0000"/>
          <w:rtl w:val="0"/>
        </w:rPr>
        <w:t xml:space="preserve">., 2022; Longhini </w:t>
      </w:r>
      <w:r w:rsidDel="00000000" w:rsidR="00000000" w:rsidRPr="00000000">
        <w:rPr>
          <w:i w:val="1"/>
          <w:iCs w:val="1"/>
          <w:color w:val="ee0000"/>
          <w:rtl w:val="0"/>
        </w:rPr>
        <w:t xml:space="preserve">et al</w:t>
      </w:r>
      <w:r w:rsidDel="00000000" w:rsidR="00000000" w:rsidRPr="00000000">
        <w:rPr>
          <w:color w:val="ee0000"/>
          <w:rtl w:val="0"/>
        </w:rPr>
        <w:t xml:space="preserve">., 2022).</w:t>
      </w:r>
    </w:p>
    <w:p w:rsidR="00000000" w:rsidDel="00000000" w:rsidP="00000000" w:rsidRDefault="00000000" w:rsidRPr="00000000" w14:paraId="00000080">
      <w:pPr>
        <w:rPr>
          <w:color w:val="ee0000"/>
        </w:rPr>
      </w:pPr>
      <w:r w:rsidDel="00000000" w:rsidR="00000000" w:rsidRPr="00000000">
        <w:rPr>
          <w:b w:val="1"/>
          <w:bCs w:val="1"/>
          <w:color w:val="ee0000"/>
          <w:rtl w:val="0"/>
        </w:rPr>
        <w:t xml:space="preserve">Healthcare organization.</w:t>
      </w:r>
      <w:r w:rsidDel="00000000" w:rsidR="00000000" w:rsidRPr="00000000">
        <w:rPr>
          <w:color w:val="ee0000"/>
          <w:rtl w:val="0"/>
        </w:rPr>
        <w:t xml:space="preserve"> Establish responsibility for early referral, treatment escalation, and annual review and audit to ensure timely delivery of care at the level of the health service and not depending on each patient.</w:t>
      </w:r>
    </w:p>
    <w:p w:rsidR="00000000" w:rsidDel="00000000" w:rsidP="00000000" w:rsidRDefault="00000000" w:rsidRPr="00000000" w14:paraId="00000081">
      <w:pPr>
        <w:rPr>
          <w:color w:val="ee0000"/>
        </w:rPr>
      </w:pPr>
      <w:r w:rsidDel="00000000" w:rsidR="00000000" w:rsidRPr="00000000">
        <w:rPr>
          <w:b w:val="1"/>
          <w:bCs w:val="1"/>
          <w:color w:val="ee0000"/>
          <w:rtl w:val="0"/>
        </w:rPr>
        <w:t xml:space="preserve">Community resources and policies.</w:t>
      </w:r>
      <w:r w:rsidDel="00000000" w:rsidR="00000000" w:rsidRPr="00000000">
        <w:rPr>
          <w:color w:val="ee0000"/>
          <w:rtl w:val="0"/>
        </w:rPr>
        <w:t xml:space="preserve"> Maintain connections to local rehabilitation, physical activity, peer support, and employment services to ensure that the options are relevant to patient location, mobility and language abilities.</w:t>
      </w:r>
    </w:p>
    <w:p w:rsidR="00000000" w:rsidDel="00000000" w:rsidP="00000000" w:rsidRDefault="00000000" w:rsidRPr="00000000" w14:paraId="00000082">
      <w:pPr>
        <w:rPr>
          <w:color w:val="ee0000"/>
        </w:rPr>
      </w:pPr>
      <w:r w:rsidDel="00000000" w:rsidR="00000000" w:rsidRPr="00000000">
        <w:rPr>
          <w:b w:val="1"/>
          <w:bCs w:val="1"/>
          <w:color w:val="ee0000"/>
          <w:rtl w:val="0"/>
        </w:rPr>
        <w:t xml:space="preserve">Self-management support.</w:t>
      </w:r>
      <w:r w:rsidDel="00000000" w:rsidR="00000000" w:rsidRPr="00000000">
        <w:rPr>
          <w:color w:val="ee0000"/>
          <w:rtl w:val="0"/>
        </w:rPr>
        <w:t xml:space="preserve"> Train in pacing, joint protection, safe physical activity, medicines adherence and flare management. Provide problem-solving and psychological support, and review the goals of the person, rather than expect patients to manage by themselves.</w:t>
      </w:r>
    </w:p>
    <w:p w:rsidR="00000000" w:rsidDel="00000000" w:rsidP="00000000" w:rsidRDefault="00000000" w:rsidRPr="00000000" w14:paraId="00000083">
      <w:pPr>
        <w:rPr>
          <w:color w:val="ee0000"/>
        </w:rPr>
      </w:pPr>
      <w:r w:rsidDel="00000000" w:rsidR="00000000" w:rsidRPr="00000000">
        <w:rPr>
          <w:b w:val="1"/>
          <w:bCs w:val="1"/>
          <w:color w:val="ee0000"/>
          <w:rtl w:val="0"/>
        </w:rPr>
        <w:t xml:space="preserve">Delivery system design.</w:t>
      </w:r>
      <w:r w:rsidDel="00000000" w:rsidR="00000000" w:rsidRPr="00000000">
        <w:rPr>
          <w:color w:val="ee0000"/>
          <w:rtl w:val="0"/>
        </w:rPr>
        <w:t xml:space="preserve"> Organize proactive rheumatology consultations with involvement of nurses, physiotherapy, and occupational therapy as needed. Identify responsible individuals for test results, referrals and follow-up so that functional changes would not be overlooked.</w:t>
      </w:r>
    </w:p>
    <w:p w:rsidR="00000000" w:rsidDel="00000000" w:rsidP="00000000" w:rsidRDefault="00000000" w:rsidRPr="00000000" w14:paraId="00000084">
      <w:pPr>
        <w:rPr>
          <w:color w:val="ee0000"/>
        </w:rPr>
      </w:pPr>
      <w:r w:rsidDel="00000000" w:rsidR="00000000" w:rsidRPr="00000000">
        <w:rPr>
          <w:b w:val="1"/>
          <w:bCs w:val="1"/>
          <w:color w:val="ee0000"/>
          <w:rtl w:val="0"/>
        </w:rPr>
        <w:t xml:space="preserve">Decision support.</w:t>
      </w:r>
      <w:r w:rsidDel="00000000" w:rsidR="00000000" w:rsidRPr="00000000">
        <w:rPr>
          <w:color w:val="ee0000"/>
          <w:rtl w:val="0"/>
        </w:rPr>
        <w:t xml:space="preserve"> Use NICE guidelines, validated tools to measure disease activity and tools to facilitate shared decision-making about treatment escalation, its potential benefits and risks and patient preferences. Review decisions in case the set target is not achieved.</w:t>
      </w:r>
    </w:p>
    <w:p w:rsidR="00000000" w:rsidDel="00000000" w:rsidP="00000000" w:rsidRDefault="00000000" w:rsidRPr="00000000" w14:paraId="00000085">
      <w:pPr>
        <w:rPr>
          <w:color w:val="ee0000"/>
        </w:rPr>
      </w:pPr>
      <w:r w:rsidDel="00000000" w:rsidR="00000000" w:rsidRPr="00000000">
        <w:rPr>
          <w:b w:val="1"/>
          <w:bCs w:val="1"/>
          <w:color w:val="ee0000"/>
          <w:rtl w:val="0"/>
        </w:rPr>
        <w:t xml:space="preserve">Clinical information systems.</w:t>
      </w:r>
      <w:r w:rsidDel="00000000" w:rsidR="00000000" w:rsidRPr="00000000">
        <w:rPr>
          <w:color w:val="ee0000"/>
          <w:rtl w:val="0"/>
        </w:rPr>
        <w:t xml:space="preserve"> Collect and organize symptoms, disease activity, medications, blood tests results, function, fatigue, referrals and patient-reported outcomes in one shared record. This way teams can identify overdue care and inequalities in access.</w:t>
      </w:r>
    </w:p>
    <w:p w:rsidR="00000000" w:rsidDel="00000000" w:rsidP="00000000" w:rsidRDefault="00000000" w:rsidRPr="00000000" w14:paraId="00000086">
      <w:pPr>
        <w:rPr>
          <w:color w:val="ee0000"/>
        </w:rPr>
      </w:pPr>
      <w:r w:rsidDel="00000000" w:rsidR="00000000" w:rsidRPr="00000000">
        <w:rPr>
          <w:color w:val="ee0000"/>
          <w:rtl w:val="0"/>
        </w:rPr>
        <w:t xml:space="preserve">Implementation of the model can be evaluated by measuring referral times, disease control, function and patient experience. Much of the cited evidence for the CCM relates to other chronic conditions, so it is necessary to monitor outcomes locally when using the model (Goh </w:t>
      </w:r>
      <w:r w:rsidDel="00000000" w:rsidR="00000000" w:rsidRPr="00000000">
        <w:rPr>
          <w:i w:val="1"/>
          <w:iCs w:val="1"/>
          <w:color w:val="ee0000"/>
          <w:rtl w:val="0"/>
        </w:rPr>
        <w:t xml:space="preserve">et al</w:t>
      </w:r>
      <w:r w:rsidDel="00000000" w:rsidR="00000000" w:rsidRPr="00000000">
        <w:rPr>
          <w:color w:val="ee0000"/>
          <w:rtl w:val="0"/>
        </w:rPr>
        <w:t xml:space="preserve">., 2022; Longhini </w:t>
      </w:r>
      <w:r w:rsidDel="00000000" w:rsidR="00000000" w:rsidRPr="00000000">
        <w:rPr>
          <w:i w:val="1"/>
          <w:iCs w:val="1"/>
          <w:color w:val="ee0000"/>
          <w:rtl w:val="0"/>
        </w:rPr>
        <w:t xml:space="preserve">et al</w:t>
      </w:r>
      <w:r w:rsidDel="00000000" w:rsidR="00000000" w:rsidRPr="00000000">
        <w:rPr>
          <w:color w:val="ee0000"/>
          <w:rtl w:val="0"/>
        </w:rPr>
        <w:t xml:space="preserve">., 2022).</w:t>
      </w:r>
    </w:p>
    <w:p w:rsidR="00000000" w:rsidDel="00000000" w:rsidP="00000000" w:rsidRDefault="00000000" w:rsidRPr="00000000" w14:paraId="00000087">
      <w:pPr>
        <w:pStyle w:val="Heading2"/>
        <w:rPr/>
      </w:pPr>
      <w:r w:rsidDel="00000000" w:rsidR="00000000" w:rsidRPr="00000000">
        <w:rPr>
          <w:rtl w:val="0"/>
        </w:rPr>
        <w:t xml:space="preserve">Comparison of the Models</w:t>
      </w:r>
    </w:p>
    <w:p w:rsidR="00000000" w:rsidDel="00000000" w:rsidP="00000000" w:rsidRDefault="00000000" w:rsidRPr="00000000" w14:paraId="00000088">
      <w:pPr>
        <w:rPr>
          <w:color w:val="ee0000"/>
        </w:rPr>
      </w:pPr>
      <w:r w:rsidDel="00000000" w:rsidR="00000000" w:rsidRPr="00000000">
        <w:rPr>
          <w:color w:val="ee0000"/>
          <w:rtl w:val="0"/>
        </w:rPr>
        <w:t xml:space="preserve">The two models complement each other. The House of Care establishes the structure of a personal conversation and CCM provides a structure for organizing proactive follow-ups and sharing information. An RA pathway can use both models by agreeing personal targets, measuring disease activity and function, evaluating referral to treatment times and identifying inequalities in access (NICE, 2020; NHS England, 2023).</w:t>
      </w:r>
    </w:p>
    <w:p w:rsidR="00000000" w:rsidDel="00000000" w:rsidP="00000000" w:rsidRDefault="00000000" w:rsidRPr="00000000" w14:paraId="00000089">
      <w:pPr>
        <w:spacing w:after="80" w:lineRule="auto"/>
        <w:jc w:val="center"/>
        <w:rPr/>
      </w:pPr>
      <w:r w:rsidDel="00000000" w:rsidR="00000000" w:rsidRPr="00000000">
        <w:rPr/>
        <w:drawing>
          <wp:inline distB="0" distT="0" distL="0" distR="0">
            <wp:extent cx="4389120" cy="4023995"/>
            <wp:effectExtent b="0" l="0" r="0" t="0"/>
            <wp:docPr id="1694424887"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4389120" cy="4023995"/>
                    </a:xfrm>
                    <a:prstGeom prst="rect"/>
                    <a:ln/>
                  </pic:spPr>
                </pic:pic>
              </a:graphicData>
            </a:graphic>
          </wp:inline>
        </w:drawing>
      </w:r>
      <w:r w:rsidDel="00000000" w:rsidR="00000000" w:rsidRPr="00000000">
        <w:rPr>
          <w:rtl w:val="0"/>
        </w:rPr>
      </w:r>
    </w:p>
    <w:p w:rsidR="00000000" w:rsidDel="00000000" w:rsidP="00000000" w:rsidRDefault="00000000" w:rsidRPr="00000000" w14:paraId="0000008A">
      <w:pPr>
        <w:jc w:val="center"/>
        <w:rPr/>
      </w:pPr>
      <w:r w:rsidDel="00000000" w:rsidR="00000000" w:rsidRPr="00000000">
        <w:rPr>
          <w:b w:val="1"/>
          <w:bCs w:val="1"/>
          <w:rtl w:val="0"/>
        </w:rPr>
        <w:t xml:space="preserve">Figure 4. </w:t>
      </w:r>
      <w:r w:rsidDel="00000000" w:rsidR="00000000" w:rsidRPr="00000000">
        <w:rPr>
          <w:rtl w:val="0"/>
        </w:rPr>
        <w:t xml:space="preserve">The Chronic Care Model for improving long-term condition outcomes.</w:t>
      </w:r>
    </w:p>
    <w:p w:rsidR="00000000" w:rsidDel="00000000" w:rsidP="00000000" w:rsidRDefault="00000000" w:rsidRPr="00000000" w14:paraId="0000008B">
      <w:pPr>
        <w:spacing w:after="140" w:lineRule="auto"/>
        <w:jc w:val="center"/>
        <w:rPr/>
      </w:pPr>
      <w:r w:rsidDel="00000000" w:rsidR="00000000" w:rsidRPr="00000000">
        <w:rPr>
          <w:rtl w:val="0"/>
        </w:rPr>
        <w:t xml:space="preserve">Source: Center for Accelerating Care Transformation (ACT Center) (2026).</w:t>
      </w:r>
    </w:p>
    <w:p w:rsidR="00000000" w:rsidDel="00000000" w:rsidP="00000000" w:rsidRDefault="00000000" w:rsidRPr="00000000" w14:paraId="0000008C">
      <w:pPr>
        <w:pStyle w:val="Heading1"/>
        <w:rPr/>
      </w:pPr>
      <w:bookmarkStart w:colFirst="0" w:colLast="0" w:name="_heading=h.14wl56ly7wc2" w:id="21"/>
      <w:bookmarkEnd w:id="21"/>
      <w:r w:rsidDel="00000000" w:rsidR="00000000" w:rsidRPr="00000000">
        <w:rPr>
          <w:rtl w:val="0"/>
        </w:rPr>
        <w:t xml:space="preserve">Local and National Health and Social-Care Policy and Implementation</w:t>
      </w:r>
    </w:p>
    <w:p w:rsidR="00000000" w:rsidDel="00000000" w:rsidP="00000000" w:rsidRDefault="00000000" w:rsidRPr="00000000" w14:paraId="0000008D">
      <w:pPr>
        <w:rPr>
          <w:color w:val="ee0000"/>
        </w:rPr>
      </w:pPr>
      <w:bookmarkStart w:colFirst="0" w:colLast="0" w:name="_heading=h.8koieatz27ho" w:id="22"/>
      <w:bookmarkEnd w:id="22"/>
      <w:r w:rsidDel="00000000" w:rsidR="00000000" w:rsidRPr="00000000">
        <w:rPr>
          <w:color w:val="ee0000"/>
          <w:rtl w:val="0"/>
        </w:rPr>
        <w:t xml:space="preserve">NICE guidance NG100 advises urgent referral to specialists, disease-modifying drugs, treat to target management, shared decision-making, patient education, multidisciplinary involvement and annual reviews (NICE, 2020). The 2024/25 National Early Inflammatory Arthritis Audit, however, found that only 60% of people started taking a disease modifying anti-rheumatic drug within six weeks of referral, while 38% suffered from symptoms for at least six months prior to referral (Healthcare Quality Improvement Partnership, 2025).</w:t>
      </w:r>
    </w:p>
    <w:p w:rsidR="00000000" w:rsidDel="00000000" w:rsidP="00000000" w:rsidRDefault="00000000" w:rsidRPr="00000000" w14:paraId="0000008E">
      <w:pPr>
        <w:rPr>
          <w:color w:val="ee0000"/>
        </w:rPr>
      </w:pPr>
      <w:r w:rsidDel="00000000" w:rsidR="00000000" w:rsidRPr="00000000">
        <w:rPr>
          <w:color w:val="ee0000"/>
          <w:rtl w:val="0"/>
        </w:rPr>
        <w:t xml:space="preserve">The NHS Long Term Plan and 10 Year Health Plan for England emphasize the need for personalized care and community and digital services (NHS England, 2019; Department of Health and Social Care, 2025). For RA, such policies might be helpful to foster shared care plans and collaboration between general practice, rheumatologists and rehabilitation services. However, the broad policy framework will not provide specialist staffing, funding or referral criteria specifically for RA patients. Implementation needs to be accountable and measure patient-reported outcomes.</w:t>
      </w:r>
    </w:p>
    <w:p w:rsidR="00000000" w:rsidDel="00000000" w:rsidP="00000000" w:rsidRDefault="00000000" w:rsidRPr="00000000" w14:paraId="0000008F">
      <w:pPr>
        <w:rPr>
          <w:color w:val="ee0000"/>
        </w:rPr>
      </w:pPr>
      <w:r w:rsidDel="00000000" w:rsidR="00000000" w:rsidRPr="00000000">
        <w:rPr>
          <w:color w:val="ee0000"/>
          <w:rtl w:val="0"/>
        </w:rPr>
        <w:t xml:space="preserve">Equity has to be considered. Telehealth will suit some patients, but it may alienate those with poor access to the internet or difficulties with using technology, different language or communication barriers. The services have to continue offering face-to-face, interpreted and accessible care. They should monitor referral delay, initiation of treatment, disease activity, functional status, work and patient-reported outcomes by population group and then apply the results along with the patients and carers to close gaps and not just measure activity (Ciofoaia, Pillarisetty and Constantinescu, 2022; NHS England, 2023; Healthcare Quality Improvement Partnership, 2025).</w:t>
      </w:r>
    </w:p>
    <w:p w:rsidR="00000000" w:rsidDel="00000000" w:rsidP="00000000" w:rsidRDefault="00000000" w:rsidRPr="00000000" w14:paraId="00000090">
      <w:pPr>
        <w:pStyle w:val="Heading1"/>
        <w:rPr>
          <w:sz w:val="30"/>
          <w:szCs w:val="30"/>
        </w:rPr>
      </w:pPr>
      <w:r w:rsidDel="00000000" w:rsidR="00000000" w:rsidRPr="00000000">
        <w:rPr>
          <w:rtl w:val="0"/>
        </w:rPr>
        <w:t xml:space="preserve">Person-Centred Care and Self-Management</w:t>
      </w:r>
      <w:r w:rsidDel="00000000" w:rsidR="00000000" w:rsidRPr="00000000">
        <w:rPr>
          <w:rtl w:val="0"/>
        </w:rPr>
      </w:r>
    </w:p>
    <w:p w:rsidR="00000000" w:rsidDel="00000000" w:rsidP="00000000" w:rsidRDefault="00000000" w:rsidRPr="00000000" w14:paraId="00000091">
      <w:pPr>
        <w:spacing w:after="100" w:lineRule="auto"/>
        <w:rPr/>
      </w:pPr>
      <w:r w:rsidDel="00000000" w:rsidR="00000000" w:rsidRPr="00000000">
        <w:rPr>
          <w:rtl w:val="0"/>
        </w:rPr>
        <w:t xml:space="preserve">Person-centred RA management involves joint decision-making, plain-language explanation of the evidence, and linking clinical objectives to the things that the person wishes to do. Informed involvement in decisions and clear explanation of benefits and risks of the therapy options throughout the disease process are recommended by NICE (NICE, 2020). Person-centred planning can be more effective if the patient is able to set personal goals, like working, doing housework, or engaging in social activities (NHS England, 2023).</w:t>
      </w:r>
    </w:p>
    <w:p w:rsidR="00000000" w:rsidDel="00000000" w:rsidP="00000000" w:rsidRDefault="00000000" w:rsidRPr="00000000" w14:paraId="00000092">
      <w:pPr>
        <w:rPr>
          <w:color w:val="ee0000"/>
        </w:rPr>
      </w:pPr>
      <w:r w:rsidDel="00000000" w:rsidR="00000000" w:rsidRPr="00000000">
        <w:rPr>
          <w:color w:val="ee0000"/>
          <w:rtl w:val="0"/>
        </w:rPr>
        <w:t xml:space="preserve">Self-management should be facilitated, not expected of patients. The recommendations of the European Alliance of Associations for Rheumatology (EULAR) include education, goal-setting, problem-solving, psychosocial interventions, health behavior, physical activity, and digital interventions if applicable (Nikiphorou </w:t>
      </w:r>
      <w:r w:rsidDel="00000000" w:rsidR="00000000" w:rsidRPr="00000000">
        <w:rPr>
          <w:i w:val="1"/>
          <w:iCs w:val="1"/>
          <w:color w:val="ee0000"/>
          <w:rtl w:val="0"/>
        </w:rPr>
        <w:t xml:space="preserve">et al</w:t>
      </w:r>
      <w:r w:rsidDel="00000000" w:rsidR="00000000" w:rsidRPr="00000000">
        <w:rPr>
          <w:color w:val="ee0000"/>
          <w:rtl w:val="0"/>
        </w:rPr>
        <w:t xml:space="preserve">., 2021). Systematic analysis revealed the benefits of certain self-management interventions in individuals with rheumatoid arthritis; however, effect sizes and research quality differed, thus recommending personalized rather than standardized programs (Marques </w:t>
      </w:r>
      <w:r w:rsidDel="00000000" w:rsidR="00000000" w:rsidRPr="00000000">
        <w:rPr>
          <w:i w:val="1"/>
          <w:iCs w:val="1"/>
          <w:color w:val="ee0000"/>
          <w:rtl w:val="0"/>
        </w:rPr>
        <w:t xml:space="preserve">et al</w:t>
      </w:r>
      <w:r w:rsidDel="00000000" w:rsidR="00000000" w:rsidRPr="00000000">
        <w:rPr>
          <w:color w:val="ee0000"/>
          <w:rtl w:val="0"/>
        </w:rPr>
        <w:t xml:space="preserve">., 2021). Patient education might also have positive effects on psychological and medical measures (Wu </w:t>
      </w:r>
      <w:r w:rsidDel="00000000" w:rsidR="00000000" w:rsidRPr="00000000">
        <w:rPr>
          <w:i w:val="1"/>
          <w:iCs w:val="1"/>
          <w:color w:val="ee0000"/>
          <w:rtl w:val="0"/>
        </w:rPr>
        <w:t xml:space="preserve">et al</w:t>
      </w:r>
      <w:r w:rsidDel="00000000" w:rsidR="00000000" w:rsidRPr="00000000">
        <w:rPr>
          <w:color w:val="ee0000"/>
          <w:rtl w:val="0"/>
        </w:rPr>
        <w:t xml:space="preserve">., 2022). A 2024 meta-analysis has revealed an improvement in quality of life after patient education; nevertheless, its long-term effects need to be explored (Bounabe </w:t>
      </w:r>
      <w:r w:rsidDel="00000000" w:rsidR="00000000" w:rsidRPr="00000000">
        <w:rPr>
          <w:i w:val="1"/>
          <w:iCs w:val="1"/>
          <w:color w:val="ee0000"/>
          <w:rtl w:val="0"/>
        </w:rPr>
        <w:t xml:space="preserve">et al</w:t>
      </w:r>
      <w:r w:rsidDel="00000000" w:rsidR="00000000" w:rsidRPr="00000000">
        <w:rPr>
          <w:color w:val="ee0000"/>
          <w:rtl w:val="0"/>
        </w:rPr>
        <w:t xml:space="preserve">., 2024).</w:t>
      </w:r>
    </w:p>
    <w:p w:rsidR="00000000" w:rsidDel="00000000" w:rsidP="00000000" w:rsidRDefault="00000000" w:rsidRPr="00000000" w14:paraId="00000093">
      <w:pPr>
        <w:rPr/>
      </w:pPr>
      <w:r w:rsidDel="00000000" w:rsidR="00000000" w:rsidRPr="00000000">
        <w:rPr/>
        <w:drawing>
          <wp:inline distB="0" distT="0" distL="0" distR="0">
            <wp:extent cx="5487035" cy="4138295"/>
            <wp:effectExtent b="0" l="0" r="0" t="0"/>
            <wp:docPr id="1694424886" name="image3.png"/>
            <a:graphic>
              <a:graphicData uri="http://schemas.openxmlformats.org/drawingml/2006/picture">
                <pic:pic>
                  <pic:nvPicPr>
                    <pic:cNvPr id="0" name="image3.png"/>
                    <pic:cNvPicPr preferRelativeResize="0"/>
                  </pic:nvPicPr>
                  <pic:blipFill>
                    <a:blip r:embed="rId11"/>
                    <a:srcRect b="0" l="0" r="0" t="0"/>
                    <a:stretch>
                      <a:fillRect/>
                    </a:stretch>
                  </pic:blipFill>
                  <pic:spPr>
                    <a:xfrm>
                      <a:off x="0" y="0"/>
                      <a:ext cx="5487035" cy="4138295"/>
                    </a:xfrm>
                    <a:prstGeom prst="rect"/>
                    <a:ln/>
                  </pic:spPr>
                </pic:pic>
              </a:graphicData>
            </a:graphic>
          </wp:inline>
        </w:drawing>
      </w:r>
      <w:r w:rsidDel="00000000" w:rsidR="00000000" w:rsidRPr="00000000">
        <w:rPr>
          <w:rtl w:val="0"/>
        </w:rPr>
      </w:r>
    </w:p>
    <w:p w:rsidR="00000000" w:rsidDel="00000000" w:rsidP="00000000" w:rsidRDefault="00000000" w:rsidRPr="00000000" w14:paraId="00000094">
      <w:pPr>
        <w:keepNext w:val="1"/>
        <w:spacing w:after="20" w:lineRule="auto"/>
        <w:jc w:val="center"/>
        <w:rPr/>
      </w:pPr>
      <w:r w:rsidDel="00000000" w:rsidR="00000000" w:rsidRPr="00000000">
        <w:rPr>
          <w:b w:val="1"/>
          <w:bCs w:val="1"/>
          <w:rtl w:val="0"/>
        </w:rPr>
        <w:t xml:space="preserve">Figure 5:</w:t>
      </w:r>
      <w:r w:rsidDel="00000000" w:rsidR="00000000" w:rsidRPr="00000000">
        <w:rPr>
          <w:rtl w:val="0"/>
        </w:rPr>
        <w:t xml:space="preserve"> Non-pharmacological treatment options for difficult-to-treat rheumatoid arthritis.</w:t>
      </w:r>
    </w:p>
    <w:p w:rsidR="00000000" w:rsidDel="00000000" w:rsidP="00000000" w:rsidRDefault="00000000" w:rsidRPr="00000000" w14:paraId="00000095">
      <w:pPr>
        <w:spacing w:after="140" w:lineRule="auto"/>
        <w:jc w:val="center"/>
        <w:rPr/>
      </w:pPr>
      <w:r w:rsidDel="00000000" w:rsidR="00000000" w:rsidRPr="00000000">
        <w:rPr>
          <w:rtl w:val="0"/>
        </w:rPr>
        <w:t xml:space="preserve">Source: Majnik </w:t>
      </w:r>
      <w:r w:rsidDel="00000000" w:rsidR="00000000" w:rsidRPr="00000000">
        <w:rPr>
          <w:i w:val="1"/>
          <w:iCs w:val="1"/>
          <w:rtl w:val="0"/>
        </w:rPr>
        <w:t xml:space="preserve">et al</w:t>
      </w:r>
      <w:r w:rsidDel="00000000" w:rsidR="00000000" w:rsidRPr="00000000">
        <w:rPr>
          <w:rtl w:val="0"/>
        </w:rPr>
        <w:t xml:space="preserve">. (2022), Figure 1.</w:t>
      </w:r>
    </w:p>
    <w:p w:rsidR="00000000" w:rsidDel="00000000" w:rsidP="00000000" w:rsidRDefault="00000000" w:rsidRPr="00000000" w14:paraId="00000096">
      <w:pPr>
        <w:pStyle w:val="Heading2"/>
        <w:rPr/>
      </w:pPr>
      <w:bookmarkStart w:colFirst="0" w:colLast="0" w:name="_heading=h.irbcbhpoj1pp" w:id="23"/>
      <w:bookmarkEnd w:id="23"/>
      <w:r w:rsidDel="00000000" w:rsidR="00000000" w:rsidRPr="00000000">
        <w:rPr>
          <w:rtl w:val="0"/>
        </w:rPr>
        <w:t xml:space="preserve">End-of-life care where appropriate</w:t>
      </w:r>
    </w:p>
    <w:p w:rsidR="00000000" w:rsidDel="00000000" w:rsidP="00000000" w:rsidRDefault="00000000" w:rsidRPr="00000000" w14:paraId="00000097">
      <w:pPr>
        <w:spacing w:after="100" w:lineRule="auto"/>
        <w:rPr/>
      </w:pPr>
      <w:r w:rsidDel="00000000" w:rsidR="00000000" w:rsidRPr="00000000">
        <w:rPr>
          <w:rtl w:val="0"/>
        </w:rPr>
        <w:t xml:space="preserve">End-of-life care is not an ordinary component of stable RA; however, it may come into play where there is significant co-morbidity, frailty, or some other life-limiting illness. Here, the management should be guided by the individual’s preferences and symptoms, including input from the family where desired. This approach conforms to the tenets of personalized care which stress choice, control, and review (NHS England, 2023). The most important take-away here is that RA cannot be managed in isolation from other diseases or life issues.</w:t>
      </w:r>
    </w:p>
    <w:p w:rsidR="00000000" w:rsidDel="00000000" w:rsidP="00000000" w:rsidRDefault="00000000" w:rsidRPr="00000000" w14:paraId="00000098">
      <w:pPr>
        <w:pStyle w:val="Heading1"/>
        <w:rPr/>
      </w:pPr>
      <w:bookmarkStart w:colFirst="0" w:colLast="0" w:name="_heading=h.ndbtai3zwj12" w:id="24"/>
      <w:bookmarkEnd w:id="24"/>
      <w:r w:rsidDel="00000000" w:rsidR="00000000" w:rsidRPr="00000000">
        <w:rPr>
          <w:rtl w:val="0"/>
        </w:rPr>
        <w:t xml:space="preserve">Recommendations for Improvement</w:t>
      </w:r>
    </w:p>
    <w:p w:rsidR="00000000" w:rsidDel="00000000" w:rsidP="00000000" w:rsidRDefault="00000000" w:rsidRPr="00000000" w14:paraId="00000099">
      <w:pPr>
        <w:pStyle w:val="Heading2"/>
        <w:rPr/>
      </w:pPr>
      <w:bookmarkStart w:colFirst="0" w:colLast="0" w:name="_heading=h.wr218a97rw9j" w:id="25"/>
      <w:bookmarkEnd w:id="25"/>
      <w:r w:rsidDel="00000000" w:rsidR="00000000" w:rsidRPr="00000000">
        <w:rPr>
          <w:rtl w:val="0"/>
        </w:rPr>
        <w:t xml:space="preserve">Earlier referral and access</w:t>
      </w:r>
    </w:p>
    <w:p w:rsidR="00000000" w:rsidDel="00000000" w:rsidP="00000000" w:rsidRDefault="00000000" w:rsidRPr="00000000" w14:paraId="0000009A">
      <w:pPr>
        <w:rPr>
          <w:color w:val="ee0000"/>
        </w:rPr>
      </w:pPr>
      <w:r w:rsidDel="00000000" w:rsidR="00000000" w:rsidRPr="00000000">
        <w:rPr>
          <w:color w:val="ee0000"/>
          <w:rtl w:val="0"/>
        </w:rPr>
        <w:t xml:space="preserve">National Early Inflammatory Arthritis Audit reported that 38% of patients suffered symptoms for more than six months before referral (Healthcare Quality Improvement Partnership, 2025). Proper education to the primary care and proper referral guidelines provided by rheumatology can help overcome avoidable delays (NICE, 2020).</w:t>
      </w:r>
    </w:p>
    <w:p w:rsidR="00000000" w:rsidDel="00000000" w:rsidP="00000000" w:rsidRDefault="00000000" w:rsidRPr="00000000" w14:paraId="0000009B">
      <w:pPr>
        <w:pStyle w:val="Heading2"/>
        <w:rPr/>
      </w:pPr>
      <w:bookmarkStart w:colFirst="0" w:colLast="0" w:name="_heading=h.6cuce14nf0c4" w:id="26"/>
      <w:bookmarkEnd w:id="26"/>
      <w:r w:rsidDel="00000000" w:rsidR="00000000" w:rsidRPr="00000000">
        <w:rPr>
          <w:rtl w:val="0"/>
        </w:rPr>
        <w:t xml:space="preserve">Individualised care and support plans</w:t>
      </w:r>
    </w:p>
    <w:p w:rsidR="00000000" w:rsidDel="00000000" w:rsidP="00000000" w:rsidRDefault="00000000" w:rsidRPr="00000000" w14:paraId="0000009C">
      <w:pPr>
        <w:spacing w:after="100" w:lineRule="auto"/>
        <w:rPr/>
      </w:pPr>
      <w:r w:rsidDel="00000000" w:rsidR="00000000" w:rsidRPr="00000000">
        <w:rPr>
          <w:rtl w:val="0"/>
        </w:rPr>
        <w:t xml:space="preserve">It can combine NICE "treat-to-target" care plan with House of Care's interest-driven approach (NICE, 2020; NHS England, 2023).</w:t>
      </w:r>
    </w:p>
    <w:p w:rsidR="00000000" w:rsidDel="00000000" w:rsidP="00000000" w:rsidRDefault="00000000" w:rsidRPr="00000000" w14:paraId="0000009D">
      <w:pPr>
        <w:pStyle w:val="Heading2"/>
        <w:rPr/>
      </w:pPr>
      <w:bookmarkStart w:colFirst="0" w:colLast="0" w:name="_heading=h.t38uctqlrhp0" w:id="27"/>
      <w:bookmarkEnd w:id="27"/>
      <w:r w:rsidDel="00000000" w:rsidR="00000000" w:rsidRPr="00000000">
        <w:rPr>
          <w:rtl w:val="0"/>
        </w:rPr>
        <w:t xml:space="preserve">Blended self-management options</w:t>
      </w:r>
    </w:p>
    <w:p w:rsidR="00000000" w:rsidDel="00000000" w:rsidP="00000000" w:rsidRDefault="00000000" w:rsidRPr="00000000" w14:paraId="0000009E">
      <w:pPr>
        <w:spacing w:after="100" w:lineRule="auto"/>
        <w:rPr>
          <w:color w:val="ee0000"/>
        </w:rPr>
      </w:pPr>
      <w:r w:rsidDel="00000000" w:rsidR="00000000" w:rsidRPr="00000000">
        <w:rPr>
          <w:color w:val="ee0000"/>
          <w:rtl w:val="0"/>
        </w:rPr>
        <w:t xml:space="preserve">Offer a choice of face-to-face or group education, printed material, phone support and digital options. A blended approach is more equitable than digital-only care and should reflect the person’s preferences (Marques </w:t>
      </w:r>
      <w:r w:rsidDel="00000000" w:rsidR="00000000" w:rsidRPr="00000000">
        <w:rPr>
          <w:i w:val="1"/>
          <w:iCs w:val="1"/>
          <w:color w:val="ee0000"/>
          <w:rtl w:val="0"/>
        </w:rPr>
        <w:t xml:space="preserve">et al</w:t>
      </w:r>
      <w:r w:rsidDel="00000000" w:rsidR="00000000" w:rsidRPr="00000000">
        <w:rPr>
          <w:color w:val="ee0000"/>
          <w:rtl w:val="0"/>
        </w:rPr>
        <w:t xml:space="preserve">., 2021; MacIver, Hollinger and Carolan, 2021).</w:t>
      </w:r>
    </w:p>
    <w:p w:rsidR="00000000" w:rsidDel="00000000" w:rsidP="00000000" w:rsidRDefault="00000000" w:rsidRPr="00000000" w14:paraId="0000009F">
      <w:pPr>
        <w:pStyle w:val="Heading2"/>
        <w:rPr/>
      </w:pPr>
      <w:bookmarkStart w:colFirst="0" w:colLast="0" w:name="_heading=h.lhf7mhrttveh" w:id="28"/>
      <w:bookmarkEnd w:id="28"/>
      <w:r w:rsidDel="00000000" w:rsidR="00000000" w:rsidRPr="00000000">
        <w:rPr>
          <w:rtl w:val="0"/>
        </w:rPr>
        <w:t xml:space="preserve">Routine psychosocial assessment</w:t>
      </w:r>
    </w:p>
    <w:p w:rsidR="00000000" w:rsidDel="00000000" w:rsidP="00000000" w:rsidRDefault="00000000" w:rsidRPr="00000000" w14:paraId="000000A0">
      <w:pPr>
        <w:spacing w:after="100" w:lineRule="auto"/>
        <w:rPr>
          <w:color w:val="ee0000"/>
        </w:rPr>
      </w:pPr>
      <w:r w:rsidDel="00000000" w:rsidR="00000000" w:rsidRPr="00000000">
        <w:rPr>
          <w:color w:val="ee0000"/>
          <w:rtl w:val="0"/>
        </w:rPr>
        <w:t xml:space="preserve">Routine review should assess mood, coping and work impact as well as joint symptoms, because these factors influence quality of life (Ng </w:t>
      </w:r>
      <w:r w:rsidDel="00000000" w:rsidR="00000000" w:rsidRPr="00000000">
        <w:rPr>
          <w:i w:val="1"/>
          <w:iCs w:val="1"/>
          <w:color w:val="ee0000"/>
          <w:rtl w:val="0"/>
        </w:rPr>
        <w:t xml:space="preserve">et al</w:t>
      </w:r>
      <w:r w:rsidDel="00000000" w:rsidR="00000000" w:rsidRPr="00000000">
        <w:rPr>
          <w:color w:val="ee0000"/>
          <w:rtl w:val="0"/>
        </w:rPr>
        <w:t xml:space="preserve">., 2022; Kirkeskov and Bray, 2023).</w:t>
      </w:r>
    </w:p>
    <w:p w:rsidR="00000000" w:rsidDel="00000000" w:rsidP="00000000" w:rsidRDefault="00000000" w:rsidRPr="00000000" w14:paraId="000000A1">
      <w:pPr>
        <w:pStyle w:val="Heading2"/>
        <w:rPr/>
      </w:pPr>
      <w:bookmarkStart w:colFirst="0" w:colLast="0" w:name="_heading=h.9lrmmp8ym3jx" w:id="29"/>
      <w:bookmarkEnd w:id="29"/>
      <w:r w:rsidDel="00000000" w:rsidR="00000000" w:rsidRPr="00000000">
        <w:rPr>
          <w:rtl w:val="0"/>
        </w:rPr>
        <w:t xml:space="preserve">Outcome monitoring</w:t>
      </w:r>
    </w:p>
    <w:p w:rsidR="00000000" w:rsidDel="00000000" w:rsidP="00000000" w:rsidRDefault="00000000" w:rsidRPr="00000000" w14:paraId="000000A2">
      <w:pPr>
        <w:spacing w:after="100" w:lineRule="auto"/>
        <w:rPr>
          <w:i w:val="1"/>
          <w:iCs w:val="1"/>
          <w:color w:val="ee0000"/>
        </w:rPr>
      </w:pPr>
      <w:r w:rsidDel="00000000" w:rsidR="00000000" w:rsidRPr="00000000">
        <w:rPr>
          <w:color w:val="ee0000"/>
          <w:rtl w:val="0"/>
        </w:rPr>
        <w:t xml:space="preserve">Track referral time, DMARD initiation, disease activity, function, quality of life, work impact and patient experience. These measures make person-centred care measurable (Healthcare Quality Improvement Partnership, 2025; Longhini </w:t>
      </w:r>
      <w:r w:rsidDel="00000000" w:rsidR="00000000" w:rsidRPr="00000000">
        <w:rPr>
          <w:i w:val="1"/>
          <w:iCs w:val="1"/>
          <w:color w:val="ee0000"/>
          <w:rtl w:val="0"/>
        </w:rPr>
        <w:t xml:space="preserve">et al</w:t>
      </w:r>
      <w:r w:rsidDel="00000000" w:rsidR="00000000" w:rsidRPr="00000000">
        <w:rPr>
          <w:color w:val="ee0000"/>
          <w:rtl w:val="0"/>
        </w:rPr>
        <w:t xml:space="preserve">., 2022).</w:t>
      </w:r>
      <w:r w:rsidDel="00000000" w:rsidR="00000000" w:rsidRPr="00000000">
        <w:rPr>
          <w:rtl w:val="0"/>
        </w:rPr>
      </w:r>
    </w:p>
    <w:p w:rsidR="00000000" w:rsidDel="00000000" w:rsidP="00000000" w:rsidRDefault="00000000" w:rsidRPr="00000000" w14:paraId="000000A3">
      <w:pPr>
        <w:pStyle w:val="Heading1"/>
        <w:rPr/>
      </w:pPr>
      <w:bookmarkStart w:colFirst="0" w:colLast="0" w:name="_heading=h.fl5cw1yjd59y" w:id="30"/>
      <w:bookmarkEnd w:id="30"/>
      <w:r w:rsidDel="00000000" w:rsidR="00000000" w:rsidRPr="00000000">
        <w:rPr>
          <w:rtl w:val="0"/>
        </w:rPr>
        <w:t xml:space="preserve">Conclusion</w:t>
      </w:r>
    </w:p>
    <w:p w:rsidR="00000000" w:rsidDel="00000000" w:rsidP="00000000" w:rsidRDefault="00000000" w:rsidRPr="00000000" w14:paraId="000000A4">
      <w:pPr>
        <w:rPr>
          <w:color w:val="ee0000"/>
        </w:rPr>
      </w:pPr>
      <w:r w:rsidDel="00000000" w:rsidR="00000000" w:rsidRPr="00000000">
        <w:rPr>
          <w:color w:val="ee0000"/>
          <w:rtl w:val="0"/>
        </w:rPr>
        <w:t xml:space="preserve">Rheumatoid arthritis influences joint status, physical functioning, mental well-being, work, social participation, and domestic life. There is evidence for the early use of disease-modifying therapies, treatment to target, rehabilitation, and self-management interventions; however, audit results reveal that this is not universal (NICE, 2020; Healthcare Quality Improvement Partnership, 2025). The House of Care promotes shared planning, and the CCM manages the proactive delivery of services. Combining both involves assessing disease control, functionality, patient experience, tackling inequalities, and incorporating shared decision-making into everyday care (NHS England, 2023; Department of Health and Social Care, 2025).</w:t>
      </w:r>
    </w:p>
    <w:p w:rsidR="00000000" w:rsidDel="00000000" w:rsidP="00000000" w:rsidRDefault="00000000" w:rsidRPr="00000000" w14:paraId="000000A5">
      <w:pPr>
        <w:pStyle w:val="Heading1"/>
        <w:pageBreakBefore w:val="1"/>
        <w:rPr/>
      </w:pPr>
      <w:bookmarkStart w:colFirst="0" w:colLast="0" w:name="_heading=h.cqcpi75vja1a" w:id="31"/>
      <w:bookmarkEnd w:id="31"/>
      <w:r w:rsidDel="00000000" w:rsidR="00000000" w:rsidRPr="00000000">
        <w:rPr>
          <w:rtl w:val="0"/>
        </w:rPr>
        <w:t xml:space="preserve">Reference List</w:t>
      </w:r>
    </w:p>
    <w:p w:rsidR="00000000" w:rsidDel="00000000" w:rsidP="00000000" w:rsidRDefault="00000000" w:rsidRPr="00000000" w14:paraId="000000A6">
      <w:pPr>
        <w:keepLines w:val="1"/>
        <w:spacing w:after="80" w:before="0" w:line="240" w:lineRule="auto"/>
        <w:ind w:left="360" w:hanging="360"/>
        <w:rPr/>
      </w:pPr>
      <w:r w:rsidDel="00000000" w:rsidR="00000000" w:rsidRPr="00000000">
        <w:rPr>
          <w:color w:val="000000"/>
          <w:rtl w:val="0"/>
        </w:rPr>
        <w:t xml:space="preserve">Albert, L. (2024) ‘Rheumatoid arthritis in the hand’, </w:t>
      </w:r>
      <w:r w:rsidDel="00000000" w:rsidR="00000000" w:rsidRPr="00000000">
        <w:rPr>
          <w:i w:val="1"/>
          <w:iCs w:val="1"/>
          <w:color w:val="000000"/>
          <w:rtl w:val="0"/>
        </w:rPr>
        <w:t xml:space="preserve">RheumExam Atlas</w:t>
      </w:r>
      <w:r w:rsidDel="00000000" w:rsidR="00000000" w:rsidRPr="00000000">
        <w:rPr>
          <w:color w:val="000000"/>
          <w:rtl w:val="0"/>
        </w:rPr>
        <w:t xml:space="preserve">, 16 April. Available at: </w:t>
      </w:r>
      <w:hyperlink r:id="rId12">
        <w:r w:rsidDel="00000000" w:rsidR="00000000" w:rsidRPr="00000000">
          <w:rPr>
            <w:color w:val="000000"/>
            <w:u w:val="single"/>
            <w:rtl w:val="0"/>
          </w:rPr>
          <w:t xml:space="preserve">https://rheumexamatlas.com/2024/04/16/rheumatoid-arthritis-in-the-hand/</w:t>
        </w:r>
      </w:hyperlink>
      <w:r w:rsidDel="00000000" w:rsidR="00000000" w:rsidRPr="00000000">
        <w:rPr>
          <w:color w:val="000000"/>
          <w:rtl w:val="0"/>
        </w:rPr>
        <w:t xml:space="preserve"> (Accessed: 8 October 2026).</w:t>
      </w:r>
      <w:r w:rsidDel="00000000" w:rsidR="00000000" w:rsidRPr="00000000">
        <w:rPr>
          <w:rtl w:val="0"/>
        </w:rPr>
      </w:r>
    </w:p>
    <w:p w:rsidR="00000000" w:rsidDel="00000000" w:rsidP="00000000" w:rsidRDefault="00000000" w:rsidRPr="00000000" w14:paraId="000000A7">
      <w:pPr>
        <w:keepLines w:val="1"/>
        <w:spacing w:after="80" w:before="0" w:line="240" w:lineRule="auto"/>
        <w:ind w:left="360" w:hanging="360"/>
        <w:rPr/>
      </w:pPr>
      <w:r w:rsidDel="00000000" w:rsidR="00000000" w:rsidRPr="00000000">
        <w:rPr>
          <w:color w:val="000000"/>
          <w:rtl w:val="0"/>
        </w:rPr>
        <w:t xml:space="preserve">Bounabe, A., Elammare, S., Janani, S., Ouabich, R. and Elarrachi, I. (2024) Effectiveness of patient education on the quality of life of patients with rheumatoid arthritis: a systematic review and meta-analysis. Seminars in Arthritis and Rheumatism, 69, 152569. Available at: </w:t>
      </w:r>
      <w:hyperlink r:id="rId13">
        <w:r w:rsidDel="00000000" w:rsidR="00000000" w:rsidRPr="00000000">
          <w:rPr>
            <w:u w:val="single"/>
            <w:rtl w:val="0"/>
          </w:rPr>
          <w:t xml:space="preserve">https://doi.org/10.1016/j.semarthrit.2024.152569</w:t>
        </w:r>
      </w:hyperlink>
      <w:r w:rsidDel="00000000" w:rsidR="00000000" w:rsidRPr="00000000">
        <w:rPr>
          <w:rtl w:val="0"/>
        </w:rPr>
      </w:r>
    </w:p>
    <w:p w:rsidR="00000000" w:rsidDel="00000000" w:rsidP="00000000" w:rsidRDefault="00000000" w:rsidRPr="00000000" w14:paraId="000000A8">
      <w:pPr>
        <w:keepLines w:val="1"/>
        <w:spacing w:after="80" w:before="0" w:line="240" w:lineRule="auto"/>
        <w:ind w:left="360" w:hanging="360"/>
        <w:rPr/>
      </w:pPr>
      <w:r w:rsidDel="00000000" w:rsidR="00000000" w:rsidRPr="00000000">
        <w:rPr>
          <w:color w:val="000000"/>
          <w:rtl w:val="0"/>
        </w:rPr>
        <w:t xml:space="preserve">Brady, S.M., Veldhuijzen van Zanten, J.J.C.S., Dinas, P.C., Nightingale, T.E., Metsios, G.S., Elmsmari, S.M.A., Duda, J.L., Kitas, G.D. and Fenton, S.A.M. (2023) Effects of lifestyle physical activity and sedentary behaviour interventions on disease activity and patient- and clinician-important health outcomes in rheumatoid arthritis: a systematic review with meta-analysis. BMC Rheumatology, 7, 27. Available at: </w:t>
      </w:r>
      <w:hyperlink r:id="rId14">
        <w:r w:rsidDel="00000000" w:rsidR="00000000" w:rsidRPr="00000000">
          <w:rPr>
            <w:color w:val="000000"/>
            <w:u w:val="single"/>
            <w:rtl w:val="0"/>
          </w:rPr>
          <w:t xml:space="preserve">https://doi.org/10.1186/s41927-023-00352-9</w:t>
        </w:r>
      </w:hyperlink>
      <w:r w:rsidDel="00000000" w:rsidR="00000000" w:rsidRPr="00000000">
        <w:rPr>
          <w:color w:val="000000"/>
          <w:rtl w:val="0"/>
        </w:rPr>
        <w:t xml:space="preserve"> </w:t>
      </w:r>
      <w:r w:rsidDel="00000000" w:rsidR="00000000" w:rsidRPr="00000000">
        <w:rPr>
          <w:rtl w:val="0"/>
        </w:rPr>
      </w:r>
    </w:p>
    <w:p w:rsidR="00000000" w:rsidDel="00000000" w:rsidP="00000000" w:rsidRDefault="00000000" w:rsidRPr="00000000" w14:paraId="000000A9">
      <w:pPr>
        <w:keepLines w:val="1"/>
        <w:spacing w:after="80" w:before="0" w:line="240" w:lineRule="auto"/>
        <w:ind w:left="360" w:hanging="360"/>
        <w:rPr/>
      </w:pPr>
      <w:r w:rsidDel="00000000" w:rsidR="00000000" w:rsidRPr="00000000">
        <w:rPr>
          <w:color w:val="000000"/>
          <w:rtl w:val="0"/>
        </w:rPr>
        <w:t xml:space="preserve">Center for Accelerating Care Transformation (ACT Center) (2026) </w:t>
      </w:r>
      <w:r w:rsidDel="00000000" w:rsidR="00000000" w:rsidRPr="00000000">
        <w:rPr>
          <w:i w:val="1"/>
          <w:iCs w:val="1"/>
          <w:color w:val="000000"/>
          <w:rtl w:val="0"/>
        </w:rPr>
        <w:t xml:space="preserve">Chronic illness care: Chronic Care Model</w:t>
      </w:r>
      <w:r w:rsidDel="00000000" w:rsidR="00000000" w:rsidRPr="00000000">
        <w:rPr>
          <w:color w:val="000000"/>
          <w:rtl w:val="0"/>
        </w:rPr>
        <w:t xml:space="preserve">. Seattle, WA: Kaiser Permanente Washington Health Research Institute. Available at: </w:t>
      </w:r>
      <w:hyperlink r:id="rId15">
        <w:r w:rsidDel="00000000" w:rsidR="00000000" w:rsidRPr="00000000">
          <w:rPr>
            <w:color w:val="000000"/>
            <w:u w:val="single"/>
            <w:rtl w:val="0"/>
          </w:rPr>
          <w:t xml:space="preserve">https://www.act-center.org/our-work/primary-care-transformation/chronic-illness-care</w:t>
        </w:r>
      </w:hyperlink>
      <w:r w:rsidDel="00000000" w:rsidR="00000000" w:rsidRPr="00000000">
        <w:rPr>
          <w:color w:val="000000"/>
          <w:rtl w:val="0"/>
        </w:rPr>
        <w:t xml:space="preserve"> (Accessed: 8 October 2026).</w:t>
      </w:r>
      <w:r w:rsidDel="00000000" w:rsidR="00000000" w:rsidRPr="00000000">
        <w:rPr>
          <w:rtl w:val="0"/>
        </w:rPr>
      </w:r>
    </w:p>
    <w:p w:rsidR="00000000" w:rsidDel="00000000" w:rsidP="00000000" w:rsidRDefault="00000000" w:rsidRPr="00000000" w14:paraId="000000AA">
      <w:pPr>
        <w:keepLines w:val="1"/>
        <w:spacing w:after="80" w:before="0" w:line="240" w:lineRule="auto"/>
        <w:ind w:left="360" w:hanging="360"/>
        <w:rPr/>
      </w:pPr>
      <w:r w:rsidDel="00000000" w:rsidR="00000000" w:rsidRPr="00000000">
        <w:rPr>
          <w:color w:val="000000"/>
          <w:rtl w:val="0"/>
        </w:rPr>
        <w:t xml:space="preserve">Ciofoaia, E.I., Pillarisetty, A. and Constantinescu, F. (2022) Health disparities in rheumatoid arthritis. Therapeutic Advances in Musculoskeletal Disease, 14. Available at: </w:t>
      </w:r>
      <w:hyperlink r:id="rId16">
        <w:r w:rsidDel="00000000" w:rsidR="00000000" w:rsidRPr="00000000">
          <w:rPr>
            <w:u w:val="single"/>
            <w:rtl w:val="0"/>
          </w:rPr>
          <w:t xml:space="preserve">https://doi.org/10.1177/1759720X221137127</w:t>
        </w:r>
      </w:hyperlink>
      <w:r w:rsidDel="00000000" w:rsidR="00000000" w:rsidRPr="00000000">
        <w:rPr>
          <w:rtl w:val="0"/>
        </w:rPr>
      </w:r>
    </w:p>
    <w:p w:rsidR="00000000" w:rsidDel="00000000" w:rsidP="00000000" w:rsidRDefault="00000000" w:rsidRPr="00000000" w14:paraId="000000AB">
      <w:pPr>
        <w:keepLines w:val="1"/>
        <w:spacing w:after="80" w:before="0" w:line="240" w:lineRule="auto"/>
        <w:ind w:left="360" w:hanging="360"/>
        <w:rPr/>
      </w:pPr>
      <w:r w:rsidDel="00000000" w:rsidR="00000000" w:rsidRPr="00000000">
        <w:rPr>
          <w:color w:val="000000"/>
          <w:rtl w:val="0"/>
        </w:rPr>
        <w:t xml:space="preserve">De Cock, D., Doumen, M., Vervloesem, C., Van Breda, A., Bertrand, D., Pazmino, S., Westhovens, R. and Verschueren, P. (2022) Psychological stress in rheumatoid arthritis: a systematic scoping review. Seminars in Arthritis and Rheumatism, 55, 152014. Available at: </w:t>
      </w:r>
      <w:hyperlink r:id="rId17">
        <w:r w:rsidDel="00000000" w:rsidR="00000000" w:rsidRPr="00000000">
          <w:rPr>
            <w:color w:val="000000"/>
            <w:u w:val="single"/>
            <w:rtl w:val="0"/>
          </w:rPr>
          <w:t xml:space="preserve">https://doi.org/10.1016/j.semarthrit.2022.152014</w:t>
        </w:r>
      </w:hyperlink>
      <w:r w:rsidDel="00000000" w:rsidR="00000000" w:rsidRPr="00000000">
        <w:rPr>
          <w:color w:val="000000"/>
          <w:rtl w:val="0"/>
        </w:rPr>
        <w:t xml:space="preserve"> </w:t>
      </w:r>
      <w:r w:rsidDel="00000000" w:rsidR="00000000" w:rsidRPr="00000000">
        <w:rPr>
          <w:rtl w:val="0"/>
        </w:rPr>
      </w:r>
    </w:p>
    <w:p w:rsidR="00000000" w:rsidDel="00000000" w:rsidP="00000000" w:rsidRDefault="00000000" w:rsidRPr="00000000" w14:paraId="000000AC">
      <w:pPr>
        <w:keepLines w:val="1"/>
        <w:spacing w:after="80" w:before="0" w:line="240" w:lineRule="auto"/>
        <w:ind w:left="360" w:hanging="360"/>
        <w:rPr/>
      </w:pPr>
      <w:r w:rsidDel="00000000" w:rsidR="00000000" w:rsidRPr="00000000">
        <w:rPr>
          <w:color w:val="000000"/>
          <w:rtl w:val="0"/>
        </w:rPr>
        <w:t xml:space="preserve">Department of Health and Social Care (2025) Fit for the future: 10 Year Health Plan for England. Available at: </w:t>
      </w:r>
      <w:hyperlink r:id="rId18">
        <w:r w:rsidDel="00000000" w:rsidR="00000000" w:rsidRPr="00000000">
          <w:rPr>
            <w:color w:val="000000"/>
            <w:u w:val="single"/>
            <w:rtl w:val="0"/>
          </w:rPr>
          <w:t xml:space="preserve">https://www.gov.uk/government/publications/10-year-health-plan-for-england-fit-for-the-future</w:t>
        </w:r>
      </w:hyperlink>
      <w:r w:rsidDel="00000000" w:rsidR="00000000" w:rsidRPr="00000000">
        <w:rPr>
          <w:color w:val="000000"/>
          <w:rtl w:val="0"/>
        </w:rPr>
        <w:t xml:space="preserve"> (Accessed: 17 October 2026).</w:t>
      </w:r>
      <w:r w:rsidDel="00000000" w:rsidR="00000000" w:rsidRPr="00000000">
        <w:rPr>
          <w:rtl w:val="0"/>
        </w:rPr>
      </w:r>
    </w:p>
    <w:p w:rsidR="00000000" w:rsidDel="00000000" w:rsidP="00000000" w:rsidRDefault="00000000" w:rsidRPr="00000000" w14:paraId="000000AD">
      <w:pPr>
        <w:keepLines w:val="1"/>
        <w:spacing w:after="80" w:before="0" w:line="240" w:lineRule="auto"/>
        <w:ind w:left="360" w:hanging="360"/>
        <w:rPr/>
      </w:pPr>
      <w:r w:rsidDel="00000000" w:rsidR="00000000" w:rsidRPr="00000000">
        <w:rPr>
          <w:color w:val="c00000"/>
          <w:rtl w:val="0"/>
        </w:rPr>
        <w:t xml:space="preserve">Department of Health Northern Ireland (2026) 2025/26 raw disease prevalence trend data for Northern Ireland. Available at: </w:t>
      </w:r>
      <w:hyperlink r:id="rId19">
        <w:r w:rsidDel="00000000" w:rsidR="00000000" w:rsidRPr="00000000">
          <w:rPr>
            <w:color w:val="0000ff"/>
            <w:u w:val="single"/>
            <w:rtl w:val="0"/>
          </w:rPr>
          <w:t xml:space="preserve">https://www.health-ni.gov.uk/publications/202526-raw-disease-prevalence-trend-data-northern-ireland</w:t>
        </w:r>
      </w:hyperlink>
      <w:r w:rsidDel="00000000" w:rsidR="00000000" w:rsidRPr="00000000">
        <w:rPr>
          <w:color w:val="c00000"/>
          <w:rtl w:val="0"/>
        </w:rPr>
        <w:t xml:space="preserve"> (Accessed: 22 October 2026).</w:t>
      </w:r>
      <w:r w:rsidDel="00000000" w:rsidR="00000000" w:rsidRPr="00000000">
        <w:rPr>
          <w:rtl w:val="0"/>
        </w:rPr>
      </w:r>
    </w:p>
    <w:p w:rsidR="00000000" w:rsidDel="00000000" w:rsidP="00000000" w:rsidRDefault="00000000" w:rsidRPr="00000000" w14:paraId="000000AE">
      <w:pPr>
        <w:keepLines w:val="1"/>
        <w:spacing w:after="80" w:before="0" w:line="240" w:lineRule="auto"/>
        <w:ind w:left="360" w:hanging="360"/>
        <w:rPr/>
      </w:pPr>
      <w:r w:rsidDel="00000000" w:rsidR="00000000" w:rsidRPr="00000000">
        <w:rPr>
          <w:color w:val="000000"/>
          <w:rtl w:val="0"/>
        </w:rPr>
        <w:t xml:space="preserve">Gavin, J.P., Rossiter, L., Fenerty, V., Leese, J., Adams, J., Hammond, A., Davidson, E. and Backman, C.L. (2024) The impact of occupational therapy on the self-management of rheumatoid arthritis: a mixed methods systematic review. ACR Open Rheumatology, 6(4), pp. 214-249. Available at: </w:t>
      </w:r>
      <w:hyperlink r:id="rId20">
        <w:r w:rsidDel="00000000" w:rsidR="00000000" w:rsidRPr="00000000">
          <w:rPr>
            <w:color w:val="000000"/>
            <w:u w:val="single"/>
            <w:rtl w:val="0"/>
          </w:rPr>
          <w:t xml:space="preserve">https://doi.org/10.1002/acr2.11650</w:t>
        </w:r>
      </w:hyperlink>
      <w:r w:rsidDel="00000000" w:rsidR="00000000" w:rsidRPr="00000000">
        <w:rPr>
          <w:color w:val="000000"/>
          <w:rtl w:val="0"/>
        </w:rPr>
        <w:t xml:space="preserve"> </w:t>
      </w:r>
      <w:r w:rsidDel="00000000" w:rsidR="00000000" w:rsidRPr="00000000">
        <w:rPr>
          <w:rtl w:val="0"/>
        </w:rPr>
      </w:r>
    </w:p>
    <w:p w:rsidR="00000000" w:rsidDel="00000000" w:rsidP="00000000" w:rsidRDefault="00000000" w:rsidRPr="00000000" w14:paraId="000000AF">
      <w:pPr>
        <w:keepLines w:val="1"/>
        <w:spacing w:after="80" w:before="0" w:line="240" w:lineRule="auto"/>
        <w:ind w:left="360" w:hanging="360"/>
        <w:rPr/>
      </w:pPr>
      <w:r w:rsidDel="00000000" w:rsidR="00000000" w:rsidRPr="00000000">
        <w:rPr>
          <w:color w:val="000000"/>
          <w:rtl w:val="0"/>
        </w:rPr>
        <w:t xml:space="preserve">GBD 2021 Rheumatoid Arthritis Collaborators (2023) ‘Global, regional, and national burden of rheumatoid arthritis, 1990–2020, and projections to 2050: a systematic analysis of the Global Burden of Disease Study 2021’, The Lancet Rheumatology, 5(10), pp. e594–e610. Available at: </w:t>
      </w:r>
      <w:hyperlink r:id="rId21">
        <w:r w:rsidDel="00000000" w:rsidR="00000000" w:rsidRPr="00000000">
          <w:rPr>
            <w:color w:val="000000"/>
            <w:u w:val="single"/>
            <w:rtl w:val="0"/>
          </w:rPr>
          <w:t xml:space="preserve">https://doi.org/10.1016/S2665-9913(23)00211-4</w:t>
        </w:r>
      </w:hyperlink>
      <w:r w:rsidDel="00000000" w:rsidR="00000000" w:rsidRPr="00000000">
        <w:rPr>
          <w:color w:val="000000"/>
          <w:rtl w:val="0"/>
        </w:rPr>
        <w:t xml:space="preserve"> </w:t>
      </w:r>
      <w:r w:rsidDel="00000000" w:rsidR="00000000" w:rsidRPr="00000000">
        <w:rPr>
          <w:rtl w:val="0"/>
        </w:rPr>
      </w:r>
    </w:p>
    <w:p w:rsidR="00000000" w:rsidDel="00000000" w:rsidP="00000000" w:rsidRDefault="00000000" w:rsidRPr="00000000" w14:paraId="000000B0">
      <w:pPr>
        <w:keepLines w:val="1"/>
        <w:spacing w:after="80" w:before="0" w:line="240" w:lineRule="auto"/>
        <w:ind w:left="360" w:hanging="360"/>
        <w:rPr/>
      </w:pPr>
      <w:r w:rsidDel="00000000" w:rsidR="00000000" w:rsidRPr="00000000">
        <w:rPr>
          <w:color w:val="000000"/>
          <w:rtl w:val="0"/>
        </w:rPr>
        <w:t xml:space="preserve">Goh, L.H., Siah, C.J.R., Tam, W.W.S., Tai, E.S. and Young, D.Y.L. (2022) Effectiveness of the chronic care model for adults with type 2 diabetes in primary care: a systematic review and meta-analysis. Systematic Reviews, 11, 273. Available at: </w:t>
      </w:r>
      <w:hyperlink r:id="rId22">
        <w:r w:rsidDel="00000000" w:rsidR="00000000" w:rsidRPr="00000000">
          <w:rPr>
            <w:u w:val="single"/>
            <w:rtl w:val="0"/>
          </w:rPr>
          <w:t xml:space="preserve">https://doi.org/10.1186/s13643-022-02117-w</w:t>
        </w:r>
      </w:hyperlink>
      <w:r w:rsidDel="00000000" w:rsidR="00000000" w:rsidRPr="00000000">
        <w:rPr>
          <w:rtl w:val="0"/>
        </w:rPr>
      </w:r>
    </w:p>
    <w:p w:rsidR="00000000" w:rsidDel="00000000" w:rsidP="00000000" w:rsidRDefault="00000000" w:rsidRPr="00000000" w14:paraId="000000B1">
      <w:pPr>
        <w:keepLines w:val="1"/>
        <w:spacing w:after="80" w:before="0" w:line="240" w:lineRule="auto"/>
        <w:ind w:left="360" w:hanging="360"/>
        <w:rPr/>
      </w:pPr>
      <w:r w:rsidDel="00000000" w:rsidR="00000000" w:rsidRPr="00000000">
        <w:rPr>
          <w:color w:val="000000"/>
          <w:rtl w:val="0"/>
        </w:rPr>
        <w:t xml:space="preserve">Hao, Y., Oon, S. and Nikpour, M. (2024) Efficacy and safety of treat-to-target strategy studies in rheumatic diseases: a systematic review and meta-analysis. Seminars in Arthritis and Rheumatism, 67, 152465. Available at: </w:t>
      </w:r>
      <w:hyperlink r:id="rId23">
        <w:r w:rsidDel="00000000" w:rsidR="00000000" w:rsidRPr="00000000">
          <w:rPr>
            <w:u w:val="single"/>
            <w:rtl w:val="0"/>
          </w:rPr>
          <w:t xml:space="preserve">https://doi.org/10.1016/j.semarthrit.2024.152465</w:t>
        </w:r>
      </w:hyperlink>
      <w:r w:rsidDel="00000000" w:rsidR="00000000" w:rsidRPr="00000000">
        <w:rPr>
          <w:rtl w:val="0"/>
        </w:rPr>
      </w:r>
    </w:p>
    <w:p w:rsidR="00000000" w:rsidDel="00000000" w:rsidP="00000000" w:rsidRDefault="00000000" w:rsidRPr="00000000" w14:paraId="000000B2">
      <w:pPr>
        <w:keepLines w:val="1"/>
        <w:spacing w:after="80" w:before="0" w:line="240" w:lineRule="auto"/>
        <w:ind w:left="360" w:hanging="360"/>
        <w:rPr/>
      </w:pPr>
      <w:r w:rsidDel="00000000" w:rsidR="00000000" w:rsidRPr="00000000">
        <w:rPr>
          <w:color w:val="000000"/>
          <w:rtl w:val="0"/>
        </w:rPr>
        <w:t xml:space="preserve">Hassen, N., Moolooghy, K., Kopec, J., Xie, H., Khan, K.M. and Lacaille, D. (2025) Determinants of health-related quality of life in adults living with rheumatoid arthritis: a systematic review. Seminars in Arthritis and Rheumatism, 73, 152717. Available at: </w:t>
      </w:r>
      <w:hyperlink r:id="rId24">
        <w:r w:rsidDel="00000000" w:rsidR="00000000" w:rsidRPr="00000000">
          <w:rPr>
            <w:u w:val="single"/>
            <w:rtl w:val="0"/>
          </w:rPr>
          <w:t xml:space="preserve">https://doi.org/10.1016/j.semarthrit.2025.152717</w:t>
        </w:r>
      </w:hyperlink>
      <w:r w:rsidDel="00000000" w:rsidR="00000000" w:rsidRPr="00000000">
        <w:rPr>
          <w:rtl w:val="0"/>
        </w:rPr>
      </w:r>
    </w:p>
    <w:p w:rsidR="00000000" w:rsidDel="00000000" w:rsidP="00000000" w:rsidRDefault="00000000" w:rsidRPr="00000000" w14:paraId="000000B3">
      <w:pPr>
        <w:keepLines w:val="1"/>
        <w:spacing w:after="80" w:before="0" w:line="240" w:lineRule="auto"/>
        <w:ind w:left="360" w:hanging="360"/>
        <w:rPr/>
      </w:pPr>
      <w:r w:rsidDel="00000000" w:rsidR="00000000" w:rsidRPr="00000000">
        <w:rPr>
          <w:color w:val="000000"/>
          <w:rtl w:val="0"/>
        </w:rPr>
        <w:t xml:space="preserve">Hill, J., Harrison, J., Christian, D., Reed, J., Clegg, A., Duffield, S.J., Goodson, N. and Marson, T. (2022) The prevalence of comorbidity in rheumatoid arthritis: a systematic review and meta-analysis. British Journal of Community Nursing, 27(5), pp. 232-241. Available at: </w:t>
      </w:r>
      <w:hyperlink r:id="rId25">
        <w:r w:rsidDel="00000000" w:rsidR="00000000" w:rsidRPr="00000000">
          <w:rPr>
            <w:color w:val="000000"/>
            <w:u w:val="single"/>
            <w:rtl w:val="0"/>
          </w:rPr>
          <w:t xml:space="preserve">https://doi.org/10.12968/bjcn.2022.27.5.232</w:t>
        </w:r>
      </w:hyperlink>
      <w:r w:rsidDel="00000000" w:rsidR="00000000" w:rsidRPr="00000000">
        <w:rPr>
          <w:color w:val="000000"/>
          <w:rtl w:val="0"/>
        </w:rPr>
        <w:t xml:space="preserve"> </w:t>
      </w:r>
      <w:r w:rsidDel="00000000" w:rsidR="00000000" w:rsidRPr="00000000">
        <w:rPr>
          <w:rtl w:val="0"/>
        </w:rPr>
      </w:r>
    </w:p>
    <w:p w:rsidR="00000000" w:rsidDel="00000000" w:rsidP="00000000" w:rsidRDefault="00000000" w:rsidRPr="00000000" w14:paraId="000000B4">
      <w:pPr>
        <w:keepLines w:val="1"/>
        <w:spacing w:after="80" w:before="0" w:line="240" w:lineRule="auto"/>
        <w:ind w:left="360" w:hanging="360"/>
        <w:rPr/>
      </w:pPr>
      <w:r w:rsidDel="00000000" w:rsidR="00000000" w:rsidRPr="00000000">
        <w:rPr>
          <w:color w:val="000000"/>
          <w:rtl w:val="0"/>
        </w:rPr>
        <w:t xml:space="preserve">Healthcare Quality Improvement Partnership (2025) Rheumatic diseases - State of the Nation 2025: National Early Inflammatory Arthritis Audit. Available at: </w:t>
      </w:r>
      <w:hyperlink r:id="rId26">
        <w:r w:rsidDel="00000000" w:rsidR="00000000" w:rsidRPr="00000000">
          <w:rPr>
            <w:color w:val="000000"/>
            <w:u w:val="single"/>
            <w:rtl w:val="0"/>
          </w:rPr>
          <w:t xml:space="preserve">https://www.hqip.org.uk/report/583-neiaa/</w:t>
        </w:r>
      </w:hyperlink>
      <w:r w:rsidDel="00000000" w:rsidR="00000000" w:rsidRPr="00000000">
        <w:rPr>
          <w:color w:val="000000"/>
          <w:rtl w:val="0"/>
        </w:rPr>
        <w:t xml:space="preserve"> </w:t>
      </w:r>
      <w:r w:rsidDel="00000000" w:rsidR="00000000" w:rsidRPr="00000000">
        <w:rPr>
          <w:rtl w:val="0"/>
        </w:rPr>
      </w:r>
    </w:p>
    <w:p w:rsidR="00000000" w:rsidDel="00000000" w:rsidP="00000000" w:rsidRDefault="00000000" w:rsidRPr="00000000" w14:paraId="000000B5">
      <w:pPr>
        <w:keepLines w:val="1"/>
        <w:spacing w:after="80" w:before="0" w:line="240" w:lineRule="auto"/>
        <w:ind w:left="360" w:hanging="360"/>
        <w:rPr/>
      </w:pPr>
      <w:r w:rsidDel="00000000" w:rsidR="00000000" w:rsidRPr="00000000">
        <w:rPr>
          <w:color w:val="000000"/>
          <w:rtl w:val="0"/>
        </w:rPr>
        <w:t xml:space="preserve">Ishikawa, Y. and Terao, C. (2020) The impact of cigarette smoking on risk of rheumatoid arthritis: a narrative review. Cells, 9(2), 475. Available at: </w:t>
      </w:r>
      <w:hyperlink r:id="rId27">
        <w:r w:rsidDel="00000000" w:rsidR="00000000" w:rsidRPr="00000000">
          <w:rPr>
            <w:u w:val="single"/>
            <w:rtl w:val="0"/>
          </w:rPr>
          <w:t xml:space="preserve">https://doi.org/10.3390/cells9020475</w:t>
        </w:r>
      </w:hyperlink>
      <w:r w:rsidDel="00000000" w:rsidR="00000000" w:rsidRPr="00000000">
        <w:rPr>
          <w:rtl w:val="0"/>
        </w:rPr>
      </w:r>
    </w:p>
    <w:p w:rsidR="00000000" w:rsidDel="00000000" w:rsidP="00000000" w:rsidRDefault="00000000" w:rsidRPr="00000000" w14:paraId="000000B6">
      <w:pPr>
        <w:keepLines w:val="1"/>
        <w:spacing w:after="80" w:before="0" w:line="240" w:lineRule="auto"/>
        <w:ind w:left="360" w:hanging="360"/>
        <w:rPr/>
      </w:pPr>
      <w:r w:rsidDel="00000000" w:rsidR="00000000" w:rsidRPr="00000000">
        <w:rPr>
          <w:color w:val="000000"/>
          <w:rtl w:val="0"/>
        </w:rPr>
        <w:t xml:space="preserve">Kerschbaumer, A., Sepriano, A., Bergstra, S.A., Smolen, J.S., van der Heijde, D., Caporali, R., Edwards, C.J., Verschueren, P., de Souza, S., Pope, J.E., Takeuchi, T., Hyrich, K.L., Winthrop, K.L., Aletaha, D., Stamm, T.A., Schoones, J.W. and Landewé, R.B.M. (2023) Efficacy of synthetic and biological DMARDs: a systematic literature review informing the 2022 update of the EULAR recommendations for the management of rheumatoid arthritis. Annals of the Rheumatic Diseases, 82(1), pp. 95-106. Available at: </w:t>
      </w:r>
      <w:hyperlink r:id="rId28">
        <w:r w:rsidDel="00000000" w:rsidR="00000000" w:rsidRPr="00000000">
          <w:rPr>
            <w:color w:val="000000"/>
            <w:u w:val="single"/>
            <w:rtl w:val="0"/>
          </w:rPr>
          <w:t xml:space="preserve">https://doi.org/10.1136/ard-2022-223365</w:t>
        </w:r>
      </w:hyperlink>
      <w:r w:rsidDel="00000000" w:rsidR="00000000" w:rsidRPr="00000000">
        <w:rPr>
          <w:color w:val="000000"/>
          <w:rtl w:val="0"/>
        </w:rPr>
        <w:t xml:space="preserve"> </w:t>
      </w:r>
      <w:r w:rsidDel="00000000" w:rsidR="00000000" w:rsidRPr="00000000">
        <w:rPr>
          <w:rtl w:val="0"/>
        </w:rPr>
      </w:r>
    </w:p>
    <w:p w:rsidR="00000000" w:rsidDel="00000000" w:rsidP="00000000" w:rsidRDefault="00000000" w:rsidRPr="00000000" w14:paraId="000000B7">
      <w:pPr>
        <w:keepLines w:val="1"/>
        <w:spacing w:after="80" w:before="0" w:line="240" w:lineRule="auto"/>
        <w:ind w:left="360" w:hanging="360"/>
        <w:rPr/>
      </w:pPr>
      <w:r w:rsidDel="00000000" w:rsidR="00000000" w:rsidRPr="00000000">
        <w:rPr>
          <w:color w:val="000000"/>
          <w:rtl w:val="0"/>
        </w:rPr>
        <w:t xml:space="preserve">Kirkeskov, L. and Bray, K. (2023) Employment of patients with rheumatoid arthritis - a systematic review and meta-analysis. BMC Rheumatology, 7, 41. Available at: </w:t>
      </w:r>
      <w:hyperlink r:id="rId29">
        <w:r w:rsidDel="00000000" w:rsidR="00000000" w:rsidRPr="00000000">
          <w:rPr>
            <w:u w:val="single"/>
            <w:rtl w:val="0"/>
          </w:rPr>
          <w:t xml:space="preserve">https://doi.org/10.1186/s41927-023-00365-4</w:t>
        </w:r>
      </w:hyperlink>
      <w:r w:rsidDel="00000000" w:rsidR="00000000" w:rsidRPr="00000000">
        <w:rPr>
          <w:rtl w:val="0"/>
        </w:rPr>
      </w:r>
    </w:p>
    <w:p w:rsidR="00000000" w:rsidDel="00000000" w:rsidP="00000000" w:rsidRDefault="00000000" w:rsidRPr="00000000" w14:paraId="000000B8">
      <w:pPr>
        <w:keepLines w:val="1"/>
        <w:spacing w:after="80" w:before="0" w:line="240" w:lineRule="auto"/>
        <w:ind w:left="360" w:hanging="360"/>
        <w:rPr/>
      </w:pPr>
      <w:r w:rsidDel="00000000" w:rsidR="00000000" w:rsidRPr="00000000">
        <w:rPr>
          <w:color w:val="000000"/>
          <w:rtl w:val="0"/>
        </w:rPr>
        <w:t xml:space="preserve">Lee, Y.H. and Song, G.G. (2024) All-cause and cause-specific mortality in rheumatoid arthritis: a meta-analysis. Zeitschrift fur Rheumatologie, 83(Suppl 3), pp. 314-320. Available at: </w:t>
      </w:r>
      <w:hyperlink r:id="rId30">
        <w:r w:rsidDel="00000000" w:rsidR="00000000" w:rsidRPr="00000000">
          <w:rPr>
            <w:u w:val="single"/>
            <w:rtl w:val="0"/>
          </w:rPr>
          <w:t xml:space="preserve">https://doi.org/10.1007/s00393-024-01538-3</w:t>
        </w:r>
      </w:hyperlink>
      <w:r w:rsidDel="00000000" w:rsidR="00000000" w:rsidRPr="00000000">
        <w:rPr>
          <w:rtl w:val="0"/>
        </w:rPr>
      </w:r>
    </w:p>
    <w:p w:rsidR="00000000" w:rsidDel="00000000" w:rsidP="00000000" w:rsidRDefault="00000000" w:rsidRPr="00000000" w14:paraId="000000B9">
      <w:pPr>
        <w:keepLines w:val="1"/>
        <w:spacing w:after="80" w:before="0" w:line="240" w:lineRule="auto"/>
        <w:ind w:left="360" w:hanging="360"/>
        <w:rPr/>
      </w:pPr>
      <w:r w:rsidDel="00000000" w:rsidR="00000000" w:rsidRPr="00000000">
        <w:rPr>
          <w:color w:val="000000"/>
          <w:rtl w:val="0"/>
        </w:rPr>
        <w:t xml:space="preserve">Longhini, J., Canzan, F., Mezzalira, E., Saiani, L. and Ambrosi, E. (2022) Organisational models in primary health care to manage chronic conditions: a scoping review. Health &amp; Social Care in the Community, 30, pp. e565-e588. Available at: </w:t>
      </w:r>
      <w:hyperlink r:id="rId31">
        <w:r w:rsidDel="00000000" w:rsidR="00000000" w:rsidRPr="00000000">
          <w:rPr>
            <w:u w:val="single"/>
            <w:rtl w:val="0"/>
          </w:rPr>
          <w:t xml:space="preserve">https://doi.org/10.1111/hsc.13611</w:t>
        </w:r>
      </w:hyperlink>
      <w:r w:rsidDel="00000000" w:rsidR="00000000" w:rsidRPr="00000000">
        <w:rPr>
          <w:rtl w:val="0"/>
        </w:rPr>
      </w:r>
    </w:p>
    <w:p w:rsidR="00000000" w:rsidDel="00000000" w:rsidP="00000000" w:rsidRDefault="00000000" w:rsidRPr="00000000" w14:paraId="000000BA">
      <w:pPr>
        <w:keepLines w:val="1"/>
        <w:spacing w:after="80" w:before="0" w:line="240" w:lineRule="auto"/>
        <w:ind w:left="360" w:hanging="360"/>
        <w:rPr/>
      </w:pPr>
      <w:r w:rsidDel="00000000" w:rsidR="00000000" w:rsidRPr="00000000">
        <w:rPr>
          <w:color w:val="000000"/>
          <w:rtl w:val="0"/>
        </w:rPr>
        <w:t xml:space="preserve">MacIver, A., Hollinger, H. and Carolan, C. (2021) Tele-health interventions to support self-management in adults with rheumatoid arthritis: a systematic review. Rheumatology International, 41, pp. 1399-1418. Available at: </w:t>
      </w:r>
      <w:hyperlink r:id="rId32">
        <w:r w:rsidDel="00000000" w:rsidR="00000000" w:rsidRPr="00000000">
          <w:rPr>
            <w:u w:val="single"/>
            <w:rtl w:val="0"/>
          </w:rPr>
          <w:t xml:space="preserve">https://doi.org/10.1007/s00296-021-04907-2</w:t>
        </w:r>
      </w:hyperlink>
      <w:r w:rsidDel="00000000" w:rsidR="00000000" w:rsidRPr="00000000">
        <w:rPr>
          <w:rtl w:val="0"/>
        </w:rPr>
      </w:r>
    </w:p>
    <w:p w:rsidR="00000000" w:rsidDel="00000000" w:rsidP="00000000" w:rsidRDefault="00000000" w:rsidRPr="00000000" w14:paraId="000000BB">
      <w:pPr>
        <w:keepLines w:val="1"/>
        <w:spacing w:after="80" w:before="0" w:line="240" w:lineRule="auto"/>
        <w:ind w:left="360" w:hanging="360"/>
        <w:rPr/>
      </w:pPr>
      <w:r w:rsidDel="00000000" w:rsidR="00000000" w:rsidRPr="00000000">
        <w:rPr>
          <w:color w:val="000000"/>
          <w:rtl w:val="0"/>
        </w:rPr>
        <w:t xml:space="preserve">Majnik, J., Császár-Nagy, N., Böcskei, G., Bender, T. and Nagy, G. (2022) ‘Non-pharmacological treatment in difficult-to-treat rheumatoid arthritis’, </w:t>
      </w:r>
      <w:r w:rsidDel="00000000" w:rsidR="00000000" w:rsidRPr="00000000">
        <w:rPr>
          <w:i w:val="1"/>
          <w:iCs w:val="1"/>
          <w:color w:val="000000"/>
          <w:rtl w:val="0"/>
        </w:rPr>
        <w:t xml:space="preserve">Frontiers in Medicine</w:t>
      </w:r>
      <w:r w:rsidDel="00000000" w:rsidR="00000000" w:rsidRPr="00000000">
        <w:rPr>
          <w:color w:val="000000"/>
          <w:rtl w:val="0"/>
        </w:rPr>
        <w:t xml:space="preserve">, 9, 991677. doi: 10.3389/fmed.2022.991677. Available at: </w:t>
      </w:r>
      <w:hyperlink r:id="rId33">
        <w:r w:rsidDel="00000000" w:rsidR="00000000" w:rsidRPr="00000000">
          <w:rPr>
            <w:color w:val="000000"/>
            <w:u w:val="single"/>
            <w:rtl w:val="0"/>
          </w:rPr>
          <w:t xml:space="preserve">https://doi.org/10.3389/fmed.2022.991677</w:t>
        </w:r>
      </w:hyperlink>
      <w:r w:rsidDel="00000000" w:rsidR="00000000" w:rsidRPr="00000000">
        <w:rPr>
          <w:color w:val="000000"/>
          <w:rtl w:val="0"/>
        </w:rPr>
        <w:t xml:space="preserve"> (Accessed: 8 October 2026). </w:t>
      </w:r>
      <w:r w:rsidDel="00000000" w:rsidR="00000000" w:rsidRPr="00000000">
        <w:rPr>
          <w:rtl w:val="0"/>
        </w:rPr>
      </w:r>
    </w:p>
    <w:p w:rsidR="00000000" w:rsidDel="00000000" w:rsidP="00000000" w:rsidRDefault="00000000" w:rsidRPr="00000000" w14:paraId="000000BC">
      <w:pPr>
        <w:keepLines w:val="1"/>
        <w:spacing w:after="80" w:before="0" w:line="240" w:lineRule="auto"/>
        <w:ind w:left="360" w:hanging="360"/>
        <w:rPr/>
      </w:pPr>
      <w:r w:rsidDel="00000000" w:rsidR="00000000" w:rsidRPr="00000000">
        <w:rPr>
          <w:color w:val="000000"/>
          <w:rtl w:val="0"/>
        </w:rPr>
        <w:t xml:space="preserve">Mankia, K., Siddle, H., Di Matteo, A., Alpízar-Rodríguez, D., Kerry, J., Kerschbaumer, A., Aletaha, D. and Emery, P. (2021) A core set of risk factors in individuals at risk of rheumatoid arthritis: a systematic literature review informing the EULAR points to consider for conducting clinical trials and observational studies in individuals at risk of rheumatoid arthritis. RMD Open, 7(3), e001768. Available at: </w:t>
      </w:r>
      <w:hyperlink r:id="rId34">
        <w:r w:rsidDel="00000000" w:rsidR="00000000" w:rsidRPr="00000000">
          <w:rPr>
            <w:color w:val="000000"/>
            <w:u w:val="single"/>
            <w:rtl w:val="0"/>
          </w:rPr>
          <w:t xml:space="preserve">https://doi.org/10.1136/rmdopen-2021-001768</w:t>
        </w:r>
      </w:hyperlink>
      <w:r w:rsidDel="00000000" w:rsidR="00000000" w:rsidRPr="00000000">
        <w:rPr>
          <w:color w:val="000000"/>
          <w:rtl w:val="0"/>
        </w:rPr>
        <w:t xml:space="preserve"> </w:t>
      </w:r>
      <w:r w:rsidDel="00000000" w:rsidR="00000000" w:rsidRPr="00000000">
        <w:rPr>
          <w:rtl w:val="0"/>
        </w:rPr>
      </w:r>
    </w:p>
    <w:p w:rsidR="00000000" w:rsidDel="00000000" w:rsidP="00000000" w:rsidRDefault="00000000" w:rsidRPr="00000000" w14:paraId="000000BD">
      <w:pPr>
        <w:keepLines w:val="1"/>
        <w:spacing w:after="80" w:before="0" w:line="240" w:lineRule="auto"/>
        <w:ind w:left="360" w:hanging="360"/>
        <w:rPr/>
      </w:pPr>
      <w:r w:rsidDel="00000000" w:rsidR="00000000" w:rsidRPr="00000000">
        <w:rPr>
          <w:color w:val="000000"/>
          <w:rtl w:val="0"/>
        </w:rPr>
        <w:t xml:space="preserve">Marques, A., Santos, E., Nikiphorou, E., Bosworth, A. and Carmona, L. (2021) Effectiveness of self-management interventions in inflammatory arthritis: a systematic review informing the 2021 EULAR recommendations. RMD Open, 7(2), e001647. Available at: </w:t>
      </w:r>
      <w:hyperlink r:id="rId35">
        <w:r w:rsidDel="00000000" w:rsidR="00000000" w:rsidRPr="00000000">
          <w:rPr>
            <w:u w:val="single"/>
            <w:rtl w:val="0"/>
          </w:rPr>
          <w:t xml:space="preserve">https://doi.org/10.1136/rmdopen-2021-001647</w:t>
        </w:r>
      </w:hyperlink>
      <w:r w:rsidDel="00000000" w:rsidR="00000000" w:rsidRPr="00000000">
        <w:rPr>
          <w:rtl w:val="0"/>
        </w:rPr>
      </w:r>
    </w:p>
    <w:p w:rsidR="00000000" w:rsidDel="00000000" w:rsidP="00000000" w:rsidRDefault="00000000" w:rsidRPr="00000000" w14:paraId="000000BE">
      <w:pPr>
        <w:keepLines w:val="1"/>
        <w:spacing w:after="80" w:before="0" w:line="240" w:lineRule="auto"/>
        <w:ind w:left="360" w:hanging="360"/>
        <w:rPr/>
      </w:pPr>
      <w:r w:rsidDel="00000000" w:rsidR="00000000" w:rsidRPr="00000000">
        <w:rPr>
          <w:color w:val="000000"/>
          <w:rtl w:val="0"/>
        </w:rPr>
        <w:t xml:space="preserve">Mathers, N. and Paynton, D. (2016) ‘Rhetoric and reality in person-centred care: introducing the House of Care framework’, </w:t>
      </w:r>
      <w:r w:rsidDel="00000000" w:rsidR="00000000" w:rsidRPr="00000000">
        <w:rPr>
          <w:i w:val="1"/>
          <w:iCs w:val="1"/>
          <w:color w:val="000000"/>
          <w:rtl w:val="0"/>
        </w:rPr>
        <w:t xml:space="preserve">British Journal of General Practice</w:t>
      </w:r>
      <w:r w:rsidDel="00000000" w:rsidR="00000000" w:rsidRPr="00000000">
        <w:rPr>
          <w:color w:val="000000"/>
          <w:rtl w:val="0"/>
        </w:rPr>
        <w:t xml:space="preserve">, 66(642), pp. 12–13. doi: 10.3399/bjgp16X683077. Available at: </w:t>
      </w:r>
      <w:hyperlink r:id="rId36">
        <w:r w:rsidDel="00000000" w:rsidR="00000000" w:rsidRPr="00000000">
          <w:rPr>
            <w:color w:val="000000"/>
            <w:u w:val="single"/>
            <w:rtl w:val="0"/>
          </w:rPr>
          <w:t xml:space="preserve">https://doi.org/10.3399/bjgp16X683077</w:t>
        </w:r>
      </w:hyperlink>
      <w:r w:rsidDel="00000000" w:rsidR="00000000" w:rsidRPr="00000000">
        <w:rPr>
          <w:color w:val="000000"/>
          <w:rtl w:val="0"/>
        </w:rPr>
        <w:t xml:space="preserve"> (Accessed: 8 October 2026). </w:t>
      </w:r>
      <w:r w:rsidDel="00000000" w:rsidR="00000000" w:rsidRPr="00000000">
        <w:rPr>
          <w:rtl w:val="0"/>
        </w:rPr>
      </w:r>
    </w:p>
    <w:p w:rsidR="00000000" w:rsidDel="00000000" w:rsidP="00000000" w:rsidRDefault="00000000" w:rsidRPr="00000000" w14:paraId="000000BF">
      <w:pPr>
        <w:keepLines w:val="1"/>
        <w:spacing w:after="80" w:before="0" w:line="240" w:lineRule="auto"/>
        <w:ind w:left="360" w:hanging="360"/>
        <w:rPr/>
      </w:pPr>
      <w:r w:rsidDel="00000000" w:rsidR="00000000" w:rsidRPr="00000000">
        <w:rPr>
          <w:color w:val="000000"/>
          <w:rtl w:val="0"/>
        </w:rPr>
        <w:t xml:space="preserve">Ng, C.Y.H., Tay, S.H., McIntyre, R.S., Ho, R., Tam, W.W.S. and Ho, C.S.H. (2022) Elucidating a bidirectional association between rheumatoid arthritis and depression: a systematic review and meta-analysis. Journal of Affective Disorders, 311, pp. 407-415. Available at: </w:t>
      </w:r>
      <w:hyperlink r:id="rId37">
        <w:r w:rsidDel="00000000" w:rsidR="00000000" w:rsidRPr="00000000">
          <w:rPr>
            <w:color w:val="000000"/>
            <w:u w:val="single"/>
            <w:rtl w:val="0"/>
          </w:rPr>
          <w:t xml:space="preserve">https://doi.org/10.1016/j.jad.2022.05.108</w:t>
        </w:r>
      </w:hyperlink>
      <w:r w:rsidDel="00000000" w:rsidR="00000000" w:rsidRPr="00000000">
        <w:rPr>
          <w:color w:val="000000"/>
          <w:rtl w:val="0"/>
        </w:rPr>
        <w:t xml:space="preserve"> </w:t>
      </w:r>
      <w:r w:rsidDel="00000000" w:rsidR="00000000" w:rsidRPr="00000000">
        <w:rPr>
          <w:rtl w:val="0"/>
        </w:rPr>
      </w:r>
    </w:p>
    <w:p w:rsidR="00000000" w:rsidDel="00000000" w:rsidP="00000000" w:rsidRDefault="00000000" w:rsidRPr="00000000" w14:paraId="000000C0">
      <w:pPr>
        <w:keepLines w:val="1"/>
        <w:spacing w:after="80" w:before="0" w:line="240" w:lineRule="auto"/>
        <w:ind w:left="360" w:hanging="360"/>
        <w:rPr/>
      </w:pPr>
      <w:r w:rsidDel="00000000" w:rsidR="00000000" w:rsidRPr="00000000">
        <w:rPr>
          <w:color w:val="000000"/>
          <w:rtl w:val="0"/>
        </w:rPr>
        <w:t xml:space="preserve">NHS England (2019) The NHS Long Term Plan. Available at: </w:t>
      </w:r>
      <w:hyperlink r:id="rId38">
        <w:r w:rsidDel="00000000" w:rsidR="00000000" w:rsidRPr="00000000">
          <w:rPr>
            <w:color w:val="000000"/>
            <w:u w:val="single"/>
            <w:rtl w:val="0"/>
          </w:rPr>
          <w:t xml:space="preserve">https://www.england.nhs.uk/statistics/wp-content/uploads/2022/07/nhs-long-term-plan-version-1.2.pdf</w:t>
        </w:r>
      </w:hyperlink>
      <w:r w:rsidDel="00000000" w:rsidR="00000000" w:rsidRPr="00000000">
        <w:rPr>
          <w:color w:val="000000"/>
          <w:rtl w:val="0"/>
        </w:rPr>
        <w:t xml:space="preserve"> (Accessed: 17 October 2026).</w:t>
      </w:r>
      <w:r w:rsidDel="00000000" w:rsidR="00000000" w:rsidRPr="00000000">
        <w:rPr>
          <w:rtl w:val="0"/>
        </w:rPr>
      </w:r>
    </w:p>
    <w:p w:rsidR="00000000" w:rsidDel="00000000" w:rsidP="00000000" w:rsidRDefault="00000000" w:rsidRPr="00000000" w14:paraId="000000C1">
      <w:pPr>
        <w:keepLines w:val="1"/>
        <w:spacing w:after="80" w:before="0" w:line="240" w:lineRule="auto"/>
        <w:ind w:left="360" w:hanging="360"/>
        <w:rPr/>
      </w:pPr>
      <w:r w:rsidDel="00000000" w:rsidR="00000000" w:rsidRPr="00000000">
        <w:rPr>
          <w:color w:val="000000"/>
          <w:rtl w:val="0"/>
        </w:rPr>
        <w:t xml:space="preserve">NHS England (2023) Personalised care and support planning: a brief summary guide. Available at: </w:t>
      </w:r>
      <w:hyperlink r:id="rId39">
        <w:r w:rsidDel="00000000" w:rsidR="00000000" w:rsidRPr="00000000">
          <w:rPr>
            <w:u w:val="single"/>
            <w:rtl w:val="0"/>
          </w:rPr>
          <w:t xml:space="preserve">https://www.england.nhs.uk/long-read/personalised-care-and-support-planning-a-brief-summary-guide/</w:t>
        </w:r>
      </w:hyperlink>
      <w:r w:rsidDel="00000000" w:rsidR="00000000" w:rsidRPr="00000000">
        <w:rPr>
          <w:rtl w:val="0"/>
        </w:rPr>
      </w:r>
    </w:p>
    <w:p w:rsidR="00000000" w:rsidDel="00000000" w:rsidP="00000000" w:rsidRDefault="00000000" w:rsidRPr="00000000" w14:paraId="000000C2">
      <w:pPr>
        <w:keepLines w:val="1"/>
        <w:spacing w:after="80" w:before="0" w:line="240" w:lineRule="auto"/>
        <w:ind w:left="360" w:hanging="360"/>
        <w:rPr/>
      </w:pPr>
      <w:r w:rsidDel="00000000" w:rsidR="00000000" w:rsidRPr="00000000">
        <w:rPr>
          <w:color w:val="000000"/>
          <w:rtl w:val="0"/>
        </w:rPr>
        <w:t xml:space="preserve">NHS England (2025) Musculoskeletal health in England: rheumatoid arthritis prevalence indicator, people aged 16 years and over. Available at: </w:t>
      </w:r>
      <w:hyperlink r:id="rId40">
        <w:r w:rsidDel="00000000" w:rsidR="00000000" w:rsidRPr="00000000">
          <w:rPr>
            <w:u w:val="single"/>
            <w:rtl w:val="0"/>
          </w:rPr>
          <w:t xml:space="preserve">https://fingertips.phe.org.uk/static-reports/health-trends-in-england/England/musculoskeletal_health.html</w:t>
        </w:r>
      </w:hyperlink>
      <w:r w:rsidDel="00000000" w:rsidR="00000000" w:rsidRPr="00000000">
        <w:rPr>
          <w:rtl w:val="0"/>
        </w:rPr>
      </w:r>
    </w:p>
    <w:p w:rsidR="00000000" w:rsidDel="00000000" w:rsidP="00000000" w:rsidRDefault="00000000" w:rsidRPr="00000000" w14:paraId="000000C3">
      <w:pPr>
        <w:keepLines w:val="1"/>
        <w:spacing w:after="80" w:before="0" w:line="240" w:lineRule="auto"/>
        <w:ind w:left="360" w:hanging="360"/>
        <w:rPr/>
      </w:pPr>
      <w:r w:rsidDel="00000000" w:rsidR="00000000" w:rsidRPr="00000000">
        <w:rPr>
          <w:color w:val="000000"/>
          <w:rtl w:val="0"/>
        </w:rPr>
        <w:t xml:space="preserve">NICE - National Institute for Health and Care Excellence (2020) Rheumatoid arthritis in adults: management (NG100). Available at: </w:t>
      </w:r>
      <w:hyperlink r:id="rId41">
        <w:r w:rsidDel="00000000" w:rsidR="00000000" w:rsidRPr="00000000">
          <w:rPr>
            <w:u w:val="single"/>
            <w:rtl w:val="0"/>
          </w:rPr>
          <w:t xml:space="preserve">https://www.nice.org.uk/guidance/ng100/chapter/Recommendations</w:t>
        </w:r>
      </w:hyperlink>
      <w:r w:rsidDel="00000000" w:rsidR="00000000" w:rsidRPr="00000000">
        <w:rPr>
          <w:rtl w:val="0"/>
        </w:rPr>
      </w:r>
    </w:p>
    <w:p w:rsidR="00000000" w:rsidDel="00000000" w:rsidP="00000000" w:rsidRDefault="00000000" w:rsidRPr="00000000" w14:paraId="000000C4">
      <w:pPr>
        <w:keepLines w:val="1"/>
        <w:spacing w:after="80" w:before="0" w:line="240" w:lineRule="auto"/>
        <w:ind w:left="360" w:hanging="360"/>
        <w:rPr/>
      </w:pPr>
      <w:r w:rsidDel="00000000" w:rsidR="00000000" w:rsidRPr="00000000">
        <w:rPr>
          <w:color w:val="000000"/>
          <w:rtl w:val="0"/>
        </w:rPr>
        <w:t xml:space="preserve">Nikiphorou, E., Ferreira Santos, E.J., Marques, A., Böhm, P., Bijlsma, J.W.J., Immediato Daien, C., Appel Esbensen, B., Ferreira, R.J.O., Fragoulis, G.E., Holmes, P., McBain, H., Metsios, G.S., Moe, R.H., Stamm, T.A., de Thurah, A., Zabalan, C., Carmona, L. and Bosworth, A. (2021) 2021 EULAR recommendations for the implementation of self-management strategies in patients with inflammatory arthritis. Annals of the Rheumatic Diseases, 80(10), pp. 1278-1285. Available at: </w:t>
      </w:r>
      <w:hyperlink r:id="rId42">
        <w:r w:rsidDel="00000000" w:rsidR="00000000" w:rsidRPr="00000000">
          <w:rPr>
            <w:color w:val="000000"/>
            <w:u w:val="single"/>
            <w:rtl w:val="0"/>
          </w:rPr>
          <w:t xml:space="preserve">https://doi.org/10.1136/annrheumdis-2021-220249</w:t>
        </w:r>
      </w:hyperlink>
      <w:r w:rsidDel="00000000" w:rsidR="00000000" w:rsidRPr="00000000">
        <w:rPr>
          <w:color w:val="000000"/>
          <w:rtl w:val="0"/>
        </w:rPr>
        <w:t xml:space="preserve"> </w:t>
      </w:r>
      <w:r w:rsidDel="00000000" w:rsidR="00000000" w:rsidRPr="00000000">
        <w:rPr>
          <w:rtl w:val="0"/>
        </w:rPr>
      </w:r>
    </w:p>
    <w:p w:rsidR="00000000" w:rsidDel="00000000" w:rsidP="00000000" w:rsidRDefault="00000000" w:rsidRPr="00000000" w14:paraId="000000C5">
      <w:pPr>
        <w:keepLines w:val="1"/>
        <w:spacing w:after="80" w:before="0" w:line="240" w:lineRule="auto"/>
        <w:ind w:left="360" w:hanging="360"/>
        <w:rPr/>
      </w:pPr>
      <w:r w:rsidDel="00000000" w:rsidR="00000000" w:rsidRPr="00000000">
        <w:rPr>
          <w:color w:val="000000"/>
          <w:rtl w:val="0"/>
        </w:rPr>
        <w:t xml:space="preserve">Ohno, T., Aune, D. and Heath, A.K. (2020) ‘Adiposity and the risk of rheumatoid arthritis: a systematic review and meta-analysis of cohort studies’, Scientific Reports, 10, 16006. Available at: </w:t>
      </w:r>
      <w:hyperlink r:id="rId43">
        <w:r w:rsidDel="00000000" w:rsidR="00000000" w:rsidRPr="00000000">
          <w:rPr>
            <w:color w:val="000000"/>
            <w:u w:val="single"/>
            <w:rtl w:val="0"/>
          </w:rPr>
          <w:t xml:space="preserve">https://doi.org/10.1038/s41598-020-71676-6</w:t>
        </w:r>
      </w:hyperlink>
      <w:r w:rsidDel="00000000" w:rsidR="00000000" w:rsidRPr="00000000">
        <w:rPr>
          <w:color w:val="000000"/>
          <w:rtl w:val="0"/>
        </w:rPr>
        <w:t xml:space="preserve"> </w:t>
      </w:r>
      <w:r w:rsidDel="00000000" w:rsidR="00000000" w:rsidRPr="00000000">
        <w:rPr>
          <w:rtl w:val="0"/>
        </w:rPr>
      </w:r>
    </w:p>
    <w:p w:rsidR="00000000" w:rsidDel="00000000" w:rsidP="00000000" w:rsidRDefault="00000000" w:rsidRPr="00000000" w14:paraId="000000C6">
      <w:pPr>
        <w:keepLines w:val="1"/>
        <w:spacing w:after="80" w:before="0" w:line="240" w:lineRule="auto"/>
        <w:ind w:left="360" w:hanging="360"/>
        <w:rPr/>
      </w:pPr>
      <w:r w:rsidDel="00000000" w:rsidR="00000000" w:rsidRPr="00000000">
        <w:rPr>
          <w:color w:val="000000"/>
          <w:rtl w:val="0"/>
        </w:rPr>
        <w:t xml:space="preserve">Oliver, L., Roberts, S. and Haines, R. (2020) Care and support planning: a new approach for patients with long term conditions. Practice Nurse. Available at: </w:t>
      </w:r>
      <w:hyperlink r:id="rId44">
        <w:r w:rsidDel="00000000" w:rsidR="00000000" w:rsidRPr="00000000">
          <w:rPr>
            <w:u w:val="single"/>
            <w:rtl w:val="0"/>
          </w:rPr>
          <w:t xml:space="preserve">https://practicenurse.co.uk/articles/long-term-conditions/care-and-support-planning-a-new-approach-for-patients-with-long-term-conditions</w:t>
        </w:r>
      </w:hyperlink>
      <w:r w:rsidDel="00000000" w:rsidR="00000000" w:rsidRPr="00000000">
        <w:rPr>
          <w:rtl w:val="0"/>
        </w:rPr>
      </w:r>
    </w:p>
    <w:p w:rsidR="00000000" w:rsidDel="00000000" w:rsidP="00000000" w:rsidRDefault="00000000" w:rsidRPr="00000000" w14:paraId="000000C7">
      <w:pPr>
        <w:keepLines w:val="1"/>
        <w:spacing w:after="80" w:before="0" w:line="240" w:lineRule="auto"/>
        <w:ind w:left="360" w:hanging="360"/>
        <w:rPr/>
      </w:pPr>
      <w:r w:rsidDel="00000000" w:rsidR="00000000" w:rsidRPr="00000000">
        <w:rPr>
          <w:color w:val="000000"/>
          <w:rtl w:val="0"/>
        </w:rPr>
        <w:t xml:space="preserve">Qiao, Y., Wang, Z., Li, Y., Han, Y., Zhou, Y. and Cao, X. (2020) ‘Rheumatoid arthritis risk in periodontitis patients: a systematic review and meta-analysis’, Joint Bone Spine, 87(6), pp. 556–564. Available at: </w:t>
      </w:r>
      <w:hyperlink r:id="rId45">
        <w:r w:rsidDel="00000000" w:rsidR="00000000" w:rsidRPr="00000000">
          <w:rPr>
            <w:color w:val="000000"/>
            <w:u w:val="single"/>
            <w:rtl w:val="0"/>
          </w:rPr>
          <w:t xml:space="preserve">https://doi.org/10.1016/j.jbspin.2020.04.024</w:t>
        </w:r>
      </w:hyperlink>
      <w:r w:rsidDel="00000000" w:rsidR="00000000" w:rsidRPr="00000000">
        <w:rPr>
          <w:color w:val="000000"/>
          <w:rtl w:val="0"/>
        </w:rPr>
        <w:t xml:space="preserve"> </w:t>
      </w:r>
      <w:r w:rsidDel="00000000" w:rsidR="00000000" w:rsidRPr="00000000">
        <w:rPr>
          <w:rtl w:val="0"/>
        </w:rPr>
      </w:r>
    </w:p>
    <w:p w:rsidR="00000000" w:rsidDel="00000000" w:rsidP="00000000" w:rsidRDefault="00000000" w:rsidRPr="00000000" w14:paraId="000000C8">
      <w:pPr>
        <w:keepLines w:val="1"/>
        <w:spacing w:after="80" w:before="0" w:line="240" w:lineRule="auto"/>
        <w:ind w:left="360" w:hanging="360"/>
        <w:rPr/>
      </w:pPr>
      <w:r w:rsidDel="00000000" w:rsidR="00000000" w:rsidRPr="00000000">
        <w:rPr>
          <w:color w:val="000000"/>
          <w:rtl w:val="0"/>
        </w:rPr>
        <w:t xml:space="preserve">Romao, V.C. and Fonseca, J.E. (2021) Etiology and risk factors for rheumatoid arthritis: a state-of-the-art review. Frontiers in Medicine, 8, 689698. Available at: </w:t>
      </w:r>
      <w:hyperlink r:id="rId46">
        <w:r w:rsidDel="00000000" w:rsidR="00000000" w:rsidRPr="00000000">
          <w:rPr>
            <w:u w:val="single"/>
            <w:rtl w:val="0"/>
          </w:rPr>
          <w:t xml:space="preserve">https://doi.org/10.3389/fmed.2021.689698</w:t>
        </w:r>
      </w:hyperlink>
      <w:r w:rsidDel="00000000" w:rsidR="00000000" w:rsidRPr="00000000">
        <w:rPr>
          <w:rtl w:val="0"/>
        </w:rPr>
      </w:r>
    </w:p>
    <w:p w:rsidR="00000000" w:rsidDel="00000000" w:rsidP="00000000" w:rsidRDefault="00000000" w:rsidRPr="00000000" w14:paraId="000000C9">
      <w:pPr>
        <w:keepLines w:val="1"/>
        <w:spacing w:after="80" w:before="0" w:line="240" w:lineRule="auto"/>
        <w:ind w:left="360" w:hanging="360"/>
        <w:rPr/>
      </w:pPr>
      <w:r w:rsidDel="00000000" w:rsidR="00000000" w:rsidRPr="00000000">
        <w:rPr>
          <w:color w:val="000000"/>
          <w:rtl w:val="0"/>
        </w:rPr>
        <w:t xml:space="preserve">Scottish Government (2019) Person-centred care: advice for non-executive board members. Published 15 November 2019. Available at: </w:t>
      </w:r>
      <w:hyperlink r:id="rId47">
        <w:r w:rsidDel="00000000" w:rsidR="00000000" w:rsidRPr="00000000">
          <w:rPr>
            <w:color w:val="000000"/>
            <w:u w:val="single"/>
            <w:rtl w:val="0"/>
          </w:rPr>
          <w:t xml:space="preserve">https://www.gov.scot/publications/person-centred-care-non-executive-members/pages/7/</w:t>
        </w:r>
      </w:hyperlink>
      <w:r w:rsidDel="00000000" w:rsidR="00000000" w:rsidRPr="00000000">
        <w:rPr>
          <w:color w:val="000000"/>
          <w:rtl w:val="0"/>
        </w:rPr>
        <w:t xml:space="preserve"> (Accessed: 14 October 2026).</w:t>
      </w:r>
      <w:r w:rsidDel="00000000" w:rsidR="00000000" w:rsidRPr="00000000">
        <w:rPr>
          <w:rtl w:val="0"/>
        </w:rPr>
      </w:r>
    </w:p>
    <w:p w:rsidR="00000000" w:rsidDel="00000000" w:rsidP="00000000" w:rsidRDefault="00000000" w:rsidRPr="00000000" w14:paraId="000000CA">
      <w:pPr>
        <w:keepLines w:val="1"/>
        <w:spacing w:after="80" w:before="0" w:line="240" w:lineRule="auto"/>
        <w:ind w:left="360" w:hanging="360"/>
        <w:rPr/>
      </w:pPr>
      <w:r w:rsidDel="00000000" w:rsidR="00000000" w:rsidRPr="00000000">
        <w:rPr>
          <w:color w:val="000000"/>
          <w:rtl w:val="0"/>
        </w:rPr>
        <w:t xml:space="preserve">Sepriano, A., Kerschbaumer, A., Bergstra, S.A., Smolen, J.S., Van Der Heijde, D., Caporali, R., Edwards, C.J., Verschueren, P., De Souza, S., Pope, J. and Takeuchi, T., 2023. Safety of synthetic and biological DMARDs: a systematic literature review informing the 2022 update of the EULAR recommendations for the management of rheumatoid arthritis. </w:t>
      </w:r>
      <w:r w:rsidDel="00000000" w:rsidR="00000000" w:rsidRPr="00000000">
        <w:rPr>
          <w:i w:val="1"/>
          <w:iCs w:val="1"/>
          <w:color w:val="000000"/>
          <w:rtl w:val="0"/>
        </w:rPr>
        <w:t xml:space="preserve">Annals of the rheumatic diseases</w:t>
      </w:r>
      <w:r w:rsidDel="00000000" w:rsidR="00000000" w:rsidRPr="00000000">
        <w:rPr>
          <w:color w:val="000000"/>
          <w:rtl w:val="0"/>
        </w:rPr>
        <w:t xml:space="preserve">, </w:t>
      </w:r>
      <w:r w:rsidDel="00000000" w:rsidR="00000000" w:rsidRPr="00000000">
        <w:rPr>
          <w:i w:val="1"/>
          <w:iCs w:val="1"/>
          <w:color w:val="000000"/>
          <w:rtl w:val="0"/>
        </w:rPr>
        <w:t xml:space="preserve">82</w:t>
      </w:r>
      <w:r w:rsidDel="00000000" w:rsidR="00000000" w:rsidRPr="00000000">
        <w:rPr>
          <w:color w:val="000000"/>
          <w:rtl w:val="0"/>
        </w:rPr>
        <w:t xml:space="preserve">(1), pp.107-118. Available at: </w:t>
      </w:r>
      <w:hyperlink r:id="rId48">
        <w:r w:rsidDel="00000000" w:rsidR="00000000" w:rsidRPr="00000000">
          <w:rPr>
            <w:color w:val="000000"/>
            <w:u w:val="single"/>
            <w:rtl w:val="0"/>
          </w:rPr>
          <w:t xml:space="preserve">https://doi.org/10.1136/ard-2022-223357</w:t>
        </w:r>
      </w:hyperlink>
      <w:r w:rsidDel="00000000" w:rsidR="00000000" w:rsidRPr="00000000">
        <w:rPr>
          <w:color w:val="000000"/>
          <w:rtl w:val="0"/>
        </w:rPr>
        <w:t xml:space="preserve"> </w:t>
      </w:r>
      <w:r w:rsidDel="00000000" w:rsidR="00000000" w:rsidRPr="00000000">
        <w:rPr>
          <w:rtl w:val="0"/>
        </w:rPr>
      </w:r>
    </w:p>
    <w:p w:rsidR="00000000" w:rsidDel="00000000" w:rsidP="00000000" w:rsidRDefault="00000000" w:rsidRPr="00000000" w14:paraId="000000CB">
      <w:pPr>
        <w:keepLines w:val="1"/>
        <w:spacing w:after="80" w:before="0" w:line="240" w:lineRule="auto"/>
        <w:ind w:left="360" w:hanging="360"/>
        <w:rPr/>
      </w:pPr>
      <w:r w:rsidDel="00000000" w:rsidR="00000000" w:rsidRPr="00000000">
        <w:rPr>
          <w:color w:val="000000"/>
          <w:rtl w:val="0"/>
        </w:rPr>
        <w:t xml:space="preserve">Smolen, J.S., Landewé, R.B., Bergstra, S.A., Kerschbaumer, A., Sepriano, A., Aletaha, D., Caporali, R., Edwards, C.J., Hyrich, K.L., Pope, J.E. and De Souza, S., 2023. EULAR recommendations for the management of rheumatoid arthritis with synthetic and biological disease-modifying antirheumatic drugs: 2022 update. </w:t>
      </w:r>
      <w:r w:rsidDel="00000000" w:rsidR="00000000" w:rsidRPr="00000000">
        <w:rPr>
          <w:i w:val="1"/>
          <w:iCs w:val="1"/>
          <w:color w:val="000000"/>
          <w:rtl w:val="0"/>
        </w:rPr>
        <w:t xml:space="preserve">Annals of the rheumatic diseases</w:t>
      </w:r>
      <w:r w:rsidDel="00000000" w:rsidR="00000000" w:rsidRPr="00000000">
        <w:rPr>
          <w:color w:val="000000"/>
          <w:rtl w:val="0"/>
        </w:rPr>
        <w:t xml:space="preserve">, </w:t>
      </w:r>
      <w:r w:rsidDel="00000000" w:rsidR="00000000" w:rsidRPr="00000000">
        <w:rPr>
          <w:i w:val="1"/>
          <w:iCs w:val="1"/>
          <w:color w:val="000000"/>
          <w:rtl w:val="0"/>
        </w:rPr>
        <w:t xml:space="preserve">82</w:t>
      </w:r>
      <w:r w:rsidDel="00000000" w:rsidR="00000000" w:rsidRPr="00000000">
        <w:rPr>
          <w:color w:val="000000"/>
          <w:rtl w:val="0"/>
        </w:rPr>
        <w:t xml:space="preserve">(1), pp.3-18. Available at: </w:t>
      </w:r>
      <w:hyperlink r:id="rId49">
        <w:r w:rsidDel="00000000" w:rsidR="00000000" w:rsidRPr="00000000">
          <w:rPr>
            <w:color w:val="000000"/>
            <w:u w:val="single"/>
            <w:rtl w:val="0"/>
          </w:rPr>
          <w:t xml:space="preserve">https://doi.org/10.1136/ard-2022-223356</w:t>
        </w:r>
      </w:hyperlink>
      <w:r w:rsidDel="00000000" w:rsidR="00000000" w:rsidRPr="00000000">
        <w:rPr>
          <w:color w:val="000000"/>
          <w:rtl w:val="0"/>
        </w:rPr>
        <w:t xml:space="preserve"> </w:t>
      </w:r>
      <w:r w:rsidDel="00000000" w:rsidR="00000000" w:rsidRPr="00000000">
        <w:rPr>
          <w:rtl w:val="0"/>
        </w:rPr>
      </w:r>
    </w:p>
    <w:p w:rsidR="00000000" w:rsidDel="00000000" w:rsidP="00000000" w:rsidRDefault="00000000" w:rsidRPr="00000000" w14:paraId="000000CC">
      <w:pPr>
        <w:keepLines w:val="1"/>
        <w:spacing w:after="80" w:before="0" w:line="240" w:lineRule="auto"/>
        <w:ind w:left="360" w:hanging="360"/>
        <w:rPr/>
      </w:pPr>
      <w:r w:rsidDel="00000000" w:rsidR="00000000" w:rsidRPr="00000000">
        <w:rPr>
          <w:color w:val="000000"/>
          <w:rtl w:val="0"/>
        </w:rPr>
        <w:t xml:space="preserve">Venetsanopoulou, A.I., Alamanos, Y., Voulgari, P.V. and Drosos, A.A. (2023) ‘Epidemiology and risk factors for rheumatoid arthritis development’, Mediterranean Journal of Rheumatology, 34(4), pp. 404–413. Available at: </w:t>
      </w:r>
      <w:hyperlink r:id="rId50">
        <w:r w:rsidDel="00000000" w:rsidR="00000000" w:rsidRPr="00000000">
          <w:rPr>
            <w:color w:val="000000"/>
            <w:u w:val="single"/>
            <w:rtl w:val="0"/>
          </w:rPr>
          <w:t xml:space="preserve">https://doi.org/10.31138/mjr.301223.eaf</w:t>
        </w:r>
      </w:hyperlink>
      <w:r w:rsidDel="00000000" w:rsidR="00000000" w:rsidRPr="00000000">
        <w:rPr>
          <w:color w:val="000000"/>
          <w:rtl w:val="0"/>
        </w:rPr>
        <w:t xml:space="preserve"> </w:t>
      </w:r>
      <w:r w:rsidDel="00000000" w:rsidR="00000000" w:rsidRPr="00000000">
        <w:rPr>
          <w:rtl w:val="0"/>
        </w:rPr>
      </w:r>
    </w:p>
    <w:p w:rsidR="00000000" w:rsidDel="00000000" w:rsidP="00000000" w:rsidRDefault="00000000" w:rsidRPr="00000000" w14:paraId="000000CD">
      <w:pPr>
        <w:keepLines w:val="1"/>
        <w:spacing w:after="80" w:before="0" w:line="240" w:lineRule="auto"/>
        <w:ind w:left="360" w:hanging="360"/>
        <w:rPr/>
      </w:pPr>
      <w:r w:rsidDel="00000000" w:rsidR="00000000" w:rsidRPr="00000000">
        <w:rPr>
          <w:color w:val="c00000"/>
          <w:rtl w:val="0"/>
        </w:rPr>
        <w:t xml:space="preserve">Versus Arthritis (2021) The state of musculoskeletal health 2021. Available at: </w:t>
      </w:r>
      <w:hyperlink r:id="rId51">
        <w:r w:rsidDel="00000000" w:rsidR="00000000" w:rsidRPr="00000000">
          <w:rPr>
            <w:color w:val="0000ff"/>
            <w:u w:val="single"/>
            <w:rtl w:val="0"/>
          </w:rPr>
          <w:t xml:space="preserve">https://www.lancashire.gov.uk/media/929825/state-of-msk-health-2021.pdf</w:t>
        </w:r>
      </w:hyperlink>
      <w:r w:rsidDel="00000000" w:rsidR="00000000" w:rsidRPr="00000000">
        <w:rPr>
          <w:color w:val="c00000"/>
          <w:rtl w:val="0"/>
        </w:rPr>
        <w:t xml:space="preserve"> (Accessed: 22 October 2026).</w:t>
      </w:r>
      <w:r w:rsidDel="00000000" w:rsidR="00000000" w:rsidRPr="00000000">
        <w:rPr>
          <w:rtl w:val="0"/>
        </w:rPr>
      </w:r>
    </w:p>
    <w:p w:rsidR="00000000" w:rsidDel="00000000" w:rsidP="00000000" w:rsidRDefault="00000000" w:rsidRPr="00000000" w14:paraId="000000CE">
      <w:pPr>
        <w:keepLines w:val="1"/>
        <w:spacing w:after="80" w:before="0" w:line="240" w:lineRule="auto"/>
        <w:ind w:left="360" w:hanging="360"/>
        <w:rPr/>
      </w:pPr>
      <w:r w:rsidDel="00000000" w:rsidR="00000000" w:rsidRPr="00000000">
        <w:rPr>
          <w:color w:val="000000"/>
          <w:rtl w:val="0"/>
        </w:rPr>
        <w:t xml:space="preserve">World Health Organization (2023) Rheumatoid arthritis. 28 June. Available at: </w:t>
      </w:r>
      <w:hyperlink r:id="rId52">
        <w:r w:rsidDel="00000000" w:rsidR="00000000" w:rsidRPr="00000000">
          <w:rPr>
            <w:color w:val="000000"/>
            <w:u w:val="single"/>
            <w:rtl w:val="0"/>
          </w:rPr>
          <w:t xml:space="preserve">https://www.who.int/news-room/fact-sheets/detail/Rheumatoid-arthritis</w:t>
        </w:r>
      </w:hyperlink>
      <w:r w:rsidDel="00000000" w:rsidR="00000000" w:rsidRPr="00000000">
        <w:rPr>
          <w:color w:val="000000"/>
          <w:rtl w:val="0"/>
        </w:rPr>
        <w:t xml:space="preserve"> (Accessed: 17 October 2026).</w:t>
      </w:r>
      <w:r w:rsidDel="00000000" w:rsidR="00000000" w:rsidRPr="00000000">
        <w:rPr>
          <w:rtl w:val="0"/>
        </w:rPr>
      </w:r>
    </w:p>
    <w:p w:rsidR="00000000" w:rsidDel="00000000" w:rsidP="00000000" w:rsidRDefault="00000000" w:rsidRPr="00000000" w14:paraId="000000CF">
      <w:pPr>
        <w:keepLines w:val="1"/>
        <w:spacing w:after="80" w:before="0" w:line="240" w:lineRule="auto"/>
        <w:ind w:left="360" w:hanging="360"/>
        <w:rPr/>
      </w:pPr>
      <w:r w:rsidDel="00000000" w:rsidR="00000000" w:rsidRPr="00000000">
        <w:rPr>
          <w:color w:val="000000"/>
          <w:rtl w:val="0"/>
        </w:rPr>
        <w:t xml:space="preserve">Wu, Z., Zhu, Y., Wang, Y., Zhou, R., Ye, X., Chen, Z., Li, C., Li, J., Ye, Z., Wang, Z., Liu, W. and Xu, X. (2022) The effects of patient education on psychological status and clinical outcomes in rheumatoid arthritis: a systematic review and meta-analysis. Frontiers in Psychiatry, 13, 848427. Available at: </w:t>
      </w:r>
      <w:hyperlink r:id="rId53">
        <w:r w:rsidDel="00000000" w:rsidR="00000000" w:rsidRPr="00000000">
          <w:rPr>
            <w:color w:val="000000"/>
            <w:u w:val="single"/>
            <w:rtl w:val="0"/>
          </w:rPr>
          <w:t xml:space="preserve">https://doi.org/10.3389/fpsyt.2022.848427</w:t>
        </w:r>
      </w:hyperlink>
      <w:r w:rsidDel="00000000" w:rsidR="00000000" w:rsidRPr="00000000">
        <w:rPr>
          <w:color w:val="000000"/>
          <w:rtl w:val="0"/>
        </w:rPr>
        <w:t xml:space="preserve"> </w:t>
      </w:r>
      <w:r w:rsidDel="00000000" w:rsidR="00000000" w:rsidRPr="00000000">
        <w:rPr>
          <w:rtl w:val="0"/>
        </w:rPr>
      </w:r>
    </w:p>
    <w:p w:rsidR="00000000" w:rsidDel="00000000" w:rsidP="00000000" w:rsidRDefault="00000000" w:rsidRPr="00000000" w14:paraId="000000D0">
      <w:pPr>
        <w:keepLines w:val="1"/>
        <w:spacing w:after="80" w:before="0" w:line="240" w:lineRule="auto"/>
        <w:ind w:left="360" w:hanging="360"/>
        <w:rPr/>
      </w:pPr>
      <w:r w:rsidDel="00000000" w:rsidR="00000000" w:rsidRPr="00000000">
        <w:rPr>
          <w:color w:val="000000"/>
          <w:rtl w:val="0"/>
        </w:rPr>
        <w:t xml:space="preserve">Zhang, Y., He, Z., Yin, Z., Wang, J., Gao, W. and Jie, L. (2025) Effect of exercise interventions for rheumatoid arthritis: a systematic review and network meta-analysis of randomised controlled trials. Journal of Pain Research, 18, pp. 5109-5126. Available at: </w:t>
      </w:r>
      <w:hyperlink r:id="rId54">
        <w:r w:rsidDel="00000000" w:rsidR="00000000" w:rsidRPr="00000000">
          <w:rPr>
            <w:u w:val="single"/>
            <w:rtl w:val="0"/>
          </w:rPr>
          <w:t xml:space="preserve">https://doi.org/10.2147/JPR.S537227</w:t>
        </w:r>
      </w:hyperlink>
      <w:r w:rsidDel="00000000" w:rsidR="00000000" w:rsidRPr="00000000">
        <w:rPr>
          <w:rtl w:val="0"/>
        </w:rPr>
      </w:r>
    </w:p>
    <w:sectPr>
      <w:headerReference r:id="rId55" w:type="default"/>
      <w:footerReference r:id="rId56" w:type="default"/>
      <w:pgSz w:h="16838" w:w="11906"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Cambr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12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535e67"/>
        <w:sz w:val="18"/>
        <w:szCs w:val="18"/>
        <w:u w:val="none"/>
        <w:shd w:fill="auto" w:val="clear"/>
        <w:vertAlign w:val="baseline"/>
        <w:rtl w:val="0"/>
      </w:rPr>
      <w:t xml:space="preserve">Page </w:t>
    </w:r>
    <w:r w:rsidDel="00000000" w:rsidR="00000000" w:rsidRPr="00000000">
      <w:rPr>
        <w:rFonts w:ascii="Arial" w:cs="Arial" w:eastAsia="Arial" w:hAnsi="Arial"/>
        <w:b w:val="0"/>
        <w:bCs w:val="0"/>
        <w:i w:val="0"/>
        <w:iCs w:val="0"/>
        <w:smallCaps w:val="0"/>
        <w:strike w:val="0"/>
        <w:color w:val="535e67"/>
        <w:sz w:val="18"/>
        <w:szCs w:val="18"/>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2">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after="120" w:before="120"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Pr>
    <w:rPr>
      <w:b w:val="1"/>
      <w:bCs w:val="1"/>
      <w:sz w:val="28"/>
      <w:szCs w:val="28"/>
    </w:rPr>
  </w:style>
  <w:style w:type="paragraph" w:styleId="Heading2">
    <w:name w:val="heading 2"/>
    <w:basedOn w:val="Normal"/>
    <w:next w:val="Normal"/>
    <w:pPr>
      <w:keepNext w:val="1"/>
      <w:keepLines w:val="1"/>
    </w:pPr>
    <w:rPr>
      <w:b w:val="1"/>
      <w:bCs w:val="1"/>
      <w:sz w:val="26"/>
      <w:szCs w:val="26"/>
    </w:rPr>
  </w:style>
  <w:style w:type="paragraph" w:styleId="Heading3">
    <w:name w:val="heading 3"/>
    <w:basedOn w:val="Normal"/>
    <w:next w:val="Normal"/>
    <w:pPr>
      <w:keepNext w:val="1"/>
      <w:keepLines w:val="1"/>
    </w:pPr>
    <w:rPr>
      <w:b w:val="1"/>
      <w:bCs w:val="1"/>
      <w:sz w:val="24"/>
      <w:szCs w:val="24"/>
    </w:rPr>
  </w:style>
  <w:style w:type="paragraph" w:styleId="Heading4">
    <w:name w:val="heading 4"/>
    <w:basedOn w:val="Normal"/>
    <w:next w:val="Normal"/>
    <w:pPr>
      <w:keepNext w:val="1"/>
      <w:keepLines w:val="1"/>
      <w:spacing w:after="0" w:before="200" w:lineRule="auto"/>
    </w:pPr>
    <w:rPr>
      <w:rFonts w:ascii="Calibri" w:cs="Calibri" w:eastAsia="Calibri" w:hAnsi="Calibri"/>
      <w:b w:val="1"/>
      <w:bCs w:val="1"/>
      <w:i w:val="1"/>
      <w:iCs w:val="1"/>
      <w:color w:val="4f81bd"/>
    </w:rPr>
  </w:style>
  <w:style w:type="paragraph" w:styleId="Heading5">
    <w:name w:val="heading 5"/>
    <w:basedOn w:val="Normal"/>
    <w:next w:val="Normal"/>
    <w:pPr>
      <w:keepNext w:val="1"/>
      <w:keepLines w:val="1"/>
      <w:spacing w:after="0" w:before="200" w:lineRule="auto"/>
    </w:pPr>
    <w:rPr>
      <w:rFonts w:ascii="Calibri" w:cs="Calibri" w:eastAsia="Calibri" w:hAnsi="Calibri"/>
      <w:color w:val="243f61"/>
    </w:rPr>
  </w:style>
  <w:style w:type="paragraph" w:styleId="Heading6">
    <w:name w:val="heading 6"/>
    <w:basedOn w:val="Normal"/>
    <w:next w:val="Normal"/>
    <w:pPr>
      <w:keepNext w:val="1"/>
      <w:keepLines w:val="1"/>
      <w:spacing w:after="0" w:before="200" w:lineRule="auto"/>
    </w:pPr>
    <w:rPr>
      <w:rFonts w:ascii="Calibri" w:cs="Calibri" w:eastAsia="Calibri" w:hAnsi="Calibri"/>
      <w:i w:val="1"/>
      <w:iCs w:val="1"/>
      <w:color w:val="243f61"/>
    </w:rPr>
  </w:style>
  <w:style w:type="paragraph" w:styleId="Title">
    <w:name w:val="Title"/>
    <w:basedOn w:val="Normal"/>
    <w:next w:val="Normal"/>
    <w:pPr>
      <w:pBdr>
        <w:bottom w:color="4f81bd" w:space="4" w:sz="8" w:val="single"/>
      </w:pBdr>
      <w:spacing w:after="300" w:line="240" w:lineRule="auto"/>
    </w:pPr>
    <w:rPr>
      <w:rFonts w:ascii="Calibri" w:cs="Calibri" w:eastAsia="Calibri" w:hAnsi="Calibri"/>
      <w:color w:val="17365d"/>
      <w:sz w:val="52"/>
      <w:szCs w:val="52"/>
    </w:rPr>
  </w:style>
  <w:style w:type="paragraph" w:styleId="Heading7">
    <w:name w:val="heading 7"/>
    <w:basedOn w:val="Normal"/>
    <w:next w:val="Normal"/>
    <w:link w:val="Heading7Char"/>
    <w:uiPriority w:val="9"/>
    <w:semiHidden w:val="1"/>
    <w:unhideWhenUsed w:val="1"/>
    <w:qFormat w:val="1"/>
    <w:rsid w:val="00FC693F"/>
    <w:pPr>
      <w:keepNext w:val="1"/>
      <w:keepLines w:val="1"/>
      <w:spacing w:after="0" w:before="200"/>
      <w:outlineLvl w:val="6"/>
    </w:pPr>
    <w:rPr>
      <w:rFonts w:asciiTheme="majorHAnsi" w:cstheme="majorBidi" w:eastAsiaTheme="majorEastAsia" w:hAnsiTheme="majorHAnsi"/>
      <w:i w:val="1"/>
      <w:iCs w:val="1"/>
      <w:color w:val="404040" w:themeColor="text1" w:themeTint="0000BF"/>
    </w:rPr>
  </w:style>
  <w:style w:type="paragraph" w:styleId="Heading8">
    <w:name w:val="heading 8"/>
    <w:basedOn w:val="Normal"/>
    <w:next w:val="Normal"/>
    <w:link w:val="Heading8Char"/>
    <w:uiPriority w:val="9"/>
    <w:semiHidden w:val="1"/>
    <w:unhideWhenUsed w:val="1"/>
    <w:qFormat w:val="1"/>
    <w:rsid w:val="00FC693F"/>
    <w:pPr>
      <w:keepNext w:val="1"/>
      <w:keepLines w:val="1"/>
      <w:spacing w:after="0" w:before="200"/>
      <w:outlineLvl w:val="7"/>
    </w:pPr>
    <w:rPr>
      <w:rFonts w:asciiTheme="majorHAnsi" w:cstheme="majorBidi" w:eastAsiaTheme="majorEastAsia" w:hAnsiTheme="majorHAnsi"/>
      <w:color w:val="4f81bd" w:themeColor="accent1"/>
      <w:sz w:val="20"/>
      <w:szCs w:val="20"/>
    </w:rPr>
  </w:style>
  <w:style w:type="paragraph" w:styleId="Heading9">
    <w:name w:val="heading 9"/>
    <w:basedOn w:val="Normal"/>
    <w:next w:val="Normal"/>
    <w:link w:val="Heading9Char"/>
    <w:uiPriority w:val="9"/>
    <w:semiHidden w:val="1"/>
    <w:unhideWhenUsed w:val="1"/>
    <w:qFormat w:val="1"/>
    <w:rsid w:val="00FC693F"/>
    <w:pPr>
      <w:keepNext w:val="1"/>
      <w:keepLines w:val="1"/>
      <w:spacing w:after="0" w:before="200"/>
      <w:outlineLvl w:val="8"/>
    </w:pPr>
    <w:rPr>
      <w:rFonts w:asciiTheme="majorHAnsi" w:cstheme="majorBidi" w:eastAsiaTheme="majorEastAsia" w:hAnsiTheme="majorHAnsi"/>
      <w:i w:val="1"/>
      <w:iCs w:val="1"/>
      <w:color w:val="404040" w:themeColor="text1" w:themeTint="0000BF"/>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val="1"/>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NoSpacing">
    <w:name w:val="No Spacing"/>
    <w:uiPriority w:val="1"/>
    <w:qFormat w:val="1"/>
    <w:rsid w:val="00FC693F"/>
    <w:pPr>
      <w:spacing w:after="0" w:line="240" w:lineRule="auto"/>
    </w:pPr>
  </w:style>
  <w:style w:type="character" w:styleId="Heading1Char" w:customStyle="1">
    <w:name w:val="Heading 1 Char"/>
    <w:basedOn w:val="DefaultParagraphFont"/>
    <w:link w:val="Heading1"/>
    <w:uiPriority w:val="9"/>
    <w:rsid w:val="00CC2668"/>
    <w:rPr>
      <w:rFonts w:ascii="Arial" w:hAnsi="Arial" w:cstheme="majorBidi" w:eastAsiaTheme="majorEastAsia"/>
      <w:b w:val="1"/>
      <w:bCs w:val="1"/>
      <w:sz w:val="28"/>
      <w:szCs w:val="28"/>
    </w:rPr>
  </w:style>
  <w:style w:type="character" w:styleId="Heading2Char" w:customStyle="1">
    <w:name w:val="Heading 2 Char"/>
    <w:basedOn w:val="DefaultParagraphFont"/>
    <w:link w:val="Heading2"/>
    <w:uiPriority w:val="9"/>
    <w:rsid w:val="00CC2668"/>
    <w:rPr>
      <w:rFonts w:ascii="Arial" w:hAnsi="Arial" w:cstheme="majorBidi" w:eastAsiaTheme="majorEastAsia"/>
      <w:b w:val="1"/>
      <w:bCs w:val="1"/>
      <w:sz w:val="26"/>
      <w:szCs w:val="28"/>
    </w:rPr>
  </w:style>
  <w:style w:type="character" w:styleId="Heading3Char" w:customStyle="1">
    <w:name w:val="Heading 3 Char"/>
    <w:basedOn w:val="DefaultParagraphFont"/>
    <w:link w:val="Heading3"/>
    <w:uiPriority w:val="9"/>
    <w:rsid w:val="00CC2668"/>
    <w:rPr>
      <w:rFonts w:ascii="Arial" w:hAnsi="Arial" w:cstheme="majorBidi" w:eastAsiaTheme="majorEastAsia"/>
      <w:b w:val="1"/>
      <w:bCs w:val="1"/>
      <w:sz w:val="24"/>
      <w:szCs w:val="28"/>
    </w:rPr>
  </w:style>
  <w:style w:type="character" w:styleId="TitleChar" w:customStyle="1">
    <w:name w:val="Title Char"/>
    <w:basedOn w:val="DefaultParagraphFont"/>
    <w:link w:val="Title"/>
    <w:uiPriority w:val="10"/>
    <w:rsid w:val="00FC693F"/>
    <w:rPr>
      <w:rFonts w:asciiTheme="majorHAnsi" w:cstheme="majorBidi" w:eastAsiaTheme="majorEastAsia" w:hAnsiTheme="majorHAnsi"/>
      <w:color w:val="17365d" w:themeColor="text2" w:themeShade="0000BF"/>
      <w:spacing w:val="5"/>
      <w:kern w:val="28"/>
      <w:sz w:val="52"/>
      <w:szCs w:val="52"/>
    </w:rPr>
  </w:style>
  <w:style w:type="character" w:styleId="SubtitleChar" w:customStyle="1">
    <w:name w:val="Subtitle Char"/>
    <w:basedOn w:val="DefaultParagraphFont"/>
    <w:link w:val="Subtitle"/>
    <w:uiPriority w:val="11"/>
    <w:rsid w:val="00FC693F"/>
    <w:rPr>
      <w:rFonts w:asciiTheme="majorHAnsi" w:cstheme="majorBidi" w:eastAsiaTheme="majorEastAsia" w:hAnsiTheme="majorHAnsi"/>
      <w:i w:val="1"/>
      <w:iCs w:val="1"/>
      <w:color w:val="4f81bd" w:themeColor="accent1"/>
      <w:spacing w:val="15"/>
      <w:sz w:val="24"/>
      <w:szCs w:val="24"/>
    </w:rPr>
  </w:style>
  <w:style w:type="paragraph" w:styleId="ListParagraph">
    <w:name w:val="List Paragraph"/>
    <w:basedOn w:val="Normal"/>
    <w:uiPriority w:val="34"/>
    <w:qFormat w:val="1"/>
    <w:rsid w:val="00FC693F"/>
    <w:pPr>
      <w:ind w:left="720"/>
      <w:contextualSpacing w:val="1"/>
    </w:pPr>
  </w:style>
  <w:style w:type="paragraph" w:styleId="BodyText">
    <w:name w:val="Body Text"/>
    <w:basedOn w:val="Normal"/>
    <w:link w:val="BodyTextChar"/>
    <w:uiPriority w:val="99"/>
    <w:unhideWhenUsed w:val="1"/>
    <w:rsid w:val="00AA1D8D"/>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val="1"/>
    <w:rsid w:val="00AA1D8D"/>
    <w:pPr>
      <w:spacing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val="1"/>
    <w:rsid w:val="00AA1D8D"/>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val="1"/>
    <w:rsid w:val="00AA1D8D"/>
    <w:pPr>
      <w:ind w:left="360" w:hanging="360"/>
      <w:contextualSpacing w:val="1"/>
    </w:pPr>
  </w:style>
  <w:style w:type="paragraph" w:styleId="List2">
    <w:name w:val="List 2"/>
    <w:basedOn w:val="Normal"/>
    <w:uiPriority w:val="99"/>
    <w:unhideWhenUsed w:val="1"/>
    <w:rsid w:val="00326F90"/>
    <w:pPr>
      <w:ind w:left="720" w:hanging="360"/>
      <w:contextualSpacing w:val="1"/>
    </w:pPr>
  </w:style>
  <w:style w:type="paragraph" w:styleId="List3">
    <w:name w:val="List 3"/>
    <w:basedOn w:val="Normal"/>
    <w:uiPriority w:val="99"/>
    <w:unhideWhenUsed w:val="1"/>
    <w:rsid w:val="00326F90"/>
    <w:pPr>
      <w:ind w:left="1080" w:hanging="360"/>
      <w:contextualSpacing w:val="1"/>
    </w:pPr>
  </w:style>
  <w:style w:type="paragraph" w:styleId="ListBullet">
    <w:name w:val="List Bullet"/>
    <w:basedOn w:val="Normal"/>
    <w:uiPriority w:val="99"/>
    <w:unhideWhenUsed w:val="1"/>
    <w:rsid w:val="00326F90"/>
    <w:pPr>
      <w:numPr>
        <w:numId w:val="1"/>
      </w:numPr>
      <w:contextualSpacing w:val="1"/>
    </w:pPr>
  </w:style>
  <w:style w:type="paragraph" w:styleId="ListBullet2">
    <w:name w:val="List Bullet 2"/>
    <w:basedOn w:val="Normal"/>
    <w:uiPriority w:val="99"/>
    <w:unhideWhenUsed w:val="1"/>
    <w:rsid w:val="00326F90"/>
    <w:pPr>
      <w:numPr>
        <w:numId w:val="2"/>
      </w:numPr>
      <w:contextualSpacing w:val="1"/>
    </w:pPr>
  </w:style>
  <w:style w:type="paragraph" w:styleId="ListBullet3">
    <w:name w:val="List Bullet 3"/>
    <w:basedOn w:val="Normal"/>
    <w:uiPriority w:val="99"/>
    <w:unhideWhenUsed w:val="1"/>
    <w:rsid w:val="00326F90"/>
    <w:pPr>
      <w:numPr>
        <w:numId w:val="3"/>
      </w:numPr>
      <w:contextualSpacing w:val="1"/>
    </w:pPr>
  </w:style>
  <w:style w:type="paragraph" w:styleId="ListNumber">
    <w:name w:val="List Number"/>
    <w:basedOn w:val="Normal"/>
    <w:uiPriority w:val="99"/>
    <w:unhideWhenUsed w:val="1"/>
    <w:rsid w:val="00326F90"/>
    <w:pPr>
      <w:numPr>
        <w:numId w:val="5"/>
      </w:numPr>
      <w:contextualSpacing w:val="1"/>
    </w:pPr>
  </w:style>
  <w:style w:type="paragraph" w:styleId="ListNumber2">
    <w:name w:val="List Number 2"/>
    <w:basedOn w:val="Normal"/>
    <w:uiPriority w:val="99"/>
    <w:unhideWhenUsed w:val="1"/>
    <w:rsid w:val="0029639D"/>
    <w:pPr>
      <w:numPr>
        <w:numId w:val="6"/>
      </w:numPr>
      <w:contextualSpacing w:val="1"/>
    </w:pPr>
  </w:style>
  <w:style w:type="paragraph" w:styleId="ListNumber3">
    <w:name w:val="List Number 3"/>
    <w:basedOn w:val="Normal"/>
    <w:uiPriority w:val="99"/>
    <w:unhideWhenUsed w:val="1"/>
    <w:rsid w:val="0029639D"/>
    <w:pPr>
      <w:numPr>
        <w:numId w:val="7"/>
      </w:numPr>
      <w:contextualSpacing w:val="1"/>
    </w:pPr>
  </w:style>
  <w:style w:type="paragraph" w:styleId="ListContinue">
    <w:name w:val="List Continue"/>
    <w:basedOn w:val="Normal"/>
    <w:uiPriority w:val="99"/>
    <w:unhideWhenUsed w:val="1"/>
    <w:rsid w:val="0029639D"/>
    <w:pPr>
      <w:ind w:left="360"/>
      <w:contextualSpacing w:val="1"/>
    </w:pPr>
  </w:style>
  <w:style w:type="paragraph" w:styleId="ListContinue2">
    <w:name w:val="List Continue 2"/>
    <w:basedOn w:val="Normal"/>
    <w:uiPriority w:val="99"/>
    <w:unhideWhenUsed w:val="1"/>
    <w:rsid w:val="0029639D"/>
    <w:pPr>
      <w:ind w:left="720"/>
      <w:contextualSpacing w:val="1"/>
    </w:pPr>
  </w:style>
  <w:style w:type="paragraph" w:styleId="ListContinue3">
    <w:name w:val="List Continue 3"/>
    <w:basedOn w:val="Normal"/>
    <w:uiPriority w:val="99"/>
    <w:unhideWhenUsed w:val="1"/>
    <w:rsid w:val="0029639D"/>
    <w:pPr>
      <w:ind w:left="1080"/>
      <w:contextualSpacing w:val="1"/>
    </w:pPr>
  </w:style>
  <w:style w:type="paragraph" w:styleId="MacroText">
    <w:name w:val="macro"/>
    <w:link w:val="MacroTextChar"/>
    <w:uiPriority w:val="99"/>
    <w:unhideWhenUsed w:val="1"/>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val="1"/>
    <w:rsid w:val="00FC693F"/>
    <w:rPr>
      <w:i w:val="1"/>
      <w:iCs w:val="1"/>
      <w:color w:val="000000" w:themeColor="text1"/>
    </w:rPr>
  </w:style>
  <w:style w:type="character" w:styleId="QuoteChar" w:customStyle="1">
    <w:name w:val="Quote Char"/>
    <w:basedOn w:val="DefaultParagraphFont"/>
    <w:link w:val="Quote"/>
    <w:uiPriority w:val="29"/>
    <w:rsid w:val="00FC693F"/>
    <w:rPr>
      <w:i w:val="1"/>
      <w:iCs w:val="1"/>
      <w:color w:val="000000" w:themeColor="text1"/>
    </w:rPr>
  </w:style>
  <w:style w:type="character" w:styleId="Heading4Char" w:customStyle="1">
    <w:name w:val="Heading 4 Char"/>
    <w:basedOn w:val="DefaultParagraphFont"/>
    <w:link w:val="Heading4"/>
    <w:uiPriority w:val="9"/>
    <w:semiHidden w:val="1"/>
    <w:rsid w:val="00FC693F"/>
    <w:rPr>
      <w:rFonts w:asciiTheme="majorHAnsi" w:cstheme="majorBidi" w:eastAsiaTheme="majorEastAsia" w:hAnsiTheme="majorHAnsi"/>
      <w:b w:val="1"/>
      <w:bCs w:val="1"/>
      <w:i w:val="1"/>
      <w:iCs w:val="1"/>
      <w:color w:val="4f81bd" w:themeColor="accent1"/>
    </w:rPr>
  </w:style>
  <w:style w:type="character" w:styleId="Heading5Char" w:customStyle="1">
    <w:name w:val="Heading 5 Char"/>
    <w:basedOn w:val="DefaultParagraphFont"/>
    <w:link w:val="Heading5"/>
    <w:uiPriority w:val="9"/>
    <w:semiHidden w:val="1"/>
    <w:rsid w:val="00FC693F"/>
    <w:rPr>
      <w:rFonts w:asciiTheme="majorHAnsi" w:cstheme="majorBidi" w:eastAsiaTheme="majorEastAsia" w:hAnsiTheme="majorHAnsi"/>
      <w:color w:val="243f60" w:themeColor="accent1" w:themeShade="00007F"/>
    </w:rPr>
  </w:style>
  <w:style w:type="character" w:styleId="Heading6Char" w:customStyle="1">
    <w:name w:val="Heading 6 Char"/>
    <w:basedOn w:val="DefaultParagraphFont"/>
    <w:link w:val="Heading6"/>
    <w:uiPriority w:val="9"/>
    <w:semiHidden w:val="1"/>
    <w:rsid w:val="00FC693F"/>
    <w:rPr>
      <w:rFonts w:asciiTheme="majorHAnsi" w:cstheme="majorBidi" w:eastAsiaTheme="majorEastAsia" w:hAnsiTheme="majorHAnsi"/>
      <w:i w:val="1"/>
      <w:iCs w:val="1"/>
      <w:color w:val="243f60" w:themeColor="accent1" w:themeShade="00007F"/>
    </w:rPr>
  </w:style>
  <w:style w:type="character" w:styleId="Heading7Char" w:customStyle="1">
    <w:name w:val="Heading 7 Char"/>
    <w:basedOn w:val="DefaultParagraphFont"/>
    <w:link w:val="Heading7"/>
    <w:uiPriority w:val="9"/>
    <w:semiHidden w:val="1"/>
    <w:rsid w:val="00FC693F"/>
    <w:rPr>
      <w:rFonts w:asciiTheme="majorHAnsi" w:cstheme="majorBidi" w:eastAsiaTheme="majorEastAsia" w:hAnsiTheme="majorHAnsi"/>
      <w:i w:val="1"/>
      <w:iCs w:val="1"/>
      <w:color w:val="404040" w:themeColor="text1" w:themeTint="0000BF"/>
    </w:rPr>
  </w:style>
  <w:style w:type="character" w:styleId="Heading8Char" w:customStyle="1">
    <w:name w:val="Heading 8 Char"/>
    <w:basedOn w:val="DefaultParagraphFont"/>
    <w:link w:val="Heading8"/>
    <w:uiPriority w:val="9"/>
    <w:semiHidden w:val="1"/>
    <w:rsid w:val="00FC693F"/>
    <w:rPr>
      <w:rFonts w:asciiTheme="majorHAnsi" w:cstheme="majorBidi" w:eastAsiaTheme="majorEastAsia" w:hAnsiTheme="majorHAnsi"/>
      <w:color w:val="4f81bd" w:themeColor="accent1"/>
      <w:sz w:val="20"/>
      <w:szCs w:val="20"/>
    </w:rPr>
  </w:style>
  <w:style w:type="character" w:styleId="Heading9Char" w:customStyle="1">
    <w:name w:val="Heading 9 Char"/>
    <w:basedOn w:val="DefaultParagraphFont"/>
    <w:link w:val="Heading9"/>
    <w:uiPriority w:val="9"/>
    <w:semiHidden w:val="1"/>
    <w:rsid w:val="00FC693F"/>
    <w:rPr>
      <w:rFonts w:asciiTheme="majorHAnsi" w:cstheme="majorBidi" w:eastAsiaTheme="majorEastAsia" w:hAnsiTheme="majorHAnsi"/>
      <w:i w:val="1"/>
      <w:iCs w:val="1"/>
      <w:color w:val="404040" w:themeColor="text1" w:themeTint="0000BF"/>
      <w:sz w:val="20"/>
      <w:szCs w:val="20"/>
    </w:rPr>
  </w:style>
  <w:style w:type="paragraph" w:styleId="Caption">
    <w:name w:val="caption"/>
    <w:basedOn w:val="Normal"/>
    <w:next w:val="Normal"/>
    <w:uiPriority w:val="35"/>
    <w:semiHidden w:val="1"/>
    <w:unhideWhenUsed w:val="1"/>
    <w:qFormat w:val="1"/>
    <w:rsid w:val="00FC693F"/>
    <w:pPr>
      <w:spacing w:line="240" w:lineRule="auto"/>
    </w:pPr>
    <w:rPr>
      <w:b w:val="1"/>
      <w:bCs w:val="1"/>
      <w:color w:val="4f81bd" w:themeColor="accent1"/>
      <w:sz w:val="18"/>
      <w:szCs w:val="18"/>
    </w:rPr>
  </w:style>
  <w:style w:type="character" w:styleId="Strong">
    <w:name w:val="Strong"/>
    <w:basedOn w:val="DefaultParagraphFont"/>
    <w:uiPriority w:val="22"/>
    <w:qFormat w:val="1"/>
    <w:rsid w:val="00FC693F"/>
    <w:rPr>
      <w:b w:val="1"/>
      <w:bCs w:val="1"/>
    </w:rPr>
  </w:style>
  <w:style w:type="character" w:styleId="Emphasis">
    <w:name w:val="Emphasis"/>
    <w:basedOn w:val="DefaultParagraphFont"/>
    <w:uiPriority w:val="20"/>
    <w:qFormat w:val="1"/>
    <w:rsid w:val="00FC693F"/>
    <w:rPr>
      <w:i w:val="1"/>
      <w:iCs w:val="1"/>
    </w:rPr>
  </w:style>
  <w:style w:type="paragraph" w:styleId="IntenseQuote">
    <w:name w:val="Intense Quote"/>
    <w:basedOn w:val="Normal"/>
    <w:next w:val="Normal"/>
    <w:link w:val="IntenseQuoteChar"/>
    <w:uiPriority w:val="30"/>
    <w:qFormat w:val="1"/>
    <w:rsid w:val="00FC693F"/>
    <w:pPr>
      <w:pBdr>
        <w:bottom w:color="4f81bd" w:space="4" w:sz="4" w:themeColor="accent1" w:val="single"/>
      </w:pBdr>
      <w:spacing w:after="280" w:before="200"/>
      <w:ind w:left="936" w:right="936"/>
    </w:pPr>
    <w:rPr>
      <w:b w:val="1"/>
      <w:bCs w:val="1"/>
      <w:i w:val="1"/>
      <w:iCs w:val="1"/>
      <w:color w:val="4f81bd" w:themeColor="accent1"/>
    </w:rPr>
  </w:style>
  <w:style w:type="character" w:styleId="IntenseQuoteChar" w:customStyle="1">
    <w:name w:val="Intense Quote Char"/>
    <w:basedOn w:val="DefaultParagraphFont"/>
    <w:link w:val="IntenseQuote"/>
    <w:uiPriority w:val="30"/>
    <w:rsid w:val="00FC693F"/>
    <w:rPr>
      <w:b w:val="1"/>
      <w:bCs w:val="1"/>
      <w:i w:val="1"/>
      <w:iCs w:val="1"/>
      <w:color w:val="4f81bd" w:themeColor="accent1"/>
    </w:rPr>
  </w:style>
  <w:style w:type="character" w:styleId="SubtleEmphasis">
    <w:name w:val="Subtle Emphasis"/>
    <w:basedOn w:val="DefaultParagraphFont"/>
    <w:uiPriority w:val="19"/>
    <w:qFormat w:val="1"/>
    <w:rsid w:val="00FC693F"/>
    <w:rPr>
      <w:i w:val="1"/>
      <w:iCs w:val="1"/>
      <w:color w:val="808080" w:themeColor="text1" w:themeTint="00007F"/>
    </w:rPr>
  </w:style>
  <w:style w:type="character" w:styleId="IntenseEmphasis">
    <w:name w:val="Intense Emphasis"/>
    <w:basedOn w:val="DefaultParagraphFont"/>
    <w:uiPriority w:val="21"/>
    <w:qFormat w:val="1"/>
    <w:rsid w:val="00FC693F"/>
    <w:rPr>
      <w:b w:val="1"/>
      <w:bCs w:val="1"/>
      <w:i w:val="1"/>
      <w:iCs w:val="1"/>
      <w:color w:val="4f81bd" w:themeColor="accent1"/>
    </w:rPr>
  </w:style>
  <w:style w:type="character" w:styleId="SubtleReference">
    <w:name w:val="Subtle Reference"/>
    <w:basedOn w:val="DefaultParagraphFont"/>
    <w:uiPriority w:val="31"/>
    <w:qFormat w:val="1"/>
    <w:rsid w:val="00FC693F"/>
    <w:rPr>
      <w:smallCaps w:val="1"/>
      <w:color w:val="c0504d" w:themeColor="accent2"/>
      <w:u w:val="single"/>
    </w:rPr>
  </w:style>
  <w:style w:type="character" w:styleId="IntenseReference">
    <w:name w:val="Intense Reference"/>
    <w:basedOn w:val="DefaultParagraphFont"/>
    <w:uiPriority w:val="32"/>
    <w:qFormat w:val="1"/>
    <w:rsid w:val="00FC693F"/>
    <w:rPr>
      <w:b w:val="1"/>
      <w:bCs w:val="1"/>
      <w:smallCaps w:val="1"/>
      <w:color w:val="c0504d" w:themeColor="accent2"/>
      <w:spacing w:val="5"/>
      <w:u w:val="single"/>
    </w:rPr>
  </w:style>
  <w:style w:type="character" w:styleId="BookTitle">
    <w:name w:val="Book Title"/>
    <w:basedOn w:val="DefaultParagraphFont"/>
    <w:uiPriority w:val="33"/>
    <w:qFormat w:val="1"/>
    <w:rsid w:val="00FC693F"/>
    <w:rPr>
      <w:b w:val="1"/>
      <w:bCs w:val="1"/>
      <w:smallCaps w:val="1"/>
      <w:spacing w:val="5"/>
    </w:rPr>
  </w:style>
  <w:style w:type="paragraph" w:styleId="TOCHeading">
    <w:name w:val="TOC Heading"/>
    <w:basedOn w:val="Heading1"/>
    <w:next w:val="Normal"/>
    <w:uiPriority w:val="39"/>
    <w:unhideWhenUsed w:val="1"/>
    <w:qFormat w:val="1"/>
    <w:rsid w:val="00FC693F"/>
    <w:pPr>
      <w:outlineLvl w:val="9"/>
    </w:pPr>
  </w:style>
  <w:style w:type="table" w:styleId="TableGrid">
    <w:name w:val="Table Grid"/>
    <w:basedOn w:val="TableNormal"/>
    <w:uiPriority w:val="59"/>
    <w:rsid w:val="00FC693F"/>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LightShading">
    <w:name w:val="Light Shading"/>
    <w:basedOn w:val="TableNormal"/>
    <w:uiPriority w:val="60"/>
    <w:rsid w:val="00FC693F"/>
    <w:pPr>
      <w:spacing w:after="0" w:line="240" w:lineRule="auto"/>
    </w:pPr>
    <w:rPr>
      <w:color w:val="000000" w:themeColor="text1" w:themeShade="0000BF"/>
    </w:rPr>
    <w:tblPr>
      <w:tblStyleRowBandSize w:val="1"/>
      <w:tblStyleColBandSize w:val="1"/>
      <w:tblBorders>
        <w:top w:color="000000" w:space="0" w:sz="8" w:themeColor="text1" w:val="single"/>
        <w:bottom w:color="000000" w:space="0" w:sz="8" w:themeColor="text1" w:val="single"/>
      </w:tblBorders>
    </w:tblPr>
    <w:tblStylePr w:type="firstRow">
      <w:pPr>
        <w:spacing w:after="0" w:before="0" w:line="240" w:lineRule="auto"/>
      </w:pPr>
      <w:rPr>
        <w:b w:val="1"/>
        <w:bCs w:val="1"/>
      </w:rPr>
      <w:tblPr/>
      <w:tcPr>
        <w:tcBorders>
          <w:top w:color="000000" w:space="0" w:sz="8" w:themeColor="text1" w:val="single"/>
          <w:left w:space="0" w:sz="0" w:val="nil"/>
          <w:bottom w:color="000000" w:space="0" w:sz="8" w:themeColor="text1" w:val="single"/>
          <w:right w:space="0" w:sz="0" w:val="nil"/>
          <w:insideH w:space="0" w:sz="0" w:val="nil"/>
          <w:insideV w:space="0" w:sz="0" w:val="nil"/>
        </w:tcBorders>
      </w:tcPr>
    </w:tblStylePr>
    <w:tblStylePr w:type="lastRow">
      <w:pPr>
        <w:spacing w:after="0" w:before="0" w:line="240" w:lineRule="auto"/>
      </w:pPr>
      <w:rPr>
        <w:b w:val="1"/>
        <w:bCs w:val="1"/>
      </w:rPr>
      <w:tblPr/>
      <w:tcPr>
        <w:tcBorders>
          <w:top w:color="000000" w:space="0" w:sz="8" w:themeColor="text1" w:val="single"/>
          <w:left w:space="0" w:sz="0" w:val="nil"/>
          <w:bottom w:color="000000" w:space="0" w:sz="8" w:themeColor="text1"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c0c0c0" w:themeFill="text1" w:themeFillTint="00003F" w:val="clear"/>
      </w:tcPr>
    </w:tblStylePr>
    <w:tblStylePr w:type="band1Horz">
      <w:tblPr/>
      <w:tcPr>
        <w:tcBorders>
          <w:left w:space="0" w:sz="0" w:val="nil"/>
          <w:right w:space="0" w:sz="0" w:val="nil"/>
          <w:insideH w:space="0" w:sz="0" w:val="nil"/>
          <w:insideV w:space="0" w:sz="0" w:val="nil"/>
        </w:tcBorders>
        <w:shd w:color="auto" w:fill="c0c0c0" w:themeFill="text1" w:themeFillTint="00003F" w:val="clear"/>
      </w:tcPr>
    </w:tblStylePr>
  </w:style>
  <w:style w:type="table" w:styleId="LightShading-Accent1">
    <w:name w:val="Light Shading Accent 1"/>
    <w:basedOn w:val="TableNormal"/>
    <w:uiPriority w:val="60"/>
    <w:rsid w:val="00FC693F"/>
    <w:pPr>
      <w:spacing w:after="0" w:line="240" w:lineRule="auto"/>
    </w:pPr>
    <w:rPr>
      <w:color w:val="365f91" w:themeColor="accent1" w:themeShade="0000BF"/>
    </w:rPr>
    <w:tblPr>
      <w:tblStyleRowBandSize w:val="1"/>
      <w:tblStyleColBandSize w:val="1"/>
      <w:tblBorders>
        <w:top w:color="4f81bd" w:space="0" w:sz="8" w:themeColor="accent1" w:val="single"/>
        <w:bottom w:color="4f81bd" w:space="0" w:sz="8" w:themeColor="accent1" w:val="single"/>
      </w:tblBorders>
    </w:tblPr>
    <w:tblStylePr w:type="firstRow">
      <w:pPr>
        <w:spacing w:after="0" w:before="0" w:line="240" w:lineRule="auto"/>
      </w:pPr>
      <w:rPr>
        <w:b w:val="1"/>
        <w:bCs w:val="1"/>
      </w:rPr>
      <w:tblPr/>
      <w:tcPr>
        <w:tcBorders>
          <w:top w:color="4f81bd" w:space="0" w:sz="8" w:themeColor="accent1" w:val="single"/>
          <w:left w:space="0" w:sz="0" w:val="nil"/>
          <w:bottom w:color="4f81bd" w:space="0" w:sz="8" w:themeColor="accent1" w:val="single"/>
          <w:right w:space="0" w:sz="0" w:val="nil"/>
          <w:insideH w:space="0" w:sz="0" w:val="nil"/>
          <w:insideV w:space="0" w:sz="0" w:val="nil"/>
        </w:tcBorders>
      </w:tcPr>
    </w:tblStylePr>
    <w:tblStylePr w:type="lastRow">
      <w:pPr>
        <w:spacing w:after="0" w:before="0" w:line="240" w:lineRule="auto"/>
      </w:pPr>
      <w:rPr>
        <w:b w:val="1"/>
        <w:bCs w:val="1"/>
      </w:rPr>
      <w:tblPr/>
      <w:tcPr>
        <w:tcBorders>
          <w:top w:color="4f81bd" w:space="0" w:sz="8" w:themeColor="accent1" w:val="single"/>
          <w:left w:space="0" w:sz="0" w:val="nil"/>
          <w:bottom w:color="4f81bd" w:space="0" w:sz="8" w:themeColor="accent1"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3dfee" w:themeFill="accent1" w:themeFillTint="00003F" w:val="clear"/>
      </w:tcPr>
    </w:tblStylePr>
    <w:tblStylePr w:type="band1Horz">
      <w:tblPr/>
      <w:tcPr>
        <w:tcBorders>
          <w:left w:space="0" w:sz="0" w:val="nil"/>
          <w:right w:space="0" w:sz="0" w:val="nil"/>
          <w:insideH w:space="0" w:sz="0" w:val="nil"/>
          <w:insideV w:space="0" w:sz="0" w:val="nil"/>
        </w:tcBorders>
        <w:shd w:color="auto" w:fill="d3dfee" w:themeFill="accent1" w:themeFillTint="00003F" w:val="clear"/>
      </w:tcPr>
    </w:tblStylePr>
  </w:style>
  <w:style w:type="table" w:styleId="LightShading-Accent2">
    <w:name w:val="Light Shading Accent 2"/>
    <w:basedOn w:val="TableNormal"/>
    <w:uiPriority w:val="60"/>
    <w:rsid w:val="00FC693F"/>
    <w:pPr>
      <w:spacing w:after="0" w:line="240" w:lineRule="auto"/>
    </w:pPr>
    <w:rPr>
      <w:color w:val="943634" w:themeColor="accent2" w:themeShade="0000BF"/>
    </w:rPr>
    <w:tblPr>
      <w:tblStyleRowBandSize w:val="1"/>
      <w:tblStyleColBandSize w:val="1"/>
      <w:tblBorders>
        <w:top w:color="c0504d" w:space="0" w:sz="8" w:themeColor="accent2" w:val="single"/>
        <w:bottom w:color="c0504d" w:space="0" w:sz="8" w:themeColor="accent2" w:val="single"/>
      </w:tblBorders>
    </w:tblPr>
    <w:tblStylePr w:type="firstRow">
      <w:pPr>
        <w:spacing w:after="0" w:before="0" w:line="240" w:lineRule="auto"/>
      </w:pPr>
      <w:rPr>
        <w:b w:val="1"/>
        <w:bCs w:val="1"/>
      </w:rPr>
      <w:tblPr/>
      <w:tcPr>
        <w:tcBorders>
          <w:top w:color="c0504d" w:space="0" w:sz="8" w:themeColor="accent2" w:val="single"/>
          <w:left w:space="0" w:sz="0" w:val="nil"/>
          <w:bottom w:color="c0504d" w:space="0" w:sz="8" w:themeColor="accent2" w:val="single"/>
          <w:right w:space="0" w:sz="0" w:val="nil"/>
          <w:insideH w:space="0" w:sz="0" w:val="nil"/>
          <w:insideV w:space="0" w:sz="0" w:val="nil"/>
        </w:tcBorders>
      </w:tcPr>
    </w:tblStylePr>
    <w:tblStylePr w:type="lastRow">
      <w:pPr>
        <w:spacing w:after="0" w:before="0" w:line="240" w:lineRule="auto"/>
      </w:pPr>
      <w:rPr>
        <w:b w:val="1"/>
        <w:bCs w:val="1"/>
      </w:rPr>
      <w:tblPr/>
      <w:tcPr>
        <w:tcBorders>
          <w:top w:color="c0504d" w:space="0" w:sz="8" w:themeColor="accent2" w:val="single"/>
          <w:left w:space="0" w:sz="0" w:val="nil"/>
          <w:bottom w:color="c0504d" w:space="0" w:sz="8" w:themeColor="accent2"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efd3d2" w:themeFill="accent2" w:themeFillTint="00003F" w:val="clear"/>
      </w:tcPr>
    </w:tblStylePr>
    <w:tblStylePr w:type="band1Horz">
      <w:tblPr/>
      <w:tcPr>
        <w:tcBorders>
          <w:left w:space="0" w:sz="0" w:val="nil"/>
          <w:right w:space="0" w:sz="0" w:val="nil"/>
          <w:insideH w:space="0" w:sz="0" w:val="nil"/>
          <w:insideV w:space="0" w:sz="0" w:val="nil"/>
        </w:tcBorders>
        <w:shd w:color="auto" w:fill="efd3d2" w:themeFill="accent2" w:themeFillTint="00003F" w:val="clear"/>
      </w:tcPr>
    </w:tblStylePr>
  </w:style>
  <w:style w:type="table" w:styleId="LightShading-Accent3">
    <w:name w:val="Light Shading Accent 3"/>
    <w:basedOn w:val="TableNormal"/>
    <w:uiPriority w:val="60"/>
    <w:rsid w:val="00FC693F"/>
    <w:pPr>
      <w:spacing w:after="0" w:line="240" w:lineRule="auto"/>
    </w:pPr>
    <w:rPr>
      <w:color w:val="76923c" w:themeColor="accent3" w:themeShade="0000BF"/>
    </w:rPr>
    <w:tblPr>
      <w:tblStyleRowBandSize w:val="1"/>
      <w:tblStyleColBandSize w:val="1"/>
      <w:tblBorders>
        <w:top w:color="9bbb59" w:space="0" w:sz="8" w:themeColor="accent3" w:val="single"/>
        <w:bottom w:color="9bbb59" w:space="0" w:sz="8" w:themeColor="accent3" w:val="single"/>
      </w:tblBorders>
    </w:tblPr>
    <w:tblStylePr w:type="firstRow">
      <w:pPr>
        <w:spacing w:after="0" w:before="0" w:line="240" w:lineRule="auto"/>
      </w:pPr>
      <w:rPr>
        <w:b w:val="1"/>
        <w:bCs w:val="1"/>
      </w:rPr>
      <w:tblPr/>
      <w:tcPr>
        <w:tcBorders>
          <w:top w:color="9bbb59" w:space="0" w:sz="8" w:themeColor="accent3" w:val="single"/>
          <w:left w:space="0" w:sz="0" w:val="nil"/>
          <w:bottom w:color="9bbb59" w:space="0" w:sz="8" w:themeColor="accent3" w:val="single"/>
          <w:right w:space="0" w:sz="0" w:val="nil"/>
          <w:insideH w:space="0" w:sz="0" w:val="nil"/>
          <w:insideV w:space="0" w:sz="0" w:val="nil"/>
        </w:tcBorders>
      </w:tcPr>
    </w:tblStylePr>
    <w:tblStylePr w:type="lastRow">
      <w:pPr>
        <w:spacing w:after="0" w:before="0" w:line="240" w:lineRule="auto"/>
      </w:pPr>
      <w:rPr>
        <w:b w:val="1"/>
        <w:bCs w:val="1"/>
      </w:rPr>
      <w:tblPr/>
      <w:tcPr>
        <w:tcBorders>
          <w:top w:color="9bbb59" w:space="0" w:sz="8" w:themeColor="accent3" w:val="single"/>
          <w:left w:space="0" w:sz="0" w:val="nil"/>
          <w:bottom w:color="9bbb59" w:space="0" w:sz="8" w:themeColor="accent3"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e6eed5" w:themeFill="accent3" w:themeFillTint="00003F" w:val="clear"/>
      </w:tcPr>
    </w:tblStylePr>
    <w:tblStylePr w:type="band1Horz">
      <w:tblPr/>
      <w:tcPr>
        <w:tcBorders>
          <w:left w:space="0" w:sz="0" w:val="nil"/>
          <w:right w:space="0" w:sz="0" w:val="nil"/>
          <w:insideH w:space="0" w:sz="0" w:val="nil"/>
          <w:insideV w:space="0" w:sz="0" w:val="nil"/>
        </w:tcBorders>
        <w:shd w:color="auto" w:fill="e6eed5" w:themeFill="accent3" w:themeFillTint="00003F" w:val="clear"/>
      </w:tcPr>
    </w:tblStylePr>
  </w:style>
  <w:style w:type="table" w:styleId="LightShading-Accent4">
    <w:name w:val="Light Shading Accent 4"/>
    <w:basedOn w:val="TableNormal"/>
    <w:uiPriority w:val="60"/>
    <w:rsid w:val="00FC693F"/>
    <w:pPr>
      <w:spacing w:after="0" w:line="240" w:lineRule="auto"/>
    </w:pPr>
    <w:rPr>
      <w:color w:val="5f497a" w:themeColor="accent4" w:themeShade="0000BF"/>
    </w:rPr>
    <w:tblPr>
      <w:tblStyleRowBandSize w:val="1"/>
      <w:tblStyleColBandSize w:val="1"/>
      <w:tblBorders>
        <w:top w:color="8064a2" w:space="0" w:sz="8" w:themeColor="accent4" w:val="single"/>
        <w:bottom w:color="8064a2" w:space="0" w:sz="8" w:themeColor="accent4" w:val="single"/>
      </w:tblBorders>
    </w:tblPr>
    <w:tblStylePr w:type="firstRow">
      <w:pPr>
        <w:spacing w:after="0" w:before="0" w:line="240" w:lineRule="auto"/>
      </w:pPr>
      <w:rPr>
        <w:b w:val="1"/>
        <w:bCs w:val="1"/>
      </w:rPr>
      <w:tblPr/>
      <w:tcPr>
        <w:tcBorders>
          <w:top w:color="8064a2" w:space="0" w:sz="8" w:themeColor="accent4" w:val="single"/>
          <w:left w:space="0" w:sz="0" w:val="nil"/>
          <w:bottom w:color="8064a2" w:space="0" w:sz="8" w:themeColor="accent4" w:val="single"/>
          <w:right w:space="0" w:sz="0" w:val="nil"/>
          <w:insideH w:space="0" w:sz="0" w:val="nil"/>
          <w:insideV w:space="0" w:sz="0" w:val="nil"/>
        </w:tcBorders>
      </w:tcPr>
    </w:tblStylePr>
    <w:tblStylePr w:type="lastRow">
      <w:pPr>
        <w:spacing w:after="0" w:before="0" w:line="240" w:lineRule="auto"/>
      </w:pPr>
      <w:rPr>
        <w:b w:val="1"/>
        <w:bCs w:val="1"/>
      </w:rPr>
      <w:tblPr/>
      <w:tcPr>
        <w:tcBorders>
          <w:top w:color="8064a2" w:space="0" w:sz="8" w:themeColor="accent4" w:val="single"/>
          <w:left w:space="0" w:sz="0" w:val="nil"/>
          <w:bottom w:color="8064a2" w:space="0" w:sz="8" w:themeColor="accent4"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fd8e8" w:themeFill="accent4" w:themeFillTint="00003F" w:val="clear"/>
      </w:tcPr>
    </w:tblStylePr>
    <w:tblStylePr w:type="band1Horz">
      <w:tblPr/>
      <w:tcPr>
        <w:tcBorders>
          <w:left w:space="0" w:sz="0" w:val="nil"/>
          <w:right w:space="0" w:sz="0" w:val="nil"/>
          <w:insideH w:space="0" w:sz="0" w:val="nil"/>
          <w:insideV w:space="0" w:sz="0" w:val="nil"/>
        </w:tcBorders>
        <w:shd w:color="auto" w:fill="dfd8e8" w:themeFill="accent4" w:themeFillTint="00003F" w:val="clear"/>
      </w:tcPr>
    </w:tblStylePr>
  </w:style>
  <w:style w:type="table" w:styleId="LightShading-Accent5">
    <w:name w:val="Light Shading Accent 5"/>
    <w:basedOn w:val="TableNormal"/>
    <w:uiPriority w:val="60"/>
    <w:rsid w:val="00FC693F"/>
    <w:pPr>
      <w:spacing w:after="0" w:line="240" w:lineRule="auto"/>
    </w:pPr>
    <w:rPr>
      <w:color w:val="31849b" w:themeColor="accent5" w:themeShade="0000BF"/>
    </w:rPr>
    <w:tblPr>
      <w:tblStyleRowBandSize w:val="1"/>
      <w:tblStyleColBandSize w:val="1"/>
      <w:tblBorders>
        <w:top w:color="4bacc6" w:space="0" w:sz="8" w:themeColor="accent5" w:val="single"/>
        <w:bottom w:color="4bacc6" w:space="0" w:sz="8" w:themeColor="accent5" w:val="single"/>
      </w:tblBorders>
    </w:tblPr>
    <w:tblStylePr w:type="firstRow">
      <w:pPr>
        <w:spacing w:after="0" w:before="0" w:line="240" w:lineRule="auto"/>
      </w:pPr>
      <w:rPr>
        <w:b w:val="1"/>
        <w:bCs w:val="1"/>
      </w:rPr>
      <w:tblPr/>
      <w:tcPr>
        <w:tcBorders>
          <w:top w:color="4bacc6" w:space="0" w:sz="8" w:themeColor="accent5" w:val="single"/>
          <w:left w:space="0" w:sz="0" w:val="nil"/>
          <w:bottom w:color="4bacc6" w:space="0" w:sz="8" w:themeColor="accent5" w:val="single"/>
          <w:right w:space="0" w:sz="0" w:val="nil"/>
          <w:insideH w:space="0" w:sz="0" w:val="nil"/>
          <w:insideV w:space="0" w:sz="0" w:val="nil"/>
        </w:tcBorders>
      </w:tcPr>
    </w:tblStylePr>
    <w:tblStylePr w:type="lastRow">
      <w:pPr>
        <w:spacing w:after="0" w:before="0" w:line="240" w:lineRule="auto"/>
      </w:pPr>
      <w:rPr>
        <w:b w:val="1"/>
        <w:bCs w:val="1"/>
      </w:rPr>
      <w:tblPr/>
      <w:tcPr>
        <w:tcBorders>
          <w:top w:color="4bacc6" w:space="0" w:sz="8" w:themeColor="accent5" w:val="single"/>
          <w:left w:space="0" w:sz="0" w:val="nil"/>
          <w:bottom w:color="4bacc6" w:space="0" w:sz="8" w:themeColor="accent5"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2eaf1" w:themeFill="accent5" w:themeFillTint="00003F" w:val="clear"/>
      </w:tcPr>
    </w:tblStylePr>
    <w:tblStylePr w:type="band1Horz">
      <w:tblPr/>
      <w:tcPr>
        <w:tcBorders>
          <w:left w:space="0" w:sz="0" w:val="nil"/>
          <w:right w:space="0" w:sz="0" w:val="nil"/>
          <w:insideH w:space="0" w:sz="0" w:val="nil"/>
          <w:insideV w:space="0" w:sz="0" w:val="nil"/>
        </w:tcBorders>
        <w:shd w:color="auto" w:fill="d2eaf1" w:themeFill="accent5" w:themeFillTint="00003F" w:val="clear"/>
      </w:tcPr>
    </w:tblStylePr>
  </w:style>
  <w:style w:type="table" w:styleId="LightShading-Accent6">
    <w:name w:val="Light Shading Accent 6"/>
    <w:basedOn w:val="TableNormal"/>
    <w:uiPriority w:val="60"/>
    <w:rsid w:val="00FC693F"/>
    <w:pPr>
      <w:spacing w:after="0" w:line="240" w:lineRule="auto"/>
    </w:pPr>
    <w:rPr>
      <w:color w:val="e36c0a" w:themeColor="accent6" w:themeShade="0000BF"/>
    </w:rPr>
    <w:tblPr>
      <w:tblStyleRowBandSize w:val="1"/>
      <w:tblStyleColBandSize w:val="1"/>
      <w:tblBorders>
        <w:top w:color="f79646" w:space="0" w:sz="8" w:themeColor="accent6" w:val="single"/>
        <w:bottom w:color="f79646" w:space="0" w:sz="8" w:themeColor="accent6" w:val="single"/>
      </w:tblBorders>
    </w:tblPr>
    <w:tblStylePr w:type="firstRow">
      <w:pPr>
        <w:spacing w:after="0" w:before="0" w:line="240" w:lineRule="auto"/>
      </w:pPr>
      <w:rPr>
        <w:b w:val="1"/>
        <w:bCs w:val="1"/>
      </w:rPr>
      <w:tblPr/>
      <w:tcPr>
        <w:tcBorders>
          <w:top w:color="f79646" w:space="0" w:sz="8" w:themeColor="accent6" w:val="single"/>
          <w:left w:space="0" w:sz="0" w:val="nil"/>
          <w:bottom w:color="f79646" w:space="0" w:sz="8" w:themeColor="accent6" w:val="single"/>
          <w:right w:space="0" w:sz="0" w:val="nil"/>
          <w:insideH w:space="0" w:sz="0" w:val="nil"/>
          <w:insideV w:space="0" w:sz="0" w:val="nil"/>
        </w:tcBorders>
      </w:tcPr>
    </w:tblStylePr>
    <w:tblStylePr w:type="lastRow">
      <w:pPr>
        <w:spacing w:after="0" w:before="0" w:line="240" w:lineRule="auto"/>
      </w:pPr>
      <w:rPr>
        <w:b w:val="1"/>
        <w:bCs w:val="1"/>
      </w:rPr>
      <w:tblPr/>
      <w:tcPr>
        <w:tcBorders>
          <w:top w:color="f79646" w:space="0" w:sz="8" w:themeColor="accent6" w:val="single"/>
          <w:left w:space="0" w:sz="0" w:val="nil"/>
          <w:bottom w:color="f79646" w:space="0" w:sz="8" w:themeColor="accent6"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fde4d0" w:themeFill="accent6" w:themeFillTint="00003F" w:val="clear"/>
      </w:tcPr>
    </w:tblStylePr>
    <w:tblStylePr w:type="band1Horz">
      <w:tblPr/>
      <w:tcPr>
        <w:tcBorders>
          <w:left w:space="0" w:sz="0" w:val="nil"/>
          <w:right w:space="0" w:sz="0" w:val="nil"/>
          <w:insideH w:space="0" w:sz="0" w:val="nil"/>
          <w:insideV w:space="0" w:sz="0" w:val="nil"/>
        </w:tcBorders>
        <w:shd w:color="auto" w:fill="fde4d0" w:themeFill="accent6" w:themeFillTint="00003F" w:val="clear"/>
      </w:tcPr>
    </w:tblStylePr>
  </w:style>
  <w:style w:type="table" w:styleId="LightList">
    <w:name w:val="Light List"/>
    <w:basedOn w:val="TableNormal"/>
    <w:uiPriority w:val="61"/>
    <w:rsid w:val="00FC693F"/>
    <w:pPr>
      <w:spacing w:after="0" w:line="240" w:lineRule="auto"/>
    </w:p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tblBorders>
    </w:tblPr>
    <w:tblStylePr w:type="firstRow">
      <w:pPr>
        <w:spacing w:after="0" w:before="0" w:line="240" w:lineRule="auto"/>
      </w:pPr>
      <w:rPr>
        <w:b w:val="1"/>
        <w:bCs w:val="1"/>
        <w:color w:val="ffffff" w:themeColor="background1"/>
      </w:rPr>
      <w:tblPr/>
      <w:tcPr>
        <w:shd w:color="auto" w:fill="000000" w:themeFill="text1" w:val="clear"/>
      </w:tcPr>
    </w:tblStylePr>
    <w:tblStylePr w:type="lastRow">
      <w:pPr>
        <w:spacing w:after="0" w:before="0" w:line="240" w:lineRule="auto"/>
      </w:pPr>
      <w:rPr>
        <w:b w:val="1"/>
        <w:bCs w:val="1"/>
      </w:rPr>
      <w:tblPr/>
      <w:tcPr>
        <w:tcBorders>
          <w:top w:color="000000" w:space="0" w:sz="6" w:themeColor="text1" w:val="double"/>
          <w:left w:color="000000" w:space="0" w:sz="8" w:themeColor="text1" w:val="single"/>
          <w:bottom w:color="000000" w:space="0" w:sz="8" w:themeColor="text1" w:val="single"/>
          <w:right w:color="000000" w:space="0" w:sz="8" w:themeColor="text1" w:val="single"/>
        </w:tcBorders>
      </w:tcPr>
    </w:tblStylePr>
    <w:tblStylePr w:type="firstCol">
      <w:rPr>
        <w:b w:val="1"/>
        <w:bCs w:val="1"/>
      </w:rPr>
    </w:tblStylePr>
    <w:tblStylePr w:type="lastCol">
      <w:rPr>
        <w:b w:val="1"/>
        <w:bCs w:val="1"/>
      </w:r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tblBorders>
    </w:tblPr>
    <w:tblStylePr w:type="firstRow">
      <w:pPr>
        <w:spacing w:after="0" w:before="0" w:line="240" w:lineRule="auto"/>
      </w:pPr>
      <w:rPr>
        <w:b w:val="1"/>
        <w:bCs w:val="1"/>
        <w:color w:val="ffffff" w:themeColor="background1"/>
      </w:rPr>
      <w:tblPr/>
      <w:tcPr>
        <w:shd w:color="auto" w:fill="4f81bd" w:themeFill="accent1" w:val="clear"/>
      </w:tcPr>
    </w:tblStylePr>
    <w:tblStylePr w:type="lastRow">
      <w:pPr>
        <w:spacing w:after="0" w:before="0" w:line="240" w:lineRule="auto"/>
      </w:pPr>
      <w:rPr>
        <w:b w:val="1"/>
        <w:bCs w:val="1"/>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tcBorders>
      </w:tcPr>
    </w:tblStylePr>
    <w:tblStylePr w:type="firstCol">
      <w:rPr>
        <w:b w:val="1"/>
        <w:bCs w:val="1"/>
      </w:rPr>
    </w:tblStylePr>
    <w:tblStylePr w:type="lastCol">
      <w:rPr>
        <w:b w:val="1"/>
        <w:bCs w:val="1"/>
      </w:r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tblBorders>
    </w:tblPr>
    <w:tblStylePr w:type="firstRow">
      <w:pPr>
        <w:spacing w:after="0" w:before="0" w:line="240" w:lineRule="auto"/>
      </w:pPr>
      <w:rPr>
        <w:b w:val="1"/>
        <w:bCs w:val="1"/>
        <w:color w:val="ffffff" w:themeColor="background1"/>
      </w:rPr>
      <w:tblPr/>
      <w:tcPr>
        <w:shd w:color="auto" w:fill="c0504d" w:themeFill="accent2" w:val="clear"/>
      </w:tcPr>
    </w:tblStylePr>
    <w:tblStylePr w:type="lastRow">
      <w:pPr>
        <w:spacing w:after="0" w:before="0" w:line="240" w:lineRule="auto"/>
      </w:pPr>
      <w:rPr>
        <w:b w:val="1"/>
        <w:bCs w:val="1"/>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tcBorders>
      </w:tcPr>
    </w:tblStylePr>
    <w:tblStylePr w:type="firstCol">
      <w:rPr>
        <w:b w:val="1"/>
        <w:bCs w:val="1"/>
      </w:rPr>
    </w:tblStylePr>
    <w:tblStylePr w:type="lastCol">
      <w:rPr>
        <w:b w:val="1"/>
        <w:bCs w:val="1"/>
      </w:r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tblBorders>
    </w:tblPr>
    <w:tblStylePr w:type="firstRow">
      <w:pPr>
        <w:spacing w:after="0" w:before="0" w:line="240" w:lineRule="auto"/>
      </w:pPr>
      <w:rPr>
        <w:b w:val="1"/>
        <w:bCs w:val="1"/>
        <w:color w:val="ffffff" w:themeColor="background1"/>
      </w:rPr>
      <w:tblPr/>
      <w:tcPr>
        <w:shd w:color="auto" w:fill="9bbb59" w:themeFill="accent3" w:val="clear"/>
      </w:tcPr>
    </w:tblStylePr>
    <w:tblStylePr w:type="lastRow">
      <w:pPr>
        <w:spacing w:after="0" w:before="0" w:line="240" w:lineRule="auto"/>
      </w:pPr>
      <w:rPr>
        <w:b w:val="1"/>
        <w:bCs w:val="1"/>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tcBorders>
      </w:tcPr>
    </w:tblStylePr>
    <w:tblStylePr w:type="firstCol">
      <w:rPr>
        <w:b w:val="1"/>
        <w:bCs w:val="1"/>
      </w:rPr>
    </w:tblStylePr>
    <w:tblStylePr w:type="lastCol">
      <w:rPr>
        <w:b w:val="1"/>
        <w:bCs w:val="1"/>
      </w:r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tblBorders>
    </w:tblPr>
    <w:tblStylePr w:type="firstRow">
      <w:pPr>
        <w:spacing w:after="0" w:before="0" w:line="240" w:lineRule="auto"/>
      </w:pPr>
      <w:rPr>
        <w:b w:val="1"/>
        <w:bCs w:val="1"/>
        <w:color w:val="ffffff" w:themeColor="background1"/>
      </w:rPr>
      <w:tblPr/>
      <w:tcPr>
        <w:shd w:color="auto" w:fill="8064a2" w:themeFill="accent4" w:val="clear"/>
      </w:tcPr>
    </w:tblStylePr>
    <w:tblStylePr w:type="lastRow">
      <w:pPr>
        <w:spacing w:after="0" w:before="0" w:line="240" w:lineRule="auto"/>
      </w:pPr>
      <w:rPr>
        <w:b w:val="1"/>
        <w:bCs w:val="1"/>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tcBorders>
      </w:tcPr>
    </w:tblStylePr>
    <w:tblStylePr w:type="firstCol">
      <w:rPr>
        <w:b w:val="1"/>
        <w:bCs w:val="1"/>
      </w:rPr>
    </w:tblStylePr>
    <w:tblStylePr w:type="lastCol">
      <w:rPr>
        <w:b w:val="1"/>
        <w:bCs w:val="1"/>
      </w:r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tblBorders>
    </w:tblPr>
    <w:tblStylePr w:type="firstRow">
      <w:pPr>
        <w:spacing w:after="0" w:before="0" w:line="240" w:lineRule="auto"/>
      </w:pPr>
      <w:rPr>
        <w:b w:val="1"/>
        <w:bCs w:val="1"/>
        <w:color w:val="ffffff" w:themeColor="background1"/>
      </w:rPr>
      <w:tblPr/>
      <w:tcPr>
        <w:shd w:color="auto" w:fill="4bacc6" w:themeFill="accent5" w:val="clear"/>
      </w:tcPr>
    </w:tblStylePr>
    <w:tblStylePr w:type="lastRow">
      <w:pPr>
        <w:spacing w:after="0" w:before="0" w:line="240" w:lineRule="auto"/>
      </w:pPr>
      <w:rPr>
        <w:b w:val="1"/>
        <w:bCs w:val="1"/>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tcBorders>
      </w:tcPr>
    </w:tblStylePr>
    <w:tblStylePr w:type="firstCol">
      <w:rPr>
        <w:b w:val="1"/>
        <w:bCs w:val="1"/>
      </w:rPr>
    </w:tblStylePr>
    <w:tblStylePr w:type="lastCol">
      <w:rPr>
        <w:b w:val="1"/>
        <w:bCs w:val="1"/>
      </w:r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tblBorders>
    </w:tblPr>
    <w:tblStylePr w:type="firstRow">
      <w:pPr>
        <w:spacing w:after="0" w:before="0" w:line="240" w:lineRule="auto"/>
      </w:pPr>
      <w:rPr>
        <w:b w:val="1"/>
        <w:bCs w:val="1"/>
        <w:color w:val="ffffff" w:themeColor="background1"/>
      </w:rPr>
      <w:tblPr/>
      <w:tcPr>
        <w:shd w:color="auto" w:fill="f79646" w:themeFill="accent6" w:val="clear"/>
      </w:tcPr>
    </w:tblStylePr>
    <w:tblStylePr w:type="lastRow">
      <w:pPr>
        <w:spacing w:after="0" w:before="0" w:line="240" w:lineRule="auto"/>
      </w:pPr>
      <w:rPr>
        <w:b w:val="1"/>
        <w:bCs w:val="1"/>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tcBorders>
      </w:tcPr>
    </w:tblStylePr>
    <w:tblStylePr w:type="firstCol">
      <w:rPr>
        <w:b w:val="1"/>
        <w:bCs w:val="1"/>
      </w:rPr>
    </w:tblStylePr>
    <w:tblStylePr w:type="lastCol">
      <w:rPr>
        <w:b w:val="1"/>
        <w:bCs w:val="1"/>
      </w:r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Pr>
    <w:tblStylePr w:type="firstRow">
      <w:pPr>
        <w:spacing w:after="0" w:before="0" w:line="240" w:lineRule="auto"/>
      </w:pPr>
      <w:rPr>
        <w:rFonts w:asciiTheme="majorHAnsi" w:cstheme="majorBidi" w:eastAsiaTheme="majorEastAsia" w:hAnsiTheme="majorHAnsi"/>
        <w:b w:val="1"/>
        <w:bCs w:val="1"/>
      </w:rPr>
      <w:tblPr/>
      <w:tcPr>
        <w:tcBorders>
          <w:top w:color="000000" w:space="0" w:sz="8" w:themeColor="text1" w:val="single"/>
          <w:left w:color="000000" w:space="0" w:sz="8" w:themeColor="text1" w:val="single"/>
          <w:bottom w:color="000000" w:space="0" w:sz="18" w:themeColor="text1" w:val="single"/>
          <w:right w:color="000000" w:space="0" w:sz="8" w:themeColor="text1" w:val="single"/>
          <w:insideH w:space="0" w:sz="0" w:val="nil"/>
          <w:insideV w:color="000000" w:space="0" w:sz="8" w:themeColor="text1"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000000" w:space="0" w:sz="6" w:themeColor="text1" w:val="double"/>
          <w:left w:color="000000" w:space="0" w:sz="8" w:themeColor="text1" w:val="single"/>
          <w:bottom w:color="000000" w:space="0" w:sz="8" w:themeColor="text1" w:val="single"/>
          <w:right w:color="000000" w:space="0" w:sz="8" w:themeColor="text1" w:val="single"/>
          <w:insideH w:space="0" w:sz="0" w:val="nil"/>
          <w:insideV w:color="000000" w:space="0" w:sz="8" w:themeColor="text1"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shd w:color="auto" w:fill="c0c0c0" w:themeFill="text1" w:themeFillTint="00003F" w:val="clear"/>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shd w:color="auto" w:fill="c0c0c0" w:themeFill="text1" w:themeFillTint="00003F" w:val="clear"/>
      </w:tcPr>
    </w:tblStylePr>
    <w:tblStylePr w:type="band2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Pr>
    <w:tblStylePr w:type="firstRow">
      <w:pPr>
        <w:spacing w:after="0" w:before="0" w:line="240" w:lineRule="auto"/>
      </w:pPr>
      <w:rPr>
        <w:rFonts w:asciiTheme="majorHAnsi" w:cstheme="majorBidi" w:eastAsiaTheme="majorEastAsia" w:hAnsiTheme="majorHAnsi"/>
        <w:b w:val="1"/>
        <w:bCs w:val="1"/>
      </w:rPr>
      <w:tblPr/>
      <w:tcPr>
        <w:tcBorders>
          <w:top w:color="4f81bd" w:space="0" w:sz="8" w:themeColor="accent1" w:val="single"/>
          <w:left w:color="4f81bd" w:space="0" w:sz="8" w:themeColor="accent1" w:val="single"/>
          <w:bottom w:color="4f81bd" w:space="0" w:sz="18" w:themeColor="accent1" w:val="single"/>
          <w:right w:color="4f81bd" w:space="0" w:sz="8" w:themeColor="accent1" w:val="single"/>
          <w:insideH w:space="0" w:sz="0" w:val="nil"/>
          <w:insideV w:color="4f81bd" w:space="0" w:sz="8" w:themeColor="accent1"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insideH w:space="0" w:sz="0" w:val="nil"/>
          <w:insideV w:color="4f81bd" w:space="0" w:sz="8" w:themeColor="accent1"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shd w:color="auto" w:fill="d3dfee" w:themeFill="accent1" w:themeFillTint="00003F" w:val="clear"/>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shd w:color="auto" w:fill="d3dfee" w:themeFill="accent1" w:themeFillTint="00003F" w:val="clear"/>
      </w:tcPr>
    </w:tblStylePr>
    <w:tblStylePr w:type="band2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Pr>
    <w:tblStylePr w:type="firstRow">
      <w:pPr>
        <w:spacing w:after="0" w:before="0" w:line="240" w:lineRule="auto"/>
      </w:pPr>
      <w:rPr>
        <w:rFonts w:asciiTheme="majorHAnsi" w:cstheme="majorBidi" w:eastAsiaTheme="majorEastAsia" w:hAnsiTheme="majorHAnsi"/>
        <w:b w:val="1"/>
        <w:bCs w:val="1"/>
      </w:rPr>
      <w:tblPr/>
      <w:tcPr>
        <w:tcBorders>
          <w:top w:color="c0504d" w:space="0" w:sz="8" w:themeColor="accent2" w:val="single"/>
          <w:left w:color="c0504d" w:space="0" w:sz="8" w:themeColor="accent2" w:val="single"/>
          <w:bottom w:color="c0504d" w:space="0" w:sz="18" w:themeColor="accent2" w:val="single"/>
          <w:right w:color="c0504d" w:space="0" w:sz="8" w:themeColor="accent2" w:val="single"/>
          <w:insideH w:space="0" w:sz="0" w:val="nil"/>
          <w:insideV w:color="c0504d" w:space="0" w:sz="8" w:themeColor="accent2"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insideH w:space="0" w:sz="0" w:val="nil"/>
          <w:insideV w:color="c0504d" w:space="0" w:sz="8" w:themeColor="accent2"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shd w:color="auto" w:fill="efd3d2" w:themeFill="accent2" w:themeFillTint="00003F" w:val="clear"/>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shd w:color="auto" w:fill="efd3d2" w:themeFill="accent2" w:themeFillTint="00003F" w:val="clear"/>
      </w:tcPr>
    </w:tblStylePr>
    <w:tblStylePr w:type="band2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Pr>
    <w:tblStylePr w:type="firstRow">
      <w:pPr>
        <w:spacing w:after="0" w:before="0" w:line="240" w:lineRule="auto"/>
      </w:pPr>
      <w:rPr>
        <w:rFonts w:asciiTheme="majorHAnsi" w:cstheme="majorBidi" w:eastAsiaTheme="majorEastAsia" w:hAnsiTheme="majorHAnsi"/>
        <w:b w:val="1"/>
        <w:bCs w:val="1"/>
      </w:rPr>
      <w:tblPr/>
      <w:tcPr>
        <w:tcBorders>
          <w:top w:color="9bbb59" w:space="0" w:sz="8" w:themeColor="accent3" w:val="single"/>
          <w:left w:color="9bbb59" w:space="0" w:sz="8" w:themeColor="accent3" w:val="single"/>
          <w:bottom w:color="9bbb59" w:space="0" w:sz="18" w:themeColor="accent3" w:val="single"/>
          <w:right w:color="9bbb59" w:space="0" w:sz="8" w:themeColor="accent3" w:val="single"/>
          <w:insideH w:space="0" w:sz="0" w:val="nil"/>
          <w:insideV w:color="9bbb59" w:space="0" w:sz="8" w:themeColor="accent3"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insideH w:space="0" w:sz="0" w:val="nil"/>
          <w:insideV w:color="9bbb59" w:space="0" w:sz="8" w:themeColor="accent3"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shd w:color="auto" w:fill="e6eed5" w:themeFill="accent3" w:themeFillTint="00003F" w:val="clear"/>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shd w:color="auto" w:fill="e6eed5" w:themeFill="accent3" w:themeFillTint="00003F" w:val="clear"/>
      </w:tcPr>
    </w:tblStylePr>
    <w:tblStylePr w:type="band2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Pr>
    <w:tblStylePr w:type="firstRow">
      <w:pPr>
        <w:spacing w:after="0" w:before="0" w:line="240" w:lineRule="auto"/>
      </w:pPr>
      <w:rPr>
        <w:rFonts w:asciiTheme="majorHAnsi" w:cstheme="majorBidi" w:eastAsiaTheme="majorEastAsia" w:hAnsiTheme="majorHAnsi"/>
        <w:b w:val="1"/>
        <w:bCs w:val="1"/>
      </w:rPr>
      <w:tblPr/>
      <w:tcPr>
        <w:tcBorders>
          <w:top w:color="8064a2" w:space="0" w:sz="8" w:themeColor="accent4" w:val="single"/>
          <w:left w:color="8064a2" w:space="0" w:sz="8" w:themeColor="accent4" w:val="single"/>
          <w:bottom w:color="8064a2" w:space="0" w:sz="18" w:themeColor="accent4" w:val="single"/>
          <w:right w:color="8064a2" w:space="0" w:sz="8" w:themeColor="accent4" w:val="single"/>
          <w:insideH w:space="0" w:sz="0" w:val="nil"/>
          <w:insideV w:color="8064a2" w:space="0" w:sz="8" w:themeColor="accent4"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insideH w:space="0" w:sz="0" w:val="nil"/>
          <w:insideV w:color="8064a2" w:space="0" w:sz="8" w:themeColor="accent4"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shd w:color="auto" w:fill="dfd8e8" w:themeFill="accent4" w:themeFillTint="00003F" w:val="clear"/>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shd w:color="auto" w:fill="dfd8e8" w:themeFill="accent4" w:themeFillTint="00003F" w:val="clear"/>
      </w:tcPr>
    </w:tblStylePr>
    <w:tblStylePr w:type="band2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Pr>
    <w:tblStylePr w:type="firstRow">
      <w:pPr>
        <w:spacing w:after="0" w:before="0" w:line="240" w:lineRule="auto"/>
      </w:pPr>
      <w:rPr>
        <w:rFonts w:asciiTheme="majorHAnsi" w:cstheme="majorBidi" w:eastAsiaTheme="majorEastAsia" w:hAnsiTheme="majorHAnsi"/>
        <w:b w:val="1"/>
        <w:bCs w:val="1"/>
      </w:rPr>
      <w:tblPr/>
      <w:tcPr>
        <w:tcBorders>
          <w:top w:color="4bacc6" w:space="0" w:sz="8" w:themeColor="accent5" w:val="single"/>
          <w:left w:color="4bacc6" w:space="0" w:sz="8" w:themeColor="accent5" w:val="single"/>
          <w:bottom w:color="4bacc6" w:space="0" w:sz="18" w:themeColor="accent5" w:val="single"/>
          <w:right w:color="4bacc6" w:space="0" w:sz="8" w:themeColor="accent5" w:val="single"/>
          <w:insideH w:space="0" w:sz="0" w:val="nil"/>
          <w:insideV w:color="4bacc6" w:space="0" w:sz="8" w:themeColor="accent5"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insideH w:space="0" w:sz="0" w:val="nil"/>
          <w:insideV w:color="4bacc6" w:space="0" w:sz="8" w:themeColor="accent5"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shd w:color="auto" w:fill="d2eaf1" w:themeFill="accent5" w:themeFillTint="00003F" w:val="clear"/>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shd w:color="auto" w:fill="d2eaf1" w:themeFill="accent5" w:themeFillTint="00003F" w:val="clear"/>
      </w:tcPr>
    </w:tblStylePr>
    <w:tblStylePr w:type="band2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Pr>
    <w:tblStylePr w:type="firstRow">
      <w:pPr>
        <w:spacing w:after="0" w:before="0" w:line="240" w:lineRule="auto"/>
      </w:pPr>
      <w:rPr>
        <w:rFonts w:asciiTheme="majorHAnsi" w:cstheme="majorBidi" w:eastAsiaTheme="majorEastAsia" w:hAnsiTheme="majorHAnsi"/>
        <w:b w:val="1"/>
        <w:bCs w:val="1"/>
      </w:rPr>
      <w:tblPr/>
      <w:tcPr>
        <w:tcBorders>
          <w:top w:color="f79646" w:space="0" w:sz="8" w:themeColor="accent6" w:val="single"/>
          <w:left w:color="f79646" w:space="0" w:sz="8" w:themeColor="accent6" w:val="single"/>
          <w:bottom w:color="f79646" w:space="0" w:sz="18" w:themeColor="accent6" w:val="single"/>
          <w:right w:color="f79646" w:space="0" w:sz="8" w:themeColor="accent6" w:val="single"/>
          <w:insideH w:space="0" w:sz="0" w:val="nil"/>
          <w:insideV w:color="f79646" w:space="0" w:sz="8" w:themeColor="accent6"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insideH w:space="0" w:sz="0" w:val="nil"/>
          <w:insideV w:color="f79646" w:space="0" w:sz="8" w:themeColor="accent6"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shd w:color="auto" w:fill="fde4d0" w:themeFill="accent6" w:themeFillTint="00003F" w:val="clear"/>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shd w:color="auto" w:fill="fde4d0" w:themeFill="accent6" w:themeFillTint="00003F" w:val="clear"/>
      </w:tcPr>
    </w:tblStylePr>
    <w:tblStylePr w:type="band2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color="404040" w:space="0" w:sz="8" w:themeColor="text1" w:themeTint="0000BF" w:val="single"/>
      </w:tblBorders>
    </w:tblPr>
    <w:tblStylePr w:type="firstRow">
      <w:pPr>
        <w:spacing w:after="0" w:before="0" w:line="240" w:lineRule="auto"/>
      </w:pPr>
      <w:rPr>
        <w:b w:val="1"/>
        <w:bCs w:val="1"/>
        <w:color w:val="ffffff" w:themeColor="background1"/>
      </w:rPr>
      <w:tblPr/>
      <w:tcPr>
        <w:tc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space="0" w:sz="0" w:val="nil"/>
          <w:insideV w:space="0" w:sz="0" w:val="nil"/>
        </w:tcBorders>
        <w:shd w:color="auto" w:fill="000000" w:themeFill="text1" w:val="clear"/>
      </w:tcPr>
    </w:tblStylePr>
    <w:tblStylePr w:type="lastRow">
      <w:pPr>
        <w:spacing w:after="0" w:before="0" w:line="240" w:lineRule="auto"/>
      </w:pPr>
      <w:rPr>
        <w:b w:val="1"/>
        <w:bCs w:val="1"/>
      </w:rPr>
      <w:tblPr/>
      <w:tcPr>
        <w:tcBorders>
          <w:top w:color="404040" w:space="0" w:sz="6" w:themeColor="text1" w:themeTint="0000BF" w:val="double"/>
          <w:left w:color="404040" w:space="0" w:sz="8" w:themeColor="text1" w:themeTint="0000BF" w:val="single"/>
          <w:bottom w:color="404040" w:space="0" w:sz="8" w:themeColor="text1" w:themeTint="0000BF" w:val="single"/>
          <w:right w:color="404040" w:space="0" w:sz="8" w:themeColor="text1"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c0c0c0" w:themeFill="text1" w:themeFillTint="00003F" w:val="clear"/>
      </w:tcPr>
    </w:tblStylePr>
    <w:tblStylePr w:type="band1Horz">
      <w:tblPr/>
      <w:tcPr>
        <w:tcBorders>
          <w:insideH w:space="0" w:sz="0" w:val="nil"/>
          <w:insideV w:space="0" w:sz="0" w:val="nil"/>
        </w:tcBorders>
        <w:shd w:color="auto" w:fill="c0c0c0" w:themeFill="text1" w:themeFillTint="00003F" w:val="clear"/>
      </w:tcPr>
    </w:tblStylePr>
    <w:tblStylePr w:type="band2Horz">
      <w:tblPr/>
      <w:tcPr>
        <w:tcBorders>
          <w:insideH w:space="0" w:sz="0" w:val="nil"/>
          <w:insideV w:space="0" w:sz="0"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color="7ba0cd" w:space="0" w:sz="8" w:themeColor="accent1" w:themeTint="0000BF" w:val="single"/>
      </w:tblBorders>
    </w:tblPr>
    <w:tblStylePr w:type="firstRow">
      <w:pPr>
        <w:spacing w:after="0" w:before="0" w:line="240" w:lineRule="auto"/>
      </w:pPr>
      <w:rPr>
        <w:b w:val="1"/>
        <w:bCs w:val="1"/>
        <w:color w:val="ffffff" w:themeColor="background1"/>
      </w:rPr>
      <w:tblPr/>
      <w:tcPr>
        <w:tc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space="0" w:sz="0" w:val="nil"/>
          <w:insideV w:space="0" w:sz="0" w:val="nil"/>
        </w:tcBorders>
        <w:shd w:color="auto" w:fill="4f81bd" w:themeFill="accent1" w:val="clear"/>
      </w:tcPr>
    </w:tblStylePr>
    <w:tblStylePr w:type="lastRow">
      <w:pPr>
        <w:spacing w:after="0" w:before="0" w:line="240" w:lineRule="auto"/>
      </w:pPr>
      <w:rPr>
        <w:b w:val="1"/>
        <w:bCs w:val="1"/>
      </w:rPr>
      <w:tblPr/>
      <w:tcPr>
        <w:tcBorders>
          <w:top w:color="7ba0cd" w:space="0" w:sz="6" w:themeColor="accent1" w:themeTint="0000BF" w:val="double"/>
          <w:left w:color="7ba0cd" w:space="0" w:sz="8" w:themeColor="accent1" w:themeTint="0000BF" w:val="single"/>
          <w:bottom w:color="7ba0cd" w:space="0" w:sz="8" w:themeColor="accent1" w:themeTint="0000BF" w:val="single"/>
          <w:right w:color="7ba0cd" w:space="0" w:sz="8" w:themeColor="accent1"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3dfee" w:themeFill="accent1" w:themeFillTint="00003F" w:val="clear"/>
      </w:tcPr>
    </w:tblStylePr>
    <w:tblStylePr w:type="band1Horz">
      <w:tblPr/>
      <w:tcPr>
        <w:tcBorders>
          <w:insideH w:space="0" w:sz="0" w:val="nil"/>
          <w:insideV w:space="0" w:sz="0" w:val="nil"/>
        </w:tcBorders>
        <w:shd w:color="auto" w:fill="d3dfee" w:themeFill="accent1" w:themeFillTint="00003F" w:val="clear"/>
      </w:tcPr>
    </w:tblStylePr>
    <w:tblStylePr w:type="band2Horz">
      <w:tblPr/>
      <w:tcPr>
        <w:tcBorders>
          <w:insideH w:space="0" w:sz="0" w:val="nil"/>
          <w:insideV w:space="0" w:sz="0"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color="cf7b79" w:space="0" w:sz="8" w:themeColor="accent2" w:themeTint="0000BF" w:val="single"/>
      </w:tblBorders>
    </w:tblPr>
    <w:tblStylePr w:type="firstRow">
      <w:pPr>
        <w:spacing w:after="0" w:before="0" w:line="240" w:lineRule="auto"/>
      </w:pPr>
      <w:rPr>
        <w:b w:val="1"/>
        <w:bCs w:val="1"/>
        <w:color w:val="ffffff" w:themeColor="background1"/>
      </w:rPr>
      <w:tblPr/>
      <w:tcPr>
        <w:tc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space="0" w:sz="0" w:val="nil"/>
          <w:insideV w:space="0" w:sz="0" w:val="nil"/>
        </w:tcBorders>
        <w:shd w:color="auto" w:fill="c0504d" w:themeFill="accent2" w:val="clear"/>
      </w:tcPr>
    </w:tblStylePr>
    <w:tblStylePr w:type="lastRow">
      <w:pPr>
        <w:spacing w:after="0" w:before="0" w:line="240" w:lineRule="auto"/>
      </w:pPr>
      <w:rPr>
        <w:b w:val="1"/>
        <w:bCs w:val="1"/>
      </w:rPr>
      <w:tblPr/>
      <w:tcPr>
        <w:tcBorders>
          <w:top w:color="cf7b79" w:space="0" w:sz="6" w:themeColor="accent2" w:themeTint="0000BF" w:val="double"/>
          <w:left w:color="cf7b79" w:space="0" w:sz="8" w:themeColor="accent2" w:themeTint="0000BF" w:val="single"/>
          <w:bottom w:color="cf7b79" w:space="0" w:sz="8" w:themeColor="accent2" w:themeTint="0000BF" w:val="single"/>
          <w:right w:color="cf7b79" w:space="0" w:sz="8" w:themeColor="accent2"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efd3d2" w:themeFill="accent2" w:themeFillTint="00003F" w:val="clear"/>
      </w:tcPr>
    </w:tblStylePr>
    <w:tblStylePr w:type="band1Horz">
      <w:tblPr/>
      <w:tcPr>
        <w:tcBorders>
          <w:insideH w:space="0" w:sz="0" w:val="nil"/>
          <w:insideV w:space="0" w:sz="0" w:val="nil"/>
        </w:tcBorders>
        <w:shd w:color="auto" w:fill="efd3d2" w:themeFill="accent2" w:themeFillTint="00003F" w:val="clear"/>
      </w:tcPr>
    </w:tblStylePr>
    <w:tblStylePr w:type="band2Horz">
      <w:tblPr/>
      <w:tcPr>
        <w:tcBorders>
          <w:insideH w:space="0" w:sz="0" w:val="nil"/>
          <w:insideV w:space="0" w:sz="0"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color="b3cc82" w:space="0" w:sz="8" w:themeColor="accent3" w:themeTint="0000BF" w:val="single"/>
      </w:tblBorders>
    </w:tblPr>
    <w:tblStylePr w:type="firstRow">
      <w:pPr>
        <w:spacing w:after="0" w:before="0" w:line="240" w:lineRule="auto"/>
      </w:pPr>
      <w:rPr>
        <w:b w:val="1"/>
        <w:bCs w:val="1"/>
        <w:color w:val="ffffff" w:themeColor="background1"/>
      </w:rPr>
      <w:tblPr/>
      <w:tcPr>
        <w:tc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space="0" w:sz="0" w:val="nil"/>
          <w:insideV w:space="0" w:sz="0" w:val="nil"/>
        </w:tcBorders>
        <w:shd w:color="auto" w:fill="9bbb59" w:themeFill="accent3" w:val="clear"/>
      </w:tcPr>
    </w:tblStylePr>
    <w:tblStylePr w:type="lastRow">
      <w:pPr>
        <w:spacing w:after="0" w:before="0" w:line="240" w:lineRule="auto"/>
      </w:pPr>
      <w:rPr>
        <w:b w:val="1"/>
        <w:bCs w:val="1"/>
      </w:rPr>
      <w:tblPr/>
      <w:tcPr>
        <w:tcBorders>
          <w:top w:color="b3cc82" w:space="0" w:sz="6" w:themeColor="accent3" w:themeTint="0000BF" w:val="double"/>
          <w:left w:color="b3cc82" w:space="0" w:sz="8" w:themeColor="accent3" w:themeTint="0000BF" w:val="single"/>
          <w:bottom w:color="b3cc82" w:space="0" w:sz="8" w:themeColor="accent3" w:themeTint="0000BF" w:val="single"/>
          <w:right w:color="b3cc82" w:space="0" w:sz="8" w:themeColor="accent3"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e6eed5" w:themeFill="accent3" w:themeFillTint="00003F" w:val="clear"/>
      </w:tcPr>
    </w:tblStylePr>
    <w:tblStylePr w:type="band1Horz">
      <w:tblPr/>
      <w:tcPr>
        <w:tcBorders>
          <w:insideH w:space="0" w:sz="0" w:val="nil"/>
          <w:insideV w:space="0" w:sz="0" w:val="nil"/>
        </w:tcBorders>
        <w:shd w:color="auto" w:fill="e6eed5" w:themeFill="accent3" w:themeFillTint="00003F" w:val="clear"/>
      </w:tcPr>
    </w:tblStylePr>
    <w:tblStylePr w:type="band2Horz">
      <w:tblPr/>
      <w:tcPr>
        <w:tcBorders>
          <w:insideH w:space="0" w:sz="0" w:val="nil"/>
          <w:insideV w:space="0" w:sz="0"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color="9f8ab9" w:space="0" w:sz="8" w:themeColor="accent4" w:themeTint="0000BF" w:val="single"/>
      </w:tblBorders>
    </w:tblPr>
    <w:tblStylePr w:type="firstRow">
      <w:pPr>
        <w:spacing w:after="0" w:before="0" w:line="240" w:lineRule="auto"/>
      </w:pPr>
      <w:rPr>
        <w:b w:val="1"/>
        <w:bCs w:val="1"/>
        <w:color w:val="ffffff" w:themeColor="background1"/>
      </w:rPr>
      <w:tblPr/>
      <w:tcPr>
        <w:tc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space="0" w:sz="0" w:val="nil"/>
          <w:insideV w:space="0" w:sz="0" w:val="nil"/>
        </w:tcBorders>
        <w:shd w:color="auto" w:fill="8064a2" w:themeFill="accent4" w:val="clear"/>
      </w:tcPr>
    </w:tblStylePr>
    <w:tblStylePr w:type="lastRow">
      <w:pPr>
        <w:spacing w:after="0" w:before="0" w:line="240" w:lineRule="auto"/>
      </w:pPr>
      <w:rPr>
        <w:b w:val="1"/>
        <w:bCs w:val="1"/>
      </w:rPr>
      <w:tblPr/>
      <w:tcPr>
        <w:tcBorders>
          <w:top w:color="9f8ab9" w:space="0" w:sz="6" w:themeColor="accent4" w:themeTint="0000BF" w:val="double"/>
          <w:left w:color="9f8ab9" w:space="0" w:sz="8" w:themeColor="accent4" w:themeTint="0000BF" w:val="single"/>
          <w:bottom w:color="9f8ab9" w:space="0" w:sz="8" w:themeColor="accent4" w:themeTint="0000BF" w:val="single"/>
          <w:right w:color="9f8ab9" w:space="0" w:sz="8" w:themeColor="accent4"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fd8e8" w:themeFill="accent4" w:themeFillTint="00003F" w:val="clear"/>
      </w:tcPr>
    </w:tblStylePr>
    <w:tblStylePr w:type="band1Horz">
      <w:tblPr/>
      <w:tcPr>
        <w:tcBorders>
          <w:insideH w:space="0" w:sz="0" w:val="nil"/>
          <w:insideV w:space="0" w:sz="0" w:val="nil"/>
        </w:tcBorders>
        <w:shd w:color="auto" w:fill="dfd8e8" w:themeFill="accent4" w:themeFillTint="00003F" w:val="clear"/>
      </w:tcPr>
    </w:tblStylePr>
    <w:tblStylePr w:type="band2Horz">
      <w:tblPr/>
      <w:tcPr>
        <w:tcBorders>
          <w:insideH w:space="0" w:sz="0" w:val="nil"/>
          <w:insideV w:space="0" w:sz="0"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color="78c0d4" w:space="0" w:sz="8" w:themeColor="accent5" w:themeTint="0000BF" w:val="single"/>
      </w:tblBorders>
    </w:tblPr>
    <w:tblStylePr w:type="firstRow">
      <w:pPr>
        <w:spacing w:after="0" w:before="0" w:line="240" w:lineRule="auto"/>
      </w:pPr>
      <w:rPr>
        <w:b w:val="1"/>
        <w:bCs w:val="1"/>
        <w:color w:val="ffffff" w:themeColor="background1"/>
      </w:rPr>
      <w:tblPr/>
      <w:tcPr>
        <w:tc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space="0" w:sz="0" w:val="nil"/>
          <w:insideV w:space="0" w:sz="0" w:val="nil"/>
        </w:tcBorders>
        <w:shd w:color="auto" w:fill="4bacc6" w:themeFill="accent5" w:val="clear"/>
      </w:tcPr>
    </w:tblStylePr>
    <w:tblStylePr w:type="lastRow">
      <w:pPr>
        <w:spacing w:after="0" w:before="0" w:line="240" w:lineRule="auto"/>
      </w:pPr>
      <w:rPr>
        <w:b w:val="1"/>
        <w:bCs w:val="1"/>
      </w:rPr>
      <w:tblPr/>
      <w:tcPr>
        <w:tcBorders>
          <w:top w:color="78c0d4" w:space="0" w:sz="6" w:themeColor="accent5" w:themeTint="0000BF" w:val="double"/>
          <w:left w:color="78c0d4" w:space="0" w:sz="8" w:themeColor="accent5" w:themeTint="0000BF" w:val="single"/>
          <w:bottom w:color="78c0d4" w:space="0" w:sz="8" w:themeColor="accent5" w:themeTint="0000BF" w:val="single"/>
          <w:right w:color="78c0d4" w:space="0" w:sz="8" w:themeColor="accent5"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2eaf1" w:themeFill="accent5" w:themeFillTint="00003F" w:val="clear"/>
      </w:tcPr>
    </w:tblStylePr>
    <w:tblStylePr w:type="band1Horz">
      <w:tblPr/>
      <w:tcPr>
        <w:tcBorders>
          <w:insideH w:space="0" w:sz="0" w:val="nil"/>
          <w:insideV w:space="0" w:sz="0" w:val="nil"/>
        </w:tcBorders>
        <w:shd w:color="auto" w:fill="d2eaf1" w:themeFill="accent5" w:themeFillTint="00003F" w:val="clear"/>
      </w:tcPr>
    </w:tblStylePr>
    <w:tblStylePr w:type="band2Horz">
      <w:tblPr/>
      <w:tcPr>
        <w:tcBorders>
          <w:insideH w:space="0" w:sz="0" w:val="nil"/>
          <w:insideV w:space="0" w:sz="0"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color="f9b074" w:space="0" w:sz="8" w:themeColor="accent6" w:themeTint="0000BF" w:val="single"/>
      </w:tblBorders>
    </w:tblPr>
    <w:tblStylePr w:type="firstRow">
      <w:pPr>
        <w:spacing w:after="0" w:before="0" w:line="240" w:lineRule="auto"/>
      </w:pPr>
      <w:rPr>
        <w:b w:val="1"/>
        <w:bCs w:val="1"/>
        <w:color w:val="ffffff" w:themeColor="background1"/>
      </w:rPr>
      <w:tblPr/>
      <w:tcPr>
        <w:tc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space="0" w:sz="0" w:val="nil"/>
          <w:insideV w:space="0" w:sz="0" w:val="nil"/>
        </w:tcBorders>
        <w:shd w:color="auto" w:fill="f79646" w:themeFill="accent6" w:val="clear"/>
      </w:tcPr>
    </w:tblStylePr>
    <w:tblStylePr w:type="lastRow">
      <w:pPr>
        <w:spacing w:after="0" w:before="0" w:line="240" w:lineRule="auto"/>
      </w:pPr>
      <w:rPr>
        <w:b w:val="1"/>
        <w:bCs w:val="1"/>
      </w:rPr>
      <w:tblPr/>
      <w:tcPr>
        <w:tcBorders>
          <w:top w:color="f9b074" w:space="0" w:sz="6" w:themeColor="accent6" w:themeTint="0000BF" w:val="double"/>
          <w:left w:color="f9b074" w:space="0" w:sz="8" w:themeColor="accent6" w:themeTint="0000BF" w:val="single"/>
          <w:bottom w:color="f9b074" w:space="0" w:sz="8" w:themeColor="accent6" w:themeTint="0000BF" w:val="single"/>
          <w:right w:color="f9b074" w:space="0" w:sz="8" w:themeColor="accent6"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fde4d0" w:themeFill="accent6" w:themeFillTint="00003F" w:val="clear"/>
      </w:tcPr>
    </w:tblStylePr>
    <w:tblStylePr w:type="band1Horz">
      <w:tblPr/>
      <w:tcPr>
        <w:tcBorders>
          <w:insideH w:space="0" w:sz="0" w:val="nil"/>
          <w:insideV w:space="0" w:sz="0" w:val="nil"/>
        </w:tcBorders>
        <w:shd w:color="auto" w:fill="fde4d0" w:themeFill="accent6" w:themeFillTint="00003F" w:val="clear"/>
      </w:tcPr>
    </w:tblStylePr>
    <w:tblStylePr w:type="band2Horz">
      <w:tblPr/>
      <w:tcPr>
        <w:tcBorders>
          <w:insideH w:space="0" w:sz="0" w:val="nil"/>
          <w:insideV w:space="0" w:sz="0"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000000" w:themeFill="text1"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000000" w:themeFill="text1"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000000" w:themeFill="text1"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4f81bd" w:themeFill="accent1"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4f81bd" w:themeFill="accent1"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4f81bd" w:themeFill="accent1"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c0504d" w:themeFill="accent2"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c0504d" w:themeFill="accent2"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c0504d" w:themeFill="accent2"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9bbb59" w:themeFill="accent3"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9bbb59" w:themeFill="accent3"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9bbb59" w:themeFill="accent3"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8064a2" w:themeFill="accent4"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8064a2" w:themeFill="accent4"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8064a2" w:themeFill="accent4"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4bacc6" w:themeFill="accent5"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4bacc6" w:themeFill="accent5"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4bacc6" w:themeFill="accent5"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f79646" w:themeFill="accent6"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f79646" w:themeFill="accent6"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f79646" w:themeFill="accent6"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color="000000" w:space="0" w:sz="8" w:themeColor="text1" w:val="single"/>
        <w:bottom w:color="000000" w:space="0" w:sz="8" w:themeColor="text1" w:val="single"/>
      </w:tblBorders>
    </w:tblPr>
    <w:tblStylePr w:type="firstRow">
      <w:rPr>
        <w:rFonts w:asciiTheme="majorHAnsi" w:cstheme="majorBidi" w:eastAsiaTheme="majorEastAsia" w:hAnsiTheme="majorHAnsi"/>
      </w:rPr>
      <w:tblPr/>
      <w:tcPr>
        <w:tcBorders>
          <w:top w:space="0" w:sz="0" w:val="nil"/>
          <w:bottom w:color="000000" w:space="0" w:sz="8" w:themeColor="text1" w:val="single"/>
        </w:tcBorders>
      </w:tcPr>
    </w:tblStylePr>
    <w:tblStylePr w:type="lastRow">
      <w:rPr>
        <w:b w:val="1"/>
        <w:bCs w:val="1"/>
        <w:color w:val="1f497d" w:themeColor="text2"/>
      </w:rPr>
      <w:tblPr/>
      <w:tcPr>
        <w:tcBorders>
          <w:top w:color="000000" w:space="0" w:sz="8" w:themeColor="text1" w:val="single"/>
          <w:bottom w:color="000000" w:space="0" w:sz="8" w:themeColor="text1" w:val="single"/>
        </w:tcBorders>
      </w:tcPr>
    </w:tblStylePr>
    <w:tblStylePr w:type="firstCol">
      <w:rPr>
        <w:b w:val="1"/>
        <w:bCs w:val="1"/>
      </w:rPr>
    </w:tblStylePr>
    <w:tblStylePr w:type="lastCol">
      <w:rPr>
        <w:b w:val="1"/>
        <w:bCs w:val="1"/>
      </w:rPr>
      <w:tblPr/>
      <w:tcPr>
        <w:tcBorders>
          <w:top w:color="000000" w:space="0" w:sz="8" w:themeColor="text1" w:val="single"/>
          <w:bottom w:color="000000" w:space="0" w:sz="8" w:themeColor="text1" w:val="single"/>
        </w:tcBorders>
      </w:tcPr>
    </w:tblStylePr>
    <w:tblStylePr w:type="band1Vert">
      <w:tblPr/>
      <w:tcPr>
        <w:shd w:color="auto" w:fill="c0c0c0" w:themeFill="text1" w:themeFillTint="00003F" w:val="clear"/>
      </w:tcPr>
    </w:tblStylePr>
    <w:tblStylePr w:type="band1Horz">
      <w:tblPr/>
      <w:tcPr>
        <w:shd w:color="auto" w:fill="c0c0c0" w:themeFill="text1" w:themeFillTint="00003F" w:val="clear"/>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color="4f81bd" w:space="0" w:sz="8" w:themeColor="accent1" w:val="single"/>
        <w:bottom w:color="4f81bd" w:space="0" w:sz="8" w:themeColor="accent1" w:val="single"/>
      </w:tblBorders>
    </w:tblPr>
    <w:tblStylePr w:type="firstRow">
      <w:rPr>
        <w:rFonts w:asciiTheme="majorHAnsi" w:cstheme="majorBidi" w:eastAsiaTheme="majorEastAsia" w:hAnsiTheme="majorHAnsi"/>
      </w:rPr>
      <w:tblPr/>
      <w:tcPr>
        <w:tcBorders>
          <w:top w:space="0" w:sz="0" w:val="nil"/>
          <w:bottom w:color="4f81bd" w:space="0" w:sz="8" w:themeColor="accent1" w:val="single"/>
        </w:tcBorders>
      </w:tcPr>
    </w:tblStylePr>
    <w:tblStylePr w:type="lastRow">
      <w:rPr>
        <w:b w:val="1"/>
        <w:bCs w:val="1"/>
        <w:color w:val="1f497d" w:themeColor="text2"/>
      </w:rPr>
      <w:tblPr/>
      <w:tcPr>
        <w:tcBorders>
          <w:top w:color="4f81bd" w:space="0" w:sz="8" w:themeColor="accent1" w:val="single"/>
          <w:bottom w:color="4f81bd" w:space="0" w:sz="8" w:themeColor="accent1" w:val="single"/>
        </w:tcBorders>
      </w:tcPr>
    </w:tblStylePr>
    <w:tblStylePr w:type="firstCol">
      <w:rPr>
        <w:b w:val="1"/>
        <w:bCs w:val="1"/>
      </w:rPr>
    </w:tblStylePr>
    <w:tblStylePr w:type="lastCol">
      <w:rPr>
        <w:b w:val="1"/>
        <w:bCs w:val="1"/>
      </w:rPr>
      <w:tblPr/>
      <w:tcPr>
        <w:tcBorders>
          <w:top w:color="4f81bd" w:space="0" w:sz="8" w:themeColor="accent1" w:val="single"/>
          <w:bottom w:color="4f81bd" w:space="0" w:sz="8" w:themeColor="accent1" w:val="single"/>
        </w:tcBorders>
      </w:tcPr>
    </w:tblStylePr>
    <w:tblStylePr w:type="band1Vert">
      <w:tblPr/>
      <w:tcPr>
        <w:shd w:color="auto" w:fill="d3dfee" w:themeFill="accent1" w:themeFillTint="00003F" w:val="clear"/>
      </w:tcPr>
    </w:tblStylePr>
    <w:tblStylePr w:type="band1Horz">
      <w:tblPr/>
      <w:tcPr>
        <w:shd w:color="auto" w:fill="d3dfee" w:themeFill="accent1" w:themeFillTint="00003F" w:val="clear"/>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color="c0504d" w:space="0" w:sz="8" w:themeColor="accent2" w:val="single"/>
        <w:bottom w:color="c0504d" w:space="0" w:sz="8" w:themeColor="accent2" w:val="single"/>
      </w:tblBorders>
    </w:tblPr>
    <w:tblStylePr w:type="firstRow">
      <w:rPr>
        <w:rFonts w:asciiTheme="majorHAnsi" w:cstheme="majorBidi" w:eastAsiaTheme="majorEastAsia" w:hAnsiTheme="majorHAnsi"/>
      </w:rPr>
      <w:tblPr/>
      <w:tcPr>
        <w:tcBorders>
          <w:top w:space="0" w:sz="0" w:val="nil"/>
          <w:bottom w:color="c0504d" w:space="0" w:sz="8" w:themeColor="accent2" w:val="single"/>
        </w:tcBorders>
      </w:tcPr>
    </w:tblStylePr>
    <w:tblStylePr w:type="lastRow">
      <w:rPr>
        <w:b w:val="1"/>
        <w:bCs w:val="1"/>
        <w:color w:val="1f497d" w:themeColor="text2"/>
      </w:rPr>
      <w:tblPr/>
      <w:tcPr>
        <w:tcBorders>
          <w:top w:color="c0504d" w:space="0" w:sz="8" w:themeColor="accent2" w:val="single"/>
          <w:bottom w:color="c0504d" w:space="0" w:sz="8" w:themeColor="accent2" w:val="single"/>
        </w:tcBorders>
      </w:tcPr>
    </w:tblStylePr>
    <w:tblStylePr w:type="firstCol">
      <w:rPr>
        <w:b w:val="1"/>
        <w:bCs w:val="1"/>
      </w:rPr>
    </w:tblStylePr>
    <w:tblStylePr w:type="lastCol">
      <w:rPr>
        <w:b w:val="1"/>
        <w:bCs w:val="1"/>
      </w:rPr>
      <w:tblPr/>
      <w:tcPr>
        <w:tcBorders>
          <w:top w:color="c0504d" w:space="0" w:sz="8" w:themeColor="accent2" w:val="single"/>
          <w:bottom w:color="c0504d" w:space="0" w:sz="8" w:themeColor="accent2" w:val="single"/>
        </w:tcBorders>
      </w:tcPr>
    </w:tblStylePr>
    <w:tblStylePr w:type="band1Vert">
      <w:tblPr/>
      <w:tcPr>
        <w:shd w:color="auto" w:fill="efd3d2" w:themeFill="accent2" w:themeFillTint="00003F" w:val="clear"/>
      </w:tcPr>
    </w:tblStylePr>
    <w:tblStylePr w:type="band1Horz">
      <w:tblPr/>
      <w:tcPr>
        <w:shd w:color="auto" w:fill="efd3d2" w:themeFill="accent2" w:themeFillTint="00003F" w:val="clear"/>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color="9bbb59" w:space="0" w:sz="8" w:themeColor="accent3" w:val="single"/>
        <w:bottom w:color="9bbb59" w:space="0" w:sz="8" w:themeColor="accent3" w:val="single"/>
      </w:tblBorders>
    </w:tblPr>
    <w:tblStylePr w:type="firstRow">
      <w:rPr>
        <w:rFonts w:asciiTheme="majorHAnsi" w:cstheme="majorBidi" w:eastAsiaTheme="majorEastAsia" w:hAnsiTheme="majorHAnsi"/>
      </w:rPr>
      <w:tblPr/>
      <w:tcPr>
        <w:tcBorders>
          <w:top w:space="0" w:sz="0" w:val="nil"/>
          <w:bottom w:color="9bbb59" w:space="0" w:sz="8" w:themeColor="accent3" w:val="single"/>
        </w:tcBorders>
      </w:tcPr>
    </w:tblStylePr>
    <w:tblStylePr w:type="lastRow">
      <w:rPr>
        <w:b w:val="1"/>
        <w:bCs w:val="1"/>
        <w:color w:val="1f497d" w:themeColor="text2"/>
      </w:rPr>
      <w:tblPr/>
      <w:tcPr>
        <w:tcBorders>
          <w:top w:color="9bbb59" w:space="0" w:sz="8" w:themeColor="accent3" w:val="single"/>
          <w:bottom w:color="9bbb59" w:space="0" w:sz="8" w:themeColor="accent3" w:val="single"/>
        </w:tcBorders>
      </w:tcPr>
    </w:tblStylePr>
    <w:tblStylePr w:type="firstCol">
      <w:rPr>
        <w:b w:val="1"/>
        <w:bCs w:val="1"/>
      </w:rPr>
    </w:tblStylePr>
    <w:tblStylePr w:type="lastCol">
      <w:rPr>
        <w:b w:val="1"/>
        <w:bCs w:val="1"/>
      </w:rPr>
      <w:tblPr/>
      <w:tcPr>
        <w:tcBorders>
          <w:top w:color="9bbb59" w:space="0" w:sz="8" w:themeColor="accent3" w:val="single"/>
          <w:bottom w:color="9bbb59" w:space="0" w:sz="8" w:themeColor="accent3" w:val="single"/>
        </w:tcBorders>
      </w:tcPr>
    </w:tblStylePr>
    <w:tblStylePr w:type="band1Vert">
      <w:tblPr/>
      <w:tcPr>
        <w:shd w:color="auto" w:fill="e6eed5" w:themeFill="accent3" w:themeFillTint="00003F" w:val="clear"/>
      </w:tcPr>
    </w:tblStylePr>
    <w:tblStylePr w:type="band1Horz">
      <w:tblPr/>
      <w:tcPr>
        <w:shd w:color="auto" w:fill="e6eed5" w:themeFill="accent3" w:themeFillTint="00003F" w:val="clear"/>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color="8064a2" w:space="0" w:sz="8" w:themeColor="accent4" w:val="single"/>
        <w:bottom w:color="8064a2" w:space="0" w:sz="8" w:themeColor="accent4" w:val="single"/>
      </w:tblBorders>
    </w:tblPr>
    <w:tblStylePr w:type="firstRow">
      <w:rPr>
        <w:rFonts w:asciiTheme="majorHAnsi" w:cstheme="majorBidi" w:eastAsiaTheme="majorEastAsia" w:hAnsiTheme="majorHAnsi"/>
      </w:rPr>
      <w:tblPr/>
      <w:tcPr>
        <w:tcBorders>
          <w:top w:space="0" w:sz="0" w:val="nil"/>
          <w:bottom w:color="8064a2" w:space="0" w:sz="8" w:themeColor="accent4" w:val="single"/>
        </w:tcBorders>
      </w:tcPr>
    </w:tblStylePr>
    <w:tblStylePr w:type="lastRow">
      <w:rPr>
        <w:b w:val="1"/>
        <w:bCs w:val="1"/>
        <w:color w:val="1f497d" w:themeColor="text2"/>
      </w:rPr>
      <w:tblPr/>
      <w:tcPr>
        <w:tcBorders>
          <w:top w:color="8064a2" w:space="0" w:sz="8" w:themeColor="accent4" w:val="single"/>
          <w:bottom w:color="8064a2" w:space="0" w:sz="8" w:themeColor="accent4" w:val="single"/>
        </w:tcBorders>
      </w:tcPr>
    </w:tblStylePr>
    <w:tblStylePr w:type="firstCol">
      <w:rPr>
        <w:b w:val="1"/>
        <w:bCs w:val="1"/>
      </w:rPr>
    </w:tblStylePr>
    <w:tblStylePr w:type="lastCol">
      <w:rPr>
        <w:b w:val="1"/>
        <w:bCs w:val="1"/>
      </w:rPr>
      <w:tblPr/>
      <w:tcPr>
        <w:tcBorders>
          <w:top w:color="8064a2" w:space="0" w:sz="8" w:themeColor="accent4" w:val="single"/>
          <w:bottom w:color="8064a2" w:space="0" w:sz="8" w:themeColor="accent4" w:val="single"/>
        </w:tcBorders>
      </w:tcPr>
    </w:tblStylePr>
    <w:tblStylePr w:type="band1Vert">
      <w:tblPr/>
      <w:tcPr>
        <w:shd w:color="auto" w:fill="dfd8e8" w:themeFill="accent4" w:themeFillTint="00003F" w:val="clear"/>
      </w:tcPr>
    </w:tblStylePr>
    <w:tblStylePr w:type="band1Horz">
      <w:tblPr/>
      <w:tcPr>
        <w:shd w:color="auto" w:fill="dfd8e8" w:themeFill="accent4" w:themeFillTint="00003F" w:val="clear"/>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color="4bacc6" w:space="0" w:sz="8" w:themeColor="accent5" w:val="single"/>
        <w:bottom w:color="4bacc6" w:space="0" w:sz="8" w:themeColor="accent5" w:val="single"/>
      </w:tblBorders>
    </w:tblPr>
    <w:tblStylePr w:type="firstRow">
      <w:rPr>
        <w:rFonts w:asciiTheme="majorHAnsi" w:cstheme="majorBidi" w:eastAsiaTheme="majorEastAsia" w:hAnsiTheme="majorHAnsi"/>
      </w:rPr>
      <w:tblPr/>
      <w:tcPr>
        <w:tcBorders>
          <w:top w:space="0" w:sz="0" w:val="nil"/>
          <w:bottom w:color="4bacc6" w:space="0" w:sz="8" w:themeColor="accent5" w:val="single"/>
        </w:tcBorders>
      </w:tcPr>
    </w:tblStylePr>
    <w:tblStylePr w:type="lastRow">
      <w:rPr>
        <w:b w:val="1"/>
        <w:bCs w:val="1"/>
        <w:color w:val="1f497d" w:themeColor="text2"/>
      </w:rPr>
      <w:tblPr/>
      <w:tcPr>
        <w:tcBorders>
          <w:top w:color="4bacc6" w:space="0" w:sz="8" w:themeColor="accent5" w:val="single"/>
          <w:bottom w:color="4bacc6" w:space="0" w:sz="8" w:themeColor="accent5" w:val="single"/>
        </w:tcBorders>
      </w:tcPr>
    </w:tblStylePr>
    <w:tblStylePr w:type="firstCol">
      <w:rPr>
        <w:b w:val="1"/>
        <w:bCs w:val="1"/>
      </w:rPr>
    </w:tblStylePr>
    <w:tblStylePr w:type="lastCol">
      <w:rPr>
        <w:b w:val="1"/>
        <w:bCs w:val="1"/>
      </w:rPr>
      <w:tblPr/>
      <w:tcPr>
        <w:tcBorders>
          <w:top w:color="4bacc6" w:space="0" w:sz="8" w:themeColor="accent5" w:val="single"/>
          <w:bottom w:color="4bacc6" w:space="0" w:sz="8" w:themeColor="accent5" w:val="single"/>
        </w:tcBorders>
      </w:tcPr>
    </w:tblStylePr>
    <w:tblStylePr w:type="band1Vert">
      <w:tblPr/>
      <w:tcPr>
        <w:shd w:color="auto" w:fill="d2eaf1" w:themeFill="accent5" w:themeFillTint="00003F" w:val="clear"/>
      </w:tcPr>
    </w:tblStylePr>
    <w:tblStylePr w:type="band1Horz">
      <w:tblPr/>
      <w:tcPr>
        <w:shd w:color="auto" w:fill="d2eaf1" w:themeFill="accent5" w:themeFillTint="00003F" w:val="clear"/>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color="f79646" w:space="0" w:sz="8" w:themeColor="accent6" w:val="single"/>
        <w:bottom w:color="f79646" w:space="0" w:sz="8" w:themeColor="accent6" w:val="single"/>
      </w:tblBorders>
    </w:tblPr>
    <w:tblStylePr w:type="firstRow">
      <w:rPr>
        <w:rFonts w:asciiTheme="majorHAnsi" w:cstheme="majorBidi" w:eastAsiaTheme="majorEastAsia" w:hAnsiTheme="majorHAnsi"/>
      </w:rPr>
      <w:tblPr/>
      <w:tcPr>
        <w:tcBorders>
          <w:top w:space="0" w:sz="0" w:val="nil"/>
          <w:bottom w:color="f79646" w:space="0" w:sz="8" w:themeColor="accent6" w:val="single"/>
        </w:tcBorders>
      </w:tcPr>
    </w:tblStylePr>
    <w:tblStylePr w:type="lastRow">
      <w:rPr>
        <w:b w:val="1"/>
        <w:bCs w:val="1"/>
        <w:color w:val="1f497d" w:themeColor="text2"/>
      </w:rPr>
      <w:tblPr/>
      <w:tcPr>
        <w:tcBorders>
          <w:top w:color="f79646" w:space="0" w:sz="8" w:themeColor="accent6" w:val="single"/>
          <w:bottom w:color="f79646" w:space="0" w:sz="8" w:themeColor="accent6" w:val="single"/>
        </w:tcBorders>
      </w:tcPr>
    </w:tblStylePr>
    <w:tblStylePr w:type="firstCol">
      <w:rPr>
        <w:b w:val="1"/>
        <w:bCs w:val="1"/>
      </w:rPr>
    </w:tblStylePr>
    <w:tblStylePr w:type="lastCol">
      <w:rPr>
        <w:b w:val="1"/>
        <w:bCs w:val="1"/>
      </w:rPr>
      <w:tblPr/>
      <w:tcPr>
        <w:tcBorders>
          <w:top w:color="f79646" w:space="0" w:sz="8" w:themeColor="accent6" w:val="single"/>
          <w:bottom w:color="f79646" w:space="0" w:sz="8" w:themeColor="accent6" w:val="single"/>
        </w:tcBorders>
      </w:tcPr>
    </w:tblStylePr>
    <w:tblStylePr w:type="band1Vert">
      <w:tblPr/>
      <w:tcPr>
        <w:shd w:color="auto" w:fill="fde4d0" w:themeFill="accent6" w:themeFillTint="00003F" w:val="clear"/>
      </w:tcPr>
    </w:tblStylePr>
    <w:tblStylePr w:type="band1Horz">
      <w:tblPr/>
      <w:tcPr>
        <w:shd w:color="auto" w:fill="fde4d0" w:themeFill="accent6" w:themeFillTint="00003F" w:val="clear"/>
      </w:tcPr>
    </w:tblStylePr>
  </w:style>
  <w:style w:type="table" w:styleId="MediumList2">
    <w:name w:val="Medium List 2"/>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tblBorders>
    </w:tblPr>
    <w:tblStylePr w:type="firstRow">
      <w:rPr>
        <w:sz w:val="24"/>
        <w:szCs w:val="24"/>
      </w:rPr>
      <w:tblPr/>
      <w:tcPr>
        <w:tcBorders>
          <w:top w:space="0" w:sz="0" w:val="nil"/>
          <w:left w:space="0" w:sz="0" w:val="nil"/>
          <w:bottom w:color="000000" w:space="0" w:sz="24" w:themeColor="text1" w:val="single"/>
          <w:right w:space="0" w:sz="0" w:val="nil"/>
          <w:insideH w:space="0" w:sz="0" w:val="nil"/>
          <w:insideV w:space="0" w:sz="0" w:val="nil"/>
        </w:tcBorders>
        <w:shd w:color="auto" w:fill="ffffff" w:themeFill="background1" w:val="clear"/>
      </w:tcPr>
    </w:tblStylePr>
    <w:tblStylePr w:type="lastRow">
      <w:tblPr/>
      <w:tcPr>
        <w:tcBorders>
          <w:top w:color="000000" w:space="0" w:sz="8"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000000" w:space="0" w:sz="8" w:themeColor="text1" w:val="single"/>
          <w:insideH w:space="0" w:sz="0" w:val="nil"/>
          <w:insideV w:space="0" w:sz="0" w:val="nil"/>
        </w:tcBorders>
        <w:shd w:color="auto" w:fill="ffffff" w:themeFill="background1" w:val="clear"/>
      </w:tcPr>
    </w:tblStylePr>
    <w:tblStylePr w:type="lastCol">
      <w:tblPr/>
      <w:tcPr>
        <w:tcBorders>
          <w:top w:space="0" w:sz="0" w:val="nil"/>
          <w:left w:color="000000" w:space="0" w:sz="8" w:themeColor="text1"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c0c0c0" w:themeFill="text1" w:themeFillTint="00003F" w:val="clear"/>
      </w:tcPr>
    </w:tblStylePr>
    <w:tblStylePr w:type="band1Horz">
      <w:tblPr/>
      <w:tcPr>
        <w:tcBorders>
          <w:top w:space="0" w:sz="0" w:val="nil"/>
          <w:bottom w:space="0" w:sz="0" w:val="nil"/>
          <w:insideH w:space="0" w:sz="0" w:val="nil"/>
          <w:insideV w:space="0" w:sz="0" w:val="nil"/>
        </w:tcBorders>
        <w:shd w:color="auto" w:fill="c0c0c0" w:themeFill="text1"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1">
    <w:name w:val="Medium List 2 Accent 1"/>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tblBorders>
    </w:tblPr>
    <w:tblStylePr w:type="firstRow">
      <w:rPr>
        <w:sz w:val="24"/>
        <w:szCs w:val="24"/>
      </w:rPr>
      <w:tblPr/>
      <w:tcPr>
        <w:tcBorders>
          <w:top w:space="0" w:sz="0" w:val="nil"/>
          <w:left w:space="0" w:sz="0" w:val="nil"/>
          <w:bottom w:color="4f81bd" w:space="0" w:sz="24" w:themeColor="accent1" w:val="single"/>
          <w:right w:space="0" w:sz="0" w:val="nil"/>
          <w:insideH w:space="0" w:sz="0" w:val="nil"/>
          <w:insideV w:space="0" w:sz="0" w:val="nil"/>
        </w:tcBorders>
        <w:shd w:color="auto" w:fill="ffffff" w:themeFill="background1" w:val="clear"/>
      </w:tcPr>
    </w:tblStylePr>
    <w:tblStylePr w:type="lastRow">
      <w:tblPr/>
      <w:tcPr>
        <w:tcBorders>
          <w:top w:color="4f81bd" w:space="0" w:sz="8" w:themeColor="accent1"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4f81bd" w:space="0" w:sz="8" w:themeColor="accent1" w:val="single"/>
          <w:insideH w:space="0" w:sz="0" w:val="nil"/>
          <w:insideV w:space="0" w:sz="0" w:val="nil"/>
        </w:tcBorders>
        <w:shd w:color="auto" w:fill="ffffff" w:themeFill="background1" w:val="clear"/>
      </w:tcPr>
    </w:tblStylePr>
    <w:tblStylePr w:type="lastCol">
      <w:tblPr/>
      <w:tcPr>
        <w:tcBorders>
          <w:top w:space="0" w:sz="0" w:val="nil"/>
          <w:left w:color="4f81bd" w:space="0" w:sz="8" w:themeColor="accent1"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3dfee" w:themeFill="accent1" w:themeFillTint="00003F" w:val="clear"/>
      </w:tcPr>
    </w:tblStylePr>
    <w:tblStylePr w:type="band1Horz">
      <w:tblPr/>
      <w:tcPr>
        <w:tcBorders>
          <w:top w:space="0" w:sz="0" w:val="nil"/>
          <w:bottom w:space="0" w:sz="0" w:val="nil"/>
          <w:insideH w:space="0" w:sz="0" w:val="nil"/>
          <w:insideV w:space="0" w:sz="0" w:val="nil"/>
        </w:tcBorders>
        <w:shd w:color="auto" w:fill="d3dfee" w:themeFill="accent1"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2">
    <w:name w:val="Medium List 2 Accent 2"/>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tblBorders>
    </w:tblPr>
    <w:tblStylePr w:type="firstRow">
      <w:rPr>
        <w:sz w:val="24"/>
        <w:szCs w:val="24"/>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tblPr/>
      <w:tcPr>
        <w:tcBorders>
          <w:top w:color="c0504d" w:space="0" w:sz="8" w:themeColor="accent2"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c0504d" w:space="0" w:sz="8" w:themeColor="accent2" w:val="single"/>
          <w:insideH w:space="0" w:sz="0" w:val="nil"/>
          <w:insideV w:space="0" w:sz="0" w:val="nil"/>
        </w:tcBorders>
        <w:shd w:color="auto" w:fill="ffffff" w:themeFill="background1" w:val="clear"/>
      </w:tcPr>
    </w:tblStylePr>
    <w:tblStylePr w:type="lastCol">
      <w:tblPr/>
      <w:tcPr>
        <w:tcBorders>
          <w:top w:space="0" w:sz="0" w:val="nil"/>
          <w:left w:color="c0504d" w:space="0" w:sz="8" w:themeColor="accent2"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efd3d2" w:themeFill="accent2" w:themeFillTint="00003F" w:val="clear"/>
      </w:tcPr>
    </w:tblStylePr>
    <w:tblStylePr w:type="band1Horz">
      <w:tblPr/>
      <w:tcPr>
        <w:tcBorders>
          <w:top w:space="0" w:sz="0" w:val="nil"/>
          <w:bottom w:space="0" w:sz="0" w:val="nil"/>
          <w:insideH w:space="0" w:sz="0" w:val="nil"/>
          <w:insideV w:space="0" w:sz="0" w:val="nil"/>
        </w:tcBorders>
        <w:shd w:color="auto" w:fill="efd3d2" w:themeFill="accent2"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3">
    <w:name w:val="Medium List 2 Accent 3"/>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tblBorders>
    </w:tblPr>
    <w:tblStylePr w:type="firstRow">
      <w:rPr>
        <w:sz w:val="24"/>
        <w:szCs w:val="24"/>
      </w:rPr>
      <w:tblPr/>
      <w:tcPr>
        <w:tcBorders>
          <w:top w:space="0" w:sz="0" w:val="nil"/>
          <w:left w:space="0" w:sz="0" w:val="nil"/>
          <w:bottom w:color="9bbb59" w:space="0" w:sz="24" w:themeColor="accent3" w:val="single"/>
          <w:right w:space="0" w:sz="0" w:val="nil"/>
          <w:insideH w:space="0" w:sz="0" w:val="nil"/>
          <w:insideV w:space="0" w:sz="0" w:val="nil"/>
        </w:tcBorders>
        <w:shd w:color="auto" w:fill="ffffff" w:themeFill="background1" w:val="clear"/>
      </w:tcPr>
    </w:tblStylePr>
    <w:tblStylePr w:type="lastRow">
      <w:tblPr/>
      <w:tcPr>
        <w:tcBorders>
          <w:top w:color="9bbb59" w:space="0" w:sz="8" w:themeColor="accent3"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9bbb59" w:space="0" w:sz="8" w:themeColor="accent3" w:val="single"/>
          <w:insideH w:space="0" w:sz="0" w:val="nil"/>
          <w:insideV w:space="0" w:sz="0" w:val="nil"/>
        </w:tcBorders>
        <w:shd w:color="auto" w:fill="ffffff" w:themeFill="background1" w:val="clear"/>
      </w:tcPr>
    </w:tblStylePr>
    <w:tblStylePr w:type="lastCol">
      <w:tblPr/>
      <w:tcPr>
        <w:tcBorders>
          <w:top w:space="0" w:sz="0" w:val="nil"/>
          <w:left w:color="9bbb59" w:space="0" w:sz="8" w:themeColor="accent3"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e6eed5" w:themeFill="accent3" w:themeFillTint="00003F" w:val="clear"/>
      </w:tcPr>
    </w:tblStylePr>
    <w:tblStylePr w:type="band1Horz">
      <w:tblPr/>
      <w:tcPr>
        <w:tcBorders>
          <w:top w:space="0" w:sz="0" w:val="nil"/>
          <w:bottom w:space="0" w:sz="0" w:val="nil"/>
          <w:insideH w:space="0" w:sz="0" w:val="nil"/>
          <w:insideV w:space="0" w:sz="0" w:val="nil"/>
        </w:tcBorders>
        <w:shd w:color="auto" w:fill="e6eed5" w:themeFill="accent3"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4">
    <w:name w:val="Medium List 2 Accent 4"/>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tblBorders>
    </w:tblPr>
    <w:tblStylePr w:type="firstRow">
      <w:rPr>
        <w:sz w:val="24"/>
        <w:szCs w:val="24"/>
      </w:rPr>
      <w:tblPr/>
      <w:tcPr>
        <w:tcBorders>
          <w:top w:space="0" w:sz="0" w:val="nil"/>
          <w:left w:space="0" w:sz="0" w:val="nil"/>
          <w:bottom w:color="8064a2" w:space="0" w:sz="24" w:themeColor="accent4" w:val="single"/>
          <w:right w:space="0" w:sz="0" w:val="nil"/>
          <w:insideH w:space="0" w:sz="0" w:val="nil"/>
          <w:insideV w:space="0" w:sz="0" w:val="nil"/>
        </w:tcBorders>
        <w:shd w:color="auto" w:fill="ffffff" w:themeFill="background1" w:val="clear"/>
      </w:tcPr>
    </w:tblStylePr>
    <w:tblStylePr w:type="lastRow">
      <w:tblPr/>
      <w:tcPr>
        <w:tcBorders>
          <w:top w:color="8064a2" w:space="0" w:sz="8" w:themeColor="accent4"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8064a2" w:space="0" w:sz="8" w:themeColor="accent4" w:val="single"/>
          <w:insideH w:space="0" w:sz="0" w:val="nil"/>
          <w:insideV w:space="0" w:sz="0" w:val="nil"/>
        </w:tcBorders>
        <w:shd w:color="auto" w:fill="ffffff" w:themeFill="background1" w:val="clear"/>
      </w:tcPr>
    </w:tblStylePr>
    <w:tblStylePr w:type="lastCol">
      <w:tblPr/>
      <w:tcPr>
        <w:tcBorders>
          <w:top w:space="0" w:sz="0" w:val="nil"/>
          <w:left w:color="8064a2" w:space="0" w:sz="8" w:themeColor="accent4"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fd8e8" w:themeFill="accent4" w:themeFillTint="00003F" w:val="clear"/>
      </w:tcPr>
    </w:tblStylePr>
    <w:tblStylePr w:type="band1Horz">
      <w:tblPr/>
      <w:tcPr>
        <w:tcBorders>
          <w:top w:space="0" w:sz="0" w:val="nil"/>
          <w:bottom w:space="0" w:sz="0" w:val="nil"/>
          <w:insideH w:space="0" w:sz="0" w:val="nil"/>
          <w:insideV w:space="0" w:sz="0" w:val="nil"/>
        </w:tcBorders>
        <w:shd w:color="auto" w:fill="dfd8e8" w:themeFill="accent4"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5">
    <w:name w:val="Medium List 2 Accent 5"/>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tblBorders>
    </w:tblPr>
    <w:tblStylePr w:type="firstRow">
      <w:rPr>
        <w:sz w:val="24"/>
        <w:szCs w:val="24"/>
      </w:rPr>
      <w:tblPr/>
      <w:tcPr>
        <w:tcBorders>
          <w:top w:space="0" w:sz="0" w:val="nil"/>
          <w:left w:space="0" w:sz="0" w:val="nil"/>
          <w:bottom w:color="4bacc6" w:space="0" w:sz="24" w:themeColor="accent5" w:val="single"/>
          <w:right w:space="0" w:sz="0" w:val="nil"/>
          <w:insideH w:space="0" w:sz="0" w:val="nil"/>
          <w:insideV w:space="0" w:sz="0" w:val="nil"/>
        </w:tcBorders>
        <w:shd w:color="auto" w:fill="ffffff" w:themeFill="background1" w:val="clear"/>
      </w:tcPr>
    </w:tblStylePr>
    <w:tblStylePr w:type="lastRow">
      <w:tblPr/>
      <w:tcPr>
        <w:tcBorders>
          <w:top w:color="4bacc6" w:space="0" w:sz="8" w:themeColor="accent5"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4bacc6" w:space="0" w:sz="8" w:themeColor="accent5" w:val="single"/>
          <w:insideH w:space="0" w:sz="0" w:val="nil"/>
          <w:insideV w:space="0" w:sz="0" w:val="nil"/>
        </w:tcBorders>
        <w:shd w:color="auto" w:fill="ffffff" w:themeFill="background1" w:val="clear"/>
      </w:tcPr>
    </w:tblStylePr>
    <w:tblStylePr w:type="lastCol">
      <w:tblPr/>
      <w:tcPr>
        <w:tcBorders>
          <w:top w:space="0" w:sz="0" w:val="nil"/>
          <w:left w:color="4bacc6" w:space="0" w:sz="8" w:themeColor="accent5"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2eaf1" w:themeFill="accent5" w:themeFillTint="00003F" w:val="clear"/>
      </w:tcPr>
    </w:tblStylePr>
    <w:tblStylePr w:type="band1Horz">
      <w:tblPr/>
      <w:tcPr>
        <w:tcBorders>
          <w:top w:space="0" w:sz="0" w:val="nil"/>
          <w:bottom w:space="0" w:sz="0" w:val="nil"/>
          <w:insideH w:space="0" w:sz="0" w:val="nil"/>
          <w:insideV w:space="0" w:sz="0" w:val="nil"/>
        </w:tcBorders>
        <w:shd w:color="auto" w:fill="d2eaf1" w:themeFill="accent5"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6">
    <w:name w:val="Medium List 2 Accent 6"/>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tblBorders>
    </w:tblPr>
    <w:tblStylePr w:type="firstRow">
      <w:rPr>
        <w:sz w:val="24"/>
        <w:szCs w:val="24"/>
      </w:rPr>
      <w:tblPr/>
      <w:tcPr>
        <w:tcBorders>
          <w:top w:space="0" w:sz="0" w:val="nil"/>
          <w:left w:space="0" w:sz="0" w:val="nil"/>
          <w:bottom w:color="f79646" w:space="0" w:sz="24" w:themeColor="accent6" w:val="single"/>
          <w:right w:space="0" w:sz="0" w:val="nil"/>
          <w:insideH w:space="0" w:sz="0" w:val="nil"/>
          <w:insideV w:space="0" w:sz="0" w:val="nil"/>
        </w:tcBorders>
        <w:shd w:color="auto" w:fill="ffffff" w:themeFill="background1" w:val="clear"/>
      </w:tcPr>
    </w:tblStylePr>
    <w:tblStylePr w:type="lastRow">
      <w:tblPr/>
      <w:tcPr>
        <w:tcBorders>
          <w:top w:color="f79646" w:space="0" w:sz="8" w:themeColor="accent6"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f79646" w:space="0" w:sz="8" w:themeColor="accent6" w:val="single"/>
          <w:insideH w:space="0" w:sz="0" w:val="nil"/>
          <w:insideV w:space="0" w:sz="0" w:val="nil"/>
        </w:tcBorders>
        <w:shd w:color="auto" w:fill="ffffff" w:themeFill="background1" w:val="clear"/>
      </w:tcPr>
    </w:tblStylePr>
    <w:tblStylePr w:type="lastCol">
      <w:tblPr/>
      <w:tcPr>
        <w:tcBorders>
          <w:top w:space="0" w:sz="0" w:val="nil"/>
          <w:left w:color="f79646" w:space="0" w:sz="8" w:themeColor="accent6"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fde4d0" w:themeFill="accent6" w:themeFillTint="00003F" w:val="clear"/>
      </w:tcPr>
    </w:tblStylePr>
    <w:tblStylePr w:type="band1Horz">
      <w:tblPr/>
      <w:tcPr>
        <w:tcBorders>
          <w:top w:space="0" w:sz="0" w:val="nil"/>
          <w:bottom w:space="0" w:sz="0" w:val="nil"/>
          <w:insideH w:space="0" w:sz="0" w:val="nil"/>
          <w:insideV w:space="0" w:sz="0" w:val="nil"/>
        </w:tcBorders>
        <w:shd w:color="auto" w:fill="fde4d0" w:themeFill="accent6"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color="404040" w:space="0" w:sz="8" w:themeColor="text1" w:themeTint="0000BF" w:val="single"/>
        <w:insideV w:color="404040" w:space="0" w:sz="8" w:themeColor="text1" w:themeTint="0000BF" w:val="single"/>
      </w:tblBorders>
    </w:tblPr>
    <w:tcPr>
      <w:shd w:color="auto" w:fill="c0c0c0" w:themeFill="text1" w:themeFillTint="00003F" w:val="clear"/>
    </w:tcPr>
    <w:tblStylePr w:type="firstRow">
      <w:rPr>
        <w:b w:val="1"/>
        <w:bCs w:val="1"/>
      </w:rPr>
    </w:tblStylePr>
    <w:tblStylePr w:type="lastRow">
      <w:rPr>
        <w:b w:val="1"/>
        <w:bCs w:val="1"/>
      </w:rPr>
      <w:tblPr/>
      <w:tcPr>
        <w:tcBorders>
          <w:top w:color="404040" w:space="0" w:sz="18" w:themeColor="text1" w:themeTint="0000BF" w:val="single"/>
        </w:tcBorders>
      </w:tcPr>
    </w:tblStylePr>
    <w:tblStylePr w:type="firstCol">
      <w:rPr>
        <w:b w:val="1"/>
        <w:bCs w:val="1"/>
      </w:rPr>
    </w:tblStylePr>
    <w:tblStylePr w:type="lastCol">
      <w:rPr>
        <w:b w:val="1"/>
        <w:bCs w:val="1"/>
      </w:rPr>
    </w:tblStylePr>
    <w:tblStylePr w:type="band1Vert">
      <w:tblPr/>
      <w:tcPr>
        <w:shd w:color="auto" w:fill="808080" w:themeFill="text1" w:themeFillTint="00007F" w:val="clear"/>
      </w:tcPr>
    </w:tblStylePr>
    <w:tblStylePr w:type="band1Horz">
      <w:tblPr/>
      <w:tcPr>
        <w:shd w:color="auto" w:fill="808080" w:themeFill="text1" w:themeFillTint="00007F" w:val="clear"/>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color="7ba0cd" w:space="0" w:sz="8" w:themeColor="accent1" w:themeTint="0000BF" w:val="single"/>
        <w:insideV w:color="7ba0cd" w:space="0" w:sz="8" w:themeColor="accent1" w:themeTint="0000BF" w:val="single"/>
      </w:tblBorders>
    </w:tblPr>
    <w:tcPr>
      <w:shd w:color="auto" w:fill="d3dfee" w:themeFill="accent1" w:themeFillTint="00003F" w:val="clear"/>
    </w:tcPr>
    <w:tblStylePr w:type="firstRow">
      <w:rPr>
        <w:b w:val="1"/>
        <w:bCs w:val="1"/>
      </w:rPr>
    </w:tblStylePr>
    <w:tblStylePr w:type="lastRow">
      <w:rPr>
        <w:b w:val="1"/>
        <w:bCs w:val="1"/>
      </w:rPr>
      <w:tblPr/>
      <w:tcPr>
        <w:tcBorders>
          <w:top w:color="7ba0cd" w:space="0" w:sz="18" w:themeColor="accent1" w:themeTint="0000BF" w:val="single"/>
        </w:tcBorders>
      </w:tcPr>
    </w:tblStylePr>
    <w:tblStylePr w:type="firstCol">
      <w:rPr>
        <w:b w:val="1"/>
        <w:bCs w:val="1"/>
      </w:rPr>
    </w:tblStylePr>
    <w:tblStylePr w:type="lastCol">
      <w:rPr>
        <w:b w:val="1"/>
        <w:bCs w:val="1"/>
      </w:rPr>
    </w:tblStylePr>
    <w:tblStylePr w:type="band1Vert">
      <w:tblPr/>
      <w:tcPr>
        <w:shd w:color="auto" w:fill="a7bfde" w:themeFill="accent1" w:themeFillTint="00007F" w:val="clear"/>
      </w:tcPr>
    </w:tblStylePr>
    <w:tblStylePr w:type="band1Horz">
      <w:tblPr/>
      <w:tcPr>
        <w:shd w:color="auto" w:fill="a7bfde" w:themeFill="accent1" w:themeFillTint="00007F" w:val="clear"/>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color="cf7b79" w:space="0" w:sz="8" w:themeColor="accent2" w:themeTint="0000BF" w:val="single"/>
        <w:insideV w:color="cf7b79" w:space="0" w:sz="8" w:themeColor="accent2" w:themeTint="0000BF" w:val="single"/>
      </w:tblBorders>
    </w:tblPr>
    <w:tcPr>
      <w:shd w:color="auto" w:fill="efd3d2" w:themeFill="accent2" w:themeFillTint="00003F" w:val="clear"/>
    </w:tcPr>
    <w:tblStylePr w:type="firstRow">
      <w:rPr>
        <w:b w:val="1"/>
        <w:bCs w:val="1"/>
      </w:rPr>
    </w:tblStylePr>
    <w:tblStylePr w:type="lastRow">
      <w:rPr>
        <w:b w:val="1"/>
        <w:bCs w:val="1"/>
      </w:rPr>
      <w:tblPr/>
      <w:tcPr>
        <w:tcBorders>
          <w:top w:color="cf7b79" w:space="0" w:sz="18" w:themeColor="accent2" w:themeTint="0000BF" w:val="single"/>
        </w:tcBorders>
      </w:tcPr>
    </w:tblStylePr>
    <w:tblStylePr w:type="firstCol">
      <w:rPr>
        <w:b w:val="1"/>
        <w:bCs w:val="1"/>
      </w:rPr>
    </w:tblStylePr>
    <w:tblStylePr w:type="lastCol">
      <w:rPr>
        <w:b w:val="1"/>
        <w:bCs w:val="1"/>
      </w:rPr>
    </w:tblStylePr>
    <w:tblStylePr w:type="band1Vert">
      <w:tblPr/>
      <w:tcPr>
        <w:shd w:color="auto" w:fill="dfa7a6" w:themeFill="accent2" w:themeFillTint="00007F" w:val="clear"/>
      </w:tcPr>
    </w:tblStylePr>
    <w:tblStylePr w:type="band1Horz">
      <w:tblPr/>
      <w:tcPr>
        <w:shd w:color="auto" w:fill="dfa7a6" w:themeFill="accent2" w:themeFillTint="00007F" w:val="clear"/>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color="b3cc82" w:space="0" w:sz="8" w:themeColor="accent3" w:themeTint="0000BF" w:val="single"/>
        <w:insideV w:color="b3cc82" w:space="0" w:sz="8" w:themeColor="accent3" w:themeTint="0000BF" w:val="single"/>
      </w:tblBorders>
    </w:tblPr>
    <w:tcPr>
      <w:shd w:color="auto" w:fill="e6eed5" w:themeFill="accent3" w:themeFillTint="00003F" w:val="clear"/>
    </w:tcPr>
    <w:tblStylePr w:type="firstRow">
      <w:rPr>
        <w:b w:val="1"/>
        <w:bCs w:val="1"/>
      </w:rPr>
    </w:tblStylePr>
    <w:tblStylePr w:type="lastRow">
      <w:rPr>
        <w:b w:val="1"/>
        <w:bCs w:val="1"/>
      </w:rPr>
      <w:tblPr/>
      <w:tcPr>
        <w:tcBorders>
          <w:top w:color="b3cc82" w:space="0" w:sz="18" w:themeColor="accent3" w:themeTint="0000BF" w:val="single"/>
        </w:tcBorders>
      </w:tcPr>
    </w:tblStylePr>
    <w:tblStylePr w:type="firstCol">
      <w:rPr>
        <w:b w:val="1"/>
        <w:bCs w:val="1"/>
      </w:rPr>
    </w:tblStylePr>
    <w:tblStylePr w:type="lastCol">
      <w:rPr>
        <w:b w:val="1"/>
        <w:bCs w:val="1"/>
      </w:rPr>
    </w:tblStylePr>
    <w:tblStylePr w:type="band1Vert">
      <w:tblPr/>
      <w:tcPr>
        <w:shd w:color="auto" w:fill="cdddac" w:themeFill="accent3" w:themeFillTint="00007F" w:val="clear"/>
      </w:tcPr>
    </w:tblStylePr>
    <w:tblStylePr w:type="band1Horz">
      <w:tblPr/>
      <w:tcPr>
        <w:shd w:color="auto" w:fill="cdddac" w:themeFill="accent3" w:themeFillTint="00007F" w:val="clear"/>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color="9f8ab9" w:space="0" w:sz="8" w:themeColor="accent4" w:themeTint="0000BF" w:val="single"/>
        <w:insideV w:color="9f8ab9" w:space="0" w:sz="8" w:themeColor="accent4" w:themeTint="0000BF" w:val="single"/>
      </w:tblBorders>
    </w:tblPr>
    <w:tcPr>
      <w:shd w:color="auto" w:fill="dfd8e8" w:themeFill="accent4" w:themeFillTint="00003F" w:val="clear"/>
    </w:tcPr>
    <w:tblStylePr w:type="firstRow">
      <w:rPr>
        <w:b w:val="1"/>
        <w:bCs w:val="1"/>
      </w:rPr>
    </w:tblStylePr>
    <w:tblStylePr w:type="lastRow">
      <w:rPr>
        <w:b w:val="1"/>
        <w:bCs w:val="1"/>
      </w:rPr>
      <w:tblPr/>
      <w:tcPr>
        <w:tcBorders>
          <w:top w:color="9f8ab9" w:space="0" w:sz="18" w:themeColor="accent4" w:themeTint="0000BF" w:val="single"/>
        </w:tcBorders>
      </w:tcPr>
    </w:tblStylePr>
    <w:tblStylePr w:type="firstCol">
      <w:rPr>
        <w:b w:val="1"/>
        <w:bCs w:val="1"/>
      </w:rPr>
    </w:tblStylePr>
    <w:tblStylePr w:type="lastCol">
      <w:rPr>
        <w:b w:val="1"/>
        <w:bCs w:val="1"/>
      </w:rPr>
    </w:tblStylePr>
    <w:tblStylePr w:type="band1Vert">
      <w:tblPr/>
      <w:tcPr>
        <w:shd w:color="auto" w:fill="bfb1d0" w:themeFill="accent4" w:themeFillTint="00007F" w:val="clear"/>
      </w:tcPr>
    </w:tblStylePr>
    <w:tblStylePr w:type="band1Horz">
      <w:tblPr/>
      <w:tcPr>
        <w:shd w:color="auto" w:fill="bfb1d0" w:themeFill="accent4" w:themeFillTint="00007F" w:val="clear"/>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color="78c0d4" w:space="0" w:sz="8" w:themeColor="accent5" w:themeTint="0000BF" w:val="single"/>
        <w:insideV w:color="78c0d4" w:space="0" w:sz="8" w:themeColor="accent5" w:themeTint="0000BF" w:val="single"/>
      </w:tblBorders>
    </w:tblPr>
    <w:tcPr>
      <w:shd w:color="auto" w:fill="d2eaf1" w:themeFill="accent5" w:themeFillTint="00003F" w:val="clear"/>
    </w:tcPr>
    <w:tblStylePr w:type="firstRow">
      <w:rPr>
        <w:b w:val="1"/>
        <w:bCs w:val="1"/>
      </w:rPr>
    </w:tblStylePr>
    <w:tblStylePr w:type="lastRow">
      <w:rPr>
        <w:b w:val="1"/>
        <w:bCs w:val="1"/>
      </w:rPr>
      <w:tblPr/>
      <w:tcPr>
        <w:tcBorders>
          <w:top w:color="78c0d4" w:space="0" w:sz="18" w:themeColor="accent5" w:themeTint="0000BF" w:val="single"/>
        </w:tcBorders>
      </w:tcPr>
    </w:tblStylePr>
    <w:tblStylePr w:type="firstCol">
      <w:rPr>
        <w:b w:val="1"/>
        <w:bCs w:val="1"/>
      </w:rPr>
    </w:tblStylePr>
    <w:tblStylePr w:type="lastCol">
      <w:rPr>
        <w:b w:val="1"/>
        <w:bCs w:val="1"/>
      </w:rPr>
    </w:tblStylePr>
    <w:tblStylePr w:type="band1Vert">
      <w:tblPr/>
      <w:tcPr>
        <w:shd w:color="auto" w:fill="a5d5e2" w:themeFill="accent5" w:themeFillTint="00007F" w:val="clear"/>
      </w:tcPr>
    </w:tblStylePr>
    <w:tblStylePr w:type="band1Horz">
      <w:tblPr/>
      <w:tcPr>
        <w:shd w:color="auto" w:fill="a5d5e2" w:themeFill="accent5" w:themeFillTint="00007F" w:val="clear"/>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color="f9b074" w:space="0" w:sz="8" w:themeColor="accent6" w:themeTint="0000BF" w:val="single"/>
        <w:insideV w:color="f9b074" w:space="0" w:sz="8" w:themeColor="accent6" w:themeTint="0000BF" w:val="single"/>
      </w:tblBorders>
    </w:tblPr>
    <w:tcPr>
      <w:shd w:color="auto" w:fill="fde4d0" w:themeFill="accent6" w:themeFillTint="00003F" w:val="clear"/>
    </w:tcPr>
    <w:tblStylePr w:type="firstRow">
      <w:rPr>
        <w:b w:val="1"/>
        <w:bCs w:val="1"/>
      </w:rPr>
    </w:tblStylePr>
    <w:tblStylePr w:type="lastRow">
      <w:rPr>
        <w:b w:val="1"/>
        <w:bCs w:val="1"/>
      </w:rPr>
      <w:tblPr/>
      <w:tcPr>
        <w:tcBorders>
          <w:top w:color="f9b074" w:space="0" w:sz="18" w:themeColor="accent6" w:themeTint="0000BF" w:val="single"/>
        </w:tcBorders>
      </w:tcPr>
    </w:tblStylePr>
    <w:tblStylePr w:type="firstCol">
      <w:rPr>
        <w:b w:val="1"/>
        <w:bCs w:val="1"/>
      </w:rPr>
    </w:tblStylePr>
    <w:tblStylePr w:type="lastCol">
      <w:rPr>
        <w:b w:val="1"/>
        <w:bCs w:val="1"/>
      </w:rPr>
    </w:tblStylePr>
    <w:tblStylePr w:type="band1Vert">
      <w:tblPr/>
      <w:tcPr>
        <w:shd w:color="auto" w:fill="fbcaa2" w:themeFill="accent6" w:themeFillTint="00007F" w:val="clear"/>
      </w:tcPr>
    </w:tblStylePr>
    <w:tblStylePr w:type="band1Horz">
      <w:tblPr/>
      <w:tcPr>
        <w:shd w:color="auto" w:fill="fbcaa2" w:themeFill="accent6" w:themeFillTint="00007F" w:val="clear"/>
      </w:tcPr>
    </w:tblStylePr>
  </w:style>
  <w:style w:type="table" w:styleId="MediumGrid2">
    <w:name w:val="Medium Grid 2"/>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Pr>
    <w:tcPr>
      <w:shd w:color="auto" w:fill="c0c0c0" w:themeFill="text1" w:themeFillTint="00003F" w:val="clear"/>
    </w:tcPr>
    <w:tblStylePr w:type="firstRow">
      <w:rPr>
        <w:b w:val="1"/>
        <w:bCs w:val="1"/>
        <w:color w:val="000000" w:themeColor="text1"/>
      </w:rPr>
      <w:tblPr/>
      <w:tcPr>
        <w:shd w:color="auto" w:fill="e6e6e6" w:themeFill="text1"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cccccc" w:themeFill="text1" w:themeFillTint="000033" w:val="clear"/>
      </w:tcPr>
    </w:tblStylePr>
    <w:tblStylePr w:type="band1Vert">
      <w:tblPr/>
      <w:tcPr>
        <w:shd w:color="auto" w:fill="808080" w:themeFill="text1" w:themeFillTint="00007F" w:val="clear"/>
      </w:tcPr>
    </w:tblStylePr>
    <w:tblStylePr w:type="band1Horz">
      <w:tblPr/>
      <w:tcPr>
        <w:tcBorders>
          <w:insideH w:color="000000" w:space="0" w:sz="6" w:themeColor="text1" w:val="single"/>
          <w:insideV w:color="000000" w:space="0" w:sz="6" w:themeColor="text1" w:val="single"/>
        </w:tcBorders>
        <w:shd w:color="auto" w:fill="808080" w:themeFill="text1" w:themeFillTint="00007F" w:val="clear"/>
      </w:tcPr>
    </w:tblStylePr>
    <w:tblStylePr w:type="nwCell">
      <w:tblPr/>
      <w:tcPr>
        <w:shd w:color="auto" w:fill="ffffff" w:themeFill="background1" w:val="clear"/>
      </w:tcPr>
    </w:tblStylePr>
  </w:style>
  <w:style w:type="table" w:styleId="MediumGrid2-Accent1">
    <w:name w:val="Medium Grid 2 Accent 1"/>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Pr>
    <w:tcPr>
      <w:shd w:color="auto" w:fill="d3dfee" w:themeFill="accent1" w:themeFillTint="00003F" w:val="clear"/>
    </w:tcPr>
    <w:tblStylePr w:type="firstRow">
      <w:rPr>
        <w:b w:val="1"/>
        <w:bCs w:val="1"/>
        <w:color w:val="000000" w:themeColor="text1"/>
      </w:rPr>
      <w:tblPr/>
      <w:tcPr>
        <w:shd w:color="auto" w:fill="edf2f8" w:themeFill="accent1"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dbe5f1" w:themeFill="accent1" w:themeFillTint="000033" w:val="clear"/>
      </w:tcPr>
    </w:tblStylePr>
    <w:tblStylePr w:type="band1Vert">
      <w:tblPr/>
      <w:tcPr>
        <w:shd w:color="auto" w:fill="a7bfde" w:themeFill="accent1" w:themeFillTint="00007F" w:val="clear"/>
      </w:tcPr>
    </w:tblStylePr>
    <w:tblStylePr w:type="band1Horz">
      <w:tblPr/>
      <w:tcPr>
        <w:tcBorders>
          <w:insideH w:color="4f81bd" w:space="0" w:sz="6" w:themeColor="accent1" w:val="single"/>
          <w:insideV w:color="4f81bd" w:space="0" w:sz="6" w:themeColor="accent1" w:val="single"/>
        </w:tcBorders>
        <w:shd w:color="auto" w:fill="a7bfde" w:themeFill="accent1" w:themeFillTint="00007F" w:val="clear"/>
      </w:tcPr>
    </w:tblStylePr>
    <w:tblStylePr w:type="nwCell">
      <w:tblPr/>
      <w:tcPr>
        <w:shd w:color="auto" w:fill="ffffff" w:themeFill="background1" w:val="clear"/>
      </w:tcPr>
    </w:tblStylePr>
  </w:style>
  <w:style w:type="table" w:styleId="MediumGrid2-Accent2">
    <w:name w:val="Medium Grid 2 Accent 2"/>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Pr>
    <w:tcPr>
      <w:shd w:color="auto" w:fill="efd3d2" w:themeFill="accent2" w:themeFillTint="00003F" w:val="clear"/>
    </w:tcPr>
    <w:tblStylePr w:type="firstRow">
      <w:rPr>
        <w:b w:val="1"/>
        <w:bCs w:val="1"/>
        <w:color w:val="000000" w:themeColor="text1"/>
      </w:rPr>
      <w:tblPr/>
      <w:tcPr>
        <w:shd w:color="auto" w:fill="f8eded" w:themeFill="accent2"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f2dbdb" w:themeFill="accent2" w:themeFillTint="000033" w:val="clear"/>
      </w:tcPr>
    </w:tblStylePr>
    <w:tblStylePr w:type="band1Vert">
      <w:tblPr/>
      <w:tcPr>
        <w:shd w:color="auto" w:fill="dfa7a6" w:themeFill="accent2" w:themeFillTint="00007F" w:val="clear"/>
      </w:tcPr>
    </w:tblStylePr>
    <w:tblStylePr w:type="band1Horz">
      <w:tblPr/>
      <w:tcPr>
        <w:tcBorders>
          <w:insideH w:color="c0504d" w:space="0" w:sz="6" w:themeColor="accent2" w:val="single"/>
          <w:insideV w:color="c0504d" w:space="0" w:sz="6" w:themeColor="accent2" w:val="single"/>
        </w:tcBorders>
        <w:shd w:color="auto" w:fill="dfa7a6" w:themeFill="accent2" w:themeFillTint="00007F" w:val="clear"/>
      </w:tcPr>
    </w:tblStylePr>
    <w:tblStylePr w:type="nwCell">
      <w:tblPr/>
      <w:tcPr>
        <w:shd w:color="auto" w:fill="ffffff" w:themeFill="background1" w:val="clear"/>
      </w:tcPr>
    </w:tblStylePr>
  </w:style>
  <w:style w:type="table" w:styleId="MediumGrid2-Accent3">
    <w:name w:val="Medium Grid 2 Accent 3"/>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Pr>
    <w:tcPr>
      <w:shd w:color="auto" w:fill="e6eed5" w:themeFill="accent3" w:themeFillTint="00003F" w:val="clear"/>
    </w:tcPr>
    <w:tblStylePr w:type="firstRow">
      <w:rPr>
        <w:b w:val="1"/>
        <w:bCs w:val="1"/>
        <w:color w:val="000000" w:themeColor="text1"/>
      </w:rPr>
      <w:tblPr/>
      <w:tcPr>
        <w:shd w:color="auto" w:fill="f5f8ee" w:themeFill="accent3"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eaf1dd" w:themeFill="accent3" w:themeFillTint="000033" w:val="clear"/>
      </w:tcPr>
    </w:tblStylePr>
    <w:tblStylePr w:type="band1Vert">
      <w:tblPr/>
      <w:tcPr>
        <w:shd w:color="auto" w:fill="cdddac" w:themeFill="accent3" w:themeFillTint="00007F" w:val="clear"/>
      </w:tcPr>
    </w:tblStylePr>
    <w:tblStylePr w:type="band1Horz">
      <w:tblPr/>
      <w:tcPr>
        <w:tcBorders>
          <w:insideH w:color="9bbb59" w:space="0" w:sz="6" w:themeColor="accent3" w:val="single"/>
          <w:insideV w:color="9bbb59" w:space="0" w:sz="6" w:themeColor="accent3" w:val="single"/>
        </w:tcBorders>
        <w:shd w:color="auto" w:fill="cdddac" w:themeFill="accent3" w:themeFillTint="00007F" w:val="clear"/>
      </w:tcPr>
    </w:tblStylePr>
    <w:tblStylePr w:type="nwCell">
      <w:tblPr/>
      <w:tcPr>
        <w:shd w:color="auto" w:fill="ffffff" w:themeFill="background1" w:val="clear"/>
      </w:tcPr>
    </w:tblStylePr>
  </w:style>
  <w:style w:type="table" w:styleId="MediumGrid2-Accent4">
    <w:name w:val="Medium Grid 2 Accent 4"/>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Pr>
    <w:tcPr>
      <w:shd w:color="auto" w:fill="dfd8e8" w:themeFill="accent4" w:themeFillTint="00003F" w:val="clear"/>
    </w:tcPr>
    <w:tblStylePr w:type="firstRow">
      <w:rPr>
        <w:b w:val="1"/>
        <w:bCs w:val="1"/>
        <w:color w:val="000000" w:themeColor="text1"/>
      </w:rPr>
      <w:tblPr/>
      <w:tcPr>
        <w:shd w:color="auto" w:fill="f2eff6" w:themeFill="accent4"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e5dfec" w:themeFill="accent4" w:themeFillTint="000033" w:val="clear"/>
      </w:tcPr>
    </w:tblStylePr>
    <w:tblStylePr w:type="band1Vert">
      <w:tblPr/>
      <w:tcPr>
        <w:shd w:color="auto" w:fill="bfb1d0" w:themeFill="accent4" w:themeFillTint="00007F" w:val="clear"/>
      </w:tcPr>
    </w:tblStylePr>
    <w:tblStylePr w:type="band1Horz">
      <w:tblPr/>
      <w:tcPr>
        <w:tcBorders>
          <w:insideH w:color="8064a2" w:space="0" w:sz="6" w:themeColor="accent4" w:val="single"/>
          <w:insideV w:color="8064a2" w:space="0" w:sz="6" w:themeColor="accent4" w:val="single"/>
        </w:tcBorders>
        <w:shd w:color="auto" w:fill="bfb1d0" w:themeFill="accent4" w:themeFillTint="00007F" w:val="clear"/>
      </w:tcPr>
    </w:tblStylePr>
    <w:tblStylePr w:type="nwCell">
      <w:tblPr/>
      <w:tcPr>
        <w:shd w:color="auto" w:fill="ffffff" w:themeFill="background1" w:val="clear"/>
      </w:tcPr>
    </w:tblStylePr>
  </w:style>
  <w:style w:type="table" w:styleId="MediumGrid2-Accent5">
    <w:name w:val="Medium Grid 2 Accent 5"/>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Pr>
    <w:tcPr>
      <w:shd w:color="auto" w:fill="d2eaf1" w:themeFill="accent5" w:themeFillTint="00003F" w:val="clear"/>
    </w:tcPr>
    <w:tblStylePr w:type="firstRow">
      <w:rPr>
        <w:b w:val="1"/>
        <w:bCs w:val="1"/>
        <w:color w:val="000000" w:themeColor="text1"/>
      </w:rPr>
      <w:tblPr/>
      <w:tcPr>
        <w:shd w:color="auto" w:fill="edf6f9" w:themeFill="accent5"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daeef3" w:themeFill="accent5" w:themeFillTint="000033" w:val="clear"/>
      </w:tcPr>
    </w:tblStylePr>
    <w:tblStylePr w:type="band1Vert">
      <w:tblPr/>
      <w:tcPr>
        <w:shd w:color="auto" w:fill="a5d5e2" w:themeFill="accent5" w:themeFillTint="00007F" w:val="clear"/>
      </w:tcPr>
    </w:tblStylePr>
    <w:tblStylePr w:type="band1Horz">
      <w:tblPr/>
      <w:tcPr>
        <w:tcBorders>
          <w:insideH w:color="4bacc6" w:space="0" w:sz="6" w:themeColor="accent5" w:val="single"/>
          <w:insideV w:color="4bacc6" w:space="0" w:sz="6" w:themeColor="accent5" w:val="single"/>
        </w:tcBorders>
        <w:shd w:color="auto" w:fill="a5d5e2" w:themeFill="accent5" w:themeFillTint="00007F" w:val="clear"/>
      </w:tcPr>
    </w:tblStylePr>
    <w:tblStylePr w:type="nwCell">
      <w:tblPr/>
      <w:tcPr>
        <w:shd w:color="auto" w:fill="ffffff" w:themeFill="background1" w:val="clear"/>
      </w:tcPr>
    </w:tblStylePr>
  </w:style>
  <w:style w:type="table" w:styleId="MediumGrid2-Accent6">
    <w:name w:val="Medium Grid 2 Accent 6"/>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Pr>
    <w:tcPr>
      <w:shd w:color="auto" w:fill="fde4d0" w:themeFill="accent6" w:themeFillTint="00003F" w:val="clear"/>
    </w:tcPr>
    <w:tblStylePr w:type="firstRow">
      <w:rPr>
        <w:b w:val="1"/>
        <w:bCs w:val="1"/>
        <w:color w:val="000000" w:themeColor="text1"/>
      </w:rPr>
      <w:tblPr/>
      <w:tcPr>
        <w:shd w:color="auto" w:fill="fef4ec" w:themeFill="accent6"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fde9d9" w:themeFill="accent6" w:themeFillTint="000033" w:val="clear"/>
      </w:tcPr>
    </w:tblStylePr>
    <w:tblStylePr w:type="band1Vert">
      <w:tblPr/>
      <w:tcPr>
        <w:shd w:color="auto" w:fill="fbcaa2" w:themeFill="accent6" w:themeFillTint="00007F" w:val="clear"/>
      </w:tcPr>
    </w:tblStylePr>
    <w:tblStylePr w:type="band1Horz">
      <w:tblPr/>
      <w:tcPr>
        <w:tcBorders>
          <w:insideH w:color="f79646" w:space="0" w:sz="6" w:themeColor="accent6" w:val="single"/>
          <w:insideV w:color="f79646" w:space="0" w:sz="6" w:themeColor="accent6" w:val="single"/>
        </w:tcBorders>
        <w:shd w:color="auto" w:fill="fbcaa2" w:themeFill="accent6" w:themeFillTint="00007F" w:val="clear"/>
      </w:tcPr>
    </w:tblStylePr>
    <w:tblStylePr w:type="nwCell">
      <w:tblPr/>
      <w:tcPr>
        <w:shd w:color="auto" w:fill="ffffff" w:themeFill="background1" w:val="clear"/>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c0c0c0" w:themeFill="text1"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000000" w:themeFill="text1"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000000" w:themeFill="text1"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000000" w:themeFill="text1"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000000" w:themeFill="tex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808080" w:themeFill="text1"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808080" w:themeFill="text1" w:themeFillTint="00007F" w:val="clear"/>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3dfee" w:themeFill="accent1"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4f81bd" w:themeFill="accent1"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4f81bd" w:themeFill="accent1"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4f81bd" w:themeFill="accent1"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4f81bd" w:themeFill="accen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a7bfde" w:themeFill="accent1"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7bfde" w:themeFill="accent1" w:themeFillTint="00007F" w:val="clear"/>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efd3d2" w:themeFill="accent2"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c0504d" w:themeFill="accent2"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c0504d" w:themeFill="accent2"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c0504d" w:themeFill="accent2"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c0504d" w:themeFill="accent2"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dfa7a6" w:themeFill="accent2"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dfa7a6" w:themeFill="accent2" w:themeFillTint="00007F" w:val="clear"/>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e6eed5" w:themeFill="accent3"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9bbb59" w:themeFill="accent3"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9bbb59" w:themeFill="accent3"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9bbb59" w:themeFill="accent3"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9bbb59" w:themeFill="accent3"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cdddac" w:themeFill="accent3"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cdddac" w:themeFill="accent3" w:themeFillTint="00007F" w:val="clear"/>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fd8e8" w:themeFill="accent4"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8064a2" w:themeFill="accent4"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8064a2" w:themeFill="accent4"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8064a2" w:themeFill="accent4"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8064a2" w:themeFill="accent4"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bfb1d0" w:themeFill="accent4"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bfb1d0" w:themeFill="accent4" w:themeFillTint="00007F" w:val="clear"/>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2eaf1" w:themeFill="accent5"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4bacc6" w:themeFill="accent5"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4bacc6" w:themeFill="accent5"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4bacc6" w:themeFill="accent5"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4bacc6" w:themeFill="accent5"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a5d5e2" w:themeFill="accent5"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5d5e2" w:themeFill="accent5" w:themeFillTint="00007F" w:val="clear"/>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fde4d0" w:themeFill="accent6"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f79646" w:themeFill="accent6"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f79646" w:themeFill="accent6"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f79646" w:themeFill="accent6"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f79646" w:themeFill="accent6"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fbcaa2" w:themeFill="accent6"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fbcaa2" w:themeFill="accent6" w:themeFillTint="00007F" w:val="clear"/>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color="auto" w:fill="000000" w:themeFill="text1"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000000" w:themeFill="text1"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000000" w:themeFill="text1"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000000" w:themeFill="text1"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color="auto" w:fill="4f81bd" w:themeFill="accent1"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243f60" w:themeFill="accent1"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365f91" w:themeFill="accent1"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365f91" w:themeFill="accent1"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365f91" w:themeFill="accent1"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365f91" w:themeFill="accent1" w:themeFillShade="0000BF" w:val="clear"/>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color="auto" w:fill="c0504d" w:themeFill="accent2"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622423" w:themeFill="accent2"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943634" w:themeFill="accent2"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943634" w:themeFill="accent2"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943634" w:themeFill="accent2"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943634" w:themeFill="accent2" w:themeFillShade="0000BF" w:val="clear"/>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color="auto" w:fill="9bbb59" w:themeFill="accent3"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4e6128" w:themeFill="accent3"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76923c" w:themeFill="accent3"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76923c" w:themeFill="accent3"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76923c" w:themeFill="accent3"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76923c" w:themeFill="accent3" w:themeFillShade="0000BF" w:val="clear"/>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color="auto" w:fill="8064a2" w:themeFill="accent4"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3f3151" w:themeFill="accent4"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5f497a" w:themeFill="accent4"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5f497a" w:themeFill="accent4"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5f497a" w:themeFill="accent4"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5f497a" w:themeFill="accent4" w:themeFillShade="0000BF" w:val="clear"/>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color="auto" w:fill="4bacc6" w:themeFill="accent5"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205867" w:themeFill="accent5"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31849b" w:themeFill="accent5"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31849b" w:themeFill="accent5"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31849b" w:themeFill="accent5"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31849b" w:themeFill="accent5" w:themeFillShade="0000BF" w:val="clear"/>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color="auto" w:fill="f79646" w:themeFill="accent6"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974706" w:themeFill="accent6"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e36c0a" w:themeFill="accent6"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e36c0a" w:themeFill="accent6"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e36c0a" w:themeFill="accent6"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e36c0a" w:themeFill="accent6" w:themeFillShade="0000BF" w:val="clear"/>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color="c0504d" w:space="0" w:sz="24" w:themeColor="accent2" w:val="single"/>
        <w:left w:color="000000" w:space="0" w:sz="4" w:themeColor="text1" w:val="single"/>
        <w:bottom w:color="000000" w:space="0" w:sz="4" w:themeColor="text1" w:val="single"/>
        <w:right w:color="000000" w:space="0" w:sz="4" w:themeColor="text1" w:val="single"/>
        <w:insideH w:color="ffffff" w:space="0" w:sz="4" w:themeColor="background1" w:val="single"/>
        <w:insideV w:color="ffffff" w:space="0" w:sz="4" w:themeColor="background1" w:val="single"/>
      </w:tblBorders>
    </w:tblPr>
    <w:tcPr>
      <w:shd w:color="auto" w:fill="e6e6e6" w:themeFill="text1"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000000" w:themeFill="text1" w:themeFillShade="000099" w:val="clear"/>
      </w:tcPr>
    </w:tblStylePr>
    <w:tblStylePr w:type="firstCol">
      <w:rPr>
        <w:color w:val="ffffff" w:themeColor="background1"/>
      </w:rPr>
      <w:tblPr/>
      <w:tcPr>
        <w:tcBorders>
          <w:top w:space="0" w:sz="0" w:val="nil"/>
          <w:left w:space="0" w:sz="0" w:val="nil"/>
          <w:bottom w:space="0" w:sz="0" w:val="nil"/>
          <w:right w:space="0" w:sz="0" w:val="nil"/>
          <w:insideH w:color="000000" w:space="0" w:sz="4" w:themeColor="text1" w:themeShade="000099" w:val="single"/>
          <w:insideV w:space="0" w:sz="0" w:val="nil"/>
        </w:tcBorders>
        <w:shd w:color="auto" w:fill="000000" w:themeFill="text1"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tblStylePr w:type="band1Vert">
      <w:tblPr/>
      <w:tcPr>
        <w:shd w:color="auto" w:fill="999999" w:themeFill="text1" w:themeFillTint="000066" w:val="clear"/>
      </w:tcPr>
    </w:tblStylePr>
    <w:tblStylePr w:type="band1Horz">
      <w:tblPr/>
      <w:tcPr>
        <w:shd w:color="auto" w:fill="808080" w:themeFill="text1" w:themeFillTint="00007F" w:val="clear"/>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color="c0504d" w:space="0" w:sz="24" w:themeColor="accent2" w:val="single"/>
        <w:left w:color="4f81bd" w:space="0" w:sz="4" w:themeColor="accent1" w:val="single"/>
        <w:bottom w:color="4f81bd" w:space="0" w:sz="4" w:themeColor="accent1" w:val="single"/>
        <w:right w:color="4f81bd" w:space="0" w:sz="4" w:themeColor="accent1" w:val="single"/>
        <w:insideH w:color="ffffff" w:space="0" w:sz="4" w:themeColor="background1" w:val="single"/>
        <w:insideV w:color="ffffff" w:space="0" w:sz="4" w:themeColor="background1" w:val="single"/>
      </w:tblBorders>
    </w:tblPr>
    <w:tcPr>
      <w:shd w:color="auto" w:fill="edf2f8" w:themeFill="accent1"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2c4c74" w:themeFill="accent1" w:themeFillShade="000099" w:val="clear"/>
      </w:tcPr>
    </w:tblStylePr>
    <w:tblStylePr w:type="firstCol">
      <w:rPr>
        <w:color w:val="ffffff" w:themeColor="background1"/>
      </w:rPr>
      <w:tblPr/>
      <w:tcPr>
        <w:tcBorders>
          <w:top w:space="0" w:sz="0" w:val="nil"/>
          <w:left w:space="0" w:sz="0" w:val="nil"/>
          <w:bottom w:space="0" w:sz="0" w:val="nil"/>
          <w:right w:space="0" w:sz="0" w:val="nil"/>
          <w:insideH w:color="2c4c74" w:space="0" w:sz="4" w:themeColor="accent1" w:themeShade="000099" w:val="single"/>
          <w:insideV w:space="0" w:sz="0" w:val="nil"/>
        </w:tcBorders>
        <w:shd w:color="auto" w:fill="2c4c74" w:themeFill="accent1"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2c4c74" w:themeFill="accent1" w:themeFillShade="000099" w:val="clear"/>
      </w:tcPr>
    </w:tblStylePr>
    <w:tblStylePr w:type="band1Vert">
      <w:tblPr/>
      <w:tcPr>
        <w:shd w:color="auto" w:fill="b8cce4" w:themeFill="accent1" w:themeFillTint="000066" w:val="clear"/>
      </w:tcPr>
    </w:tblStylePr>
    <w:tblStylePr w:type="band1Horz">
      <w:tblPr/>
      <w:tcPr>
        <w:shd w:color="auto" w:fill="a7bfde" w:themeFill="accent1" w:themeFillTint="00007F" w:val="clear"/>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color="c0504d" w:space="0" w:sz="24" w:themeColor="accent2" w:val="single"/>
        <w:left w:color="c0504d" w:space="0" w:sz="4" w:themeColor="accent2" w:val="single"/>
        <w:bottom w:color="c0504d" w:space="0" w:sz="4" w:themeColor="accent2" w:val="single"/>
        <w:right w:color="c0504d" w:space="0" w:sz="4" w:themeColor="accent2" w:val="single"/>
        <w:insideH w:color="ffffff" w:space="0" w:sz="4" w:themeColor="background1" w:val="single"/>
        <w:insideV w:color="ffffff" w:space="0" w:sz="4" w:themeColor="background1" w:val="single"/>
      </w:tblBorders>
    </w:tblPr>
    <w:tcPr>
      <w:shd w:color="auto" w:fill="f8eded" w:themeFill="accent2"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772c2a" w:themeFill="accent2" w:themeFillShade="000099" w:val="clear"/>
      </w:tcPr>
    </w:tblStylePr>
    <w:tblStylePr w:type="firstCol">
      <w:rPr>
        <w:color w:val="ffffff" w:themeColor="background1"/>
      </w:rPr>
      <w:tblPr/>
      <w:tcPr>
        <w:tcBorders>
          <w:top w:space="0" w:sz="0" w:val="nil"/>
          <w:left w:space="0" w:sz="0" w:val="nil"/>
          <w:bottom w:space="0" w:sz="0" w:val="nil"/>
          <w:right w:space="0" w:sz="0" w:val="nil"/>
          <w:insideH w:color="772c2a" w:space="0" w:sz="4" w:themeColor="accent2" w:themeShade="000099" w:val="single"/>
          <w:insideV w:space="0" w:sz="0" w:val="nil"/>
        </w:tcBorders>
        <w:shd w:color="auto" w:fill="772c2a" w:themeFill="accent2"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772c2a" w:themeFill="accent2" w:themeFillShade="000099" w:val="clear"/>
      </w:tcPr>
    </w:tblStylePr>
    <w:tblStylePr w:type="band1Vert">
      <w:tblPr/>
      <w:tcPr>
        <w:shd w:color="auto" w:fill="e5b8b7" w:themeFill="accent2" w:themeFillTint="000066" w:val="clear"/>
      </w:tcPr>
    </w:tblStylePr>
    <w:tblStylePr w:type="band1Horz">
      <w:tblPr/>
      <w:tcPr>
        <w:shd w:color="auto" w:fill="dfa7a6" w:themeFill="accent2" w:themeFillTint="00007F" w:val="clear"/>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color="8064a2" w:space="0" w:sz="24" w:themeColor="accent4" w:val="single"/>
        <w:left w:color="9bbb59" w:space="0" w:sz="4" w:themeColor="accent3" w:val="single"/>
        <w:bottom w:color="9bbb59" w:space="0" w:sz="4" w:themeColor="accent3" w:val="single"/>
        <w:right w:color="9bbb59" w:space="0" w:sz="4" w:themeColor="accent3" w:val="single"/>
        <w:insideH w:color="ffffff" w:space="0" w:sz="4" w:themeColor="background1" w:val="single"/>
        <w:insideV w:color="ffffff" w:space="0" w:sz="4" w:themeColor="background1" w:val="single"/>
      </w:tblBorders>
    </w:tblPr>
    <w:tcPr>
      <w:shd w:color="auto" w:fill="f5f8ee" w:themeFill="accent3" w:themeFillTint="000019" w:val="clear"/>
    </w:tcPr>
    <w:tblStylePr w:type="firstRow">
      <w:rPr>
        <w:b w:val="1"/>
        <w:bCs w:val="1"/>
      </w:rPr>
      <w:tblPr/>
      <w:tcPr>
        <w:tcBorders>
          <w:top w:space="0" w:sz="0" w:val="nil"/>
          <w:left w:space="0" w:sz="0" w:val="nil"/>
          <w:bottom w:color="8064a2" w:space="0" w:sz="24" w:themeColor="accent4"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5e7530" w:themeFill="accent3" w:themeFillShade="000099" w:val="clear"/>
      </w:tcPr>
    </w:tblStylePr>
    <w:tblStylePr w:type="firstCol">
      <w:rPr>
        <w:color w:val="ffffff" w:themeColor="background1"/>
      </w:rPr>
      <w:tblPr/>
      <w:tcPr>
        <w:tcBorders>
          <w:top w:space="0" w:sz="0" w:val="nil"/>
          <w:left w:space="0" w:sz="0" w:val="nil"/>
          <w:bottom w:space="0" w:sz="0" w:val="nil"/>
          <w:right w:space="0" w:sz="0" w:val="nil"/>
          <w:insideH w:color="5e7530" w:space="0" w:sz="4" w:themeColor="accent3" w:themeShade="000099" w:val="single"/>
          <w:insideV w:space="0" w:sz="0" w:val="nil"/>
        </w:tcBorders>
        <w:shd w:color="auto" w:fill="5e7530" w:themeFill="accent3"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5e7530" w:themeFill="accent3" w:themeFillShade="000099" w:val="clear"/>
      </w:tcPr>
    </w:tblStylePr>
    <w:tblStylePr w:type="band1Vert">
      <w:tblPr/>
      <w:tcPr>
        <w:shd w:color="auto" w:fill="d6e3bc" w:themeFill="accent3" w:themeFillTint="000066" w:val="clear"/>
      </w:tcPr>
    </w:tblStylePr>
    <w:tblStylePr w:type="band1Horz">
      <w:tblPr/>
      <w:tcPr>
        <w:shd w:color="auto" w:fill="cdddac" w:themeFill="accent3" w:themeFillTint="00007F" w:val="clear"/>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color="9bbb59" w:space="0" w:sz="24" w:themeColor="accent3" w:val="single"/>
        <w:left w:color="8064a2" w:space="0" w:sz="4" w:themeColor="accent4" w:val="single"/>
        <w:bottom w:color="8064a2" w:space="0" w:sz="4" w:themeColor="accent4" w:val="single"/>
        <w:right w:color="8064a2" w:space="0" w:sz="4" w:themeColor="accent4" w:val="single"/>
        <w:insideH w:color="ffffff" w:space="0" w:sz="4" w:themeColor="background1" w:val="single"/>
        <w:insideV w:color="ffffff" w:space="0" w:sz="4" w:themeColor="background1" w:val="single"/>
      </w:tblBorders>
    </w:tblPr>
    <w:tcPr>
      <w:shd w:color="auto" w:fill="f2eff6" w:themeFill="accent4" w:themeFillTint="000019" w:val="clear"/>
    </w:tcPr>
    <w:tblStylePr w:type="firstRow">
      <w:rPr>
        <w:b w:val="1"/>
        <w:bCs w:val="1"/>
      </w:rPr>
      <w:tblPr/>
      <w:tcPr>
        <w:tcBorders>
          <w:top w:space="0" w:sz="0" w:val="nil"/>
          <w:left w:space="0" w:sz="0" w:val="nil"/>
          <w:bottom w:color="9bbb59" w:space="0" w:sz="24" w:themeColor="accent3"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4c3b62" w:themeFill="accent4" w:themeFillShade="000099" w:val="clear"/>
      </w:tcPr>
    </w:tblStylePr>
    <w:tblStylePr w:type="firstCol">
      <w:rPr>
        <w:color w:val="ffffff" w:themeColor="background1"/>
      </w:rPr>
      <w:tblPr/>
      <w:tcPr>
        <w:tcBorders>
          <w:top w:space="0" w:sz="0" w:val="nil"/>
          <w:left w:space="0" w:sz="0" w:val="nil"/>
          <w:bottom w:space="0" w:sz="0" w:val="nil"/>
          <w:right w:space="0" w:sz="0" w:val="nil"/>
          <w:insideH w:color="4c3b62" w:space="0" w:sz="4" w:themeColor="accent4" w:themeShade="000099" w:val="single"/>
          <w:insideV w:space="0" w:sz="0" w:val="nil"/>
        </w:tcBorders>
        <w:shd w:color="auto" w:fill="4c3b62" w:themeFill="accent4"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4c3b62" w:themeFill="accent4" w:themeFillShade="000099" w:val="clear"/>
      </w:tcPr>
    </w:tblStylePr>
    <w:tblStylePr w:type="band1Vert">
      <w:tblPr/>
      <w:tcPr>
        <w:shd w:color="auto" w:fill="ccc0d9" w:themeFill="accent4" w:themeFillTint="000066" w:val="clear"/>
      </w:tcPr>
    </w:tblStylePr>
    <w:tblStylePr w:type="band1Horz">
      <w:tblPr/>
      <w:tcPr>
        <w:shd w:color="auto" w:fill="bfb1d0" w:themeFill="accent4" w:themeFillTint="00007F" w:val="clear"/>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color="f79646" w:space="0" w:sz="24" w:themeColor="accent6" w:val="single"/>
        <w:left w:color="4bacc6" w:space="0" w:sz="4" w:themeColor="accent5" w:val="single"/>
        <w:bottom w:color="4bacc6" w:space="0" w:sz="4" w:themeColor="accent5" w:val="single"/>
        <w:right w:color="4bacc6" w:space="0" w:sz="4" w:themeColor="accent5" w:val="single"/>
        <w:insideH w:color="ffffff" w:space="0" w:sz="4" w:themeColor="background1" w:val="single"/>
        <w:insideV w:color="ffffff" w:space="0" w:sz="4" w:themeColor="background1" w:val="single"/>
      </w:tblBorders>
    </w:tblPr>
    <w:tcPr>
      <w:shd w:color="auto" w:fill="edf6f9" w:themeFill="accent5" w:themeFillTint="000019" w:val="clear"/>
    </w:tcPr>
    <w:tblStylePr w:type="firstRow">
      <w:rPr>
        <w:b w:val="1"/>
        <w:bCs w:val="1"/>
      </w:rPr>
      <w:tblPr/>
      <w:tcPr>
        <w:tcBorders>
          <w:top w:space="0" w:sz="0" w:val="nil"/>
          <w:left w:space="0" w:sz="0" w:val="nil"/>
          <w:bottom w:color="f79646" w:space="0" w:sz="24" w:themeColor="accent6"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276a7c" w:themeFill="accent5" w:themeFillShade="000099" w:val="clear"/>
      </w:tcPr>
    </w:tblStylePr>
    <w:tblStylePr w:type="firstCol">
      <w:rPr>
        <w:color w:val="ffffff" w:themeColor="background1"/>
      </w:rPr>
      <w:tblPr/>
      <w:tcPr>
        <w:tcBorders>
          <w:top w:space="0" w:sz="0" w:val="nil"/>
          <w:left w:space="0" w:sz="0" w:val="nil"/>
          <w:bottom w:space="0" w:sz="0" w:val="nil"/>
          <w:right w:space="0" w:sz="0" w:val="nil"/>
          <w:insideH w:color="276a7c" w:space="0" w:sz="4" w:themeColor="accent5" w:themeShade="000099" w:val="single"/>
          <w:insideV w:space="0" w:sz="0" w:val="nil"/>
        </w:tcBorders>
        <w:shd w:color="auto" w:fill="276a7c" w:themeFill="accent5"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276a7c" w:themeFill="accent5" w:themeFillShade="000099" w:val="clear"/>
      </w:tcPr>
    </w:tblStylePr>
    <w:tblStylePr w:type="band1Vert">
      <w:tblPr/>
      <w:tcPr>
        <w:shd w:color="auto" w:fill="b6dde8" w:themeFill="accent5" w:themeFillTint="000066" w:val="clear"/>
      </w:tcPr>
    </w:tblStylePr>
    <w:tblStylePr w:type="band1Horz">
      <w:tblPr/>
      <w:tcPr>
        <w:shd w:color="auto" w:fill="a5d5e2" w:themeFill="accent5" w:themeFillTint="00007F" w:val="clear"/>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color="4bacc6" w:space="0" w:sz="24" w:themeColor="accent5" w:val="single"/>
        <w:left w:color="f79646" w:space="0" w:sz="4" w:themeColor="accent6" w:val="single"/>
        <w:bottom w:color="f79646" w:space="0" w:sz="4" w:themeColor="accent6" w:val="single"/>
        <w:right w:color="f79646" w:space="0" w:sz="4" w:themeColor="accent6" w:val="single"/>
        <w:insideH w:color="ffffff" w:space="0" w:sz="4" w:themeColor="background1" w:val="single"/>
        <w:insideV w:color="ffffff" w:space="0" w:sz="4" w:themeColor="background1" w:val="single"/>
      </w:tblBorders>
    </w:tblPr>
    <w:tcPr>
      <w:shd w:color="auto" w:fill="fef4ec" w:themeFill="accent6" w:themeFillTint="000019" w:val="clear"/>
    </w:tcPr>
    <w:tblStylePr w:type="firstRow">
      <w:rPr>
        <w:b w:val="1"/>
        <w:bCs w:val="1"/>
      </w:rPr>
      <w:tblPr/>
      <w:tcPr>
        <w:tcBorders>
          <w:top w:space="0" w:sz="0" w:val="nil"/>
          <w:left w:space="0" w:sz="0" w:val="nil"/>
          <w:bottom w:color="4bacc6" w:space="0" w:sz="24" w:themeColor="accent5"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b65608" w:themeFill="accent6" w:themeFillShade="000099" w:val="clear"/>
      </w:tcPr>
    </w:tblStylePr>
    <w:tblStylePr w:type="firstCol">
      <w:rPr>
        <w:color w:val="ffffff" w:themeColor="background1"/>
      </w:rPr>
      <w:tblPr/>
      <w:tcPr>
        <w:tcBorders>
          <w:top w:space="0" w:sz="0" w:val="nil"/>
          <w:left w:space="0" w:sz="0" w:val="nil"/>
          <w:bottom w:space="0" w:sz="0" w:val="nil"/>
          <w:right w:space="0" w:sz="0" w:val="nil"/>
          <w:insideH w:color="b65608" w:space="0" w:sz="4" w:themeColor="accent6" w:themeShade="000099" w:val="single"/>
          <w:insideV w:space="0" w:sz="0" w:val="nil"/>
        </w:tcBorders>
        <w:shd w:color="auto" w:fill="b65608" w:themeFill="accent6"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b65608" w:themeFill="accent6" w:themeFillShade="000099" w:val="clear"/>
      </w:tcPr>
    </w:tblStylePr>
    <w:tblStylePr w:type="band1Vert">
      <w:tblPr/>
      <w:tcPr>
        <w:shd w:color="auto" w:fill="fbd4b4" w:themeFill="accent6" w:themeFillTint="000066" w:val="clear"/>
      </w:tcPr>
    </w:tblStylePr>
    <w:tblStylePr w:type="band1Horz">
      <w:tblPr/>
      <w:tcPr>
        <w:shd w:color="auto" w:fill="fbcaa2" w:themeFill="accent6" w:themeFillTint="00007F" w:val="clear"/>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color="auto" w:fill="e6e6e6" w:themeFill="text1"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c0c0c0" w:themeFill="text1" w:themeFillTint="00003F" w:val="clear"/>
      </w:tcPr>
    </w:tblStylePr>
    <w:tblStylePr w:type="band1Horz">
      <w:tblPr/>
      <w:tcPr>
        <w:shd w:color="auto" w:fill="cccccc" w:themeFill="text1" w:themeFillTint="000033" w:val="clear"/>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color="auto" w:fill="edf2f8" w:themeFill="accent1"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3dfee" w:themeFill="accent1" w:themeFillTint="00003F" w:val="clear"/>
      </w:tcPr>
    </w:tblStylePr>
    <w:tblStylePr w:type="band1Horz">
      <w:tblPr/>
      <w:tcPr>
        <w:shd w:color="auto" w:fill="dbe5f1" w:themeFill="accent1" w:themeFillTint="000033" w:val="clear"/>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color="auto" w:fill="f8eded" w:themeFill="accent2"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efd3d2" w:themeFill="accent2" w:themeFillTint="00003F" w:val="clear"/>
      </w:tcPr>
    </w:tblStylePr>
    <w:tblStylePr w:type="band1Horz">
      <w:tblPr/>
      <w:tcPr>
        <w:shd w:color="auto" w:fill="f2dbdb" w:themeFill="accent2" w:themeFillTint="000033" w:val="clear"/>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color="auto" w:fill="f5f8ee" w:themeFill="accent3" w:themeFillTint="000019" w:val="clear"/>
    </w:tcPr>
    <w:tblStylePr w:type="firstRow">
      <w:rPr>
        <w:b w:val="1"/>
        <w:bCs w:val="1"/>
        <w:color w:val="ffffff" w:themeColor="background1"/>
      </w:rPr>
      <w:tblPr/>
      <w:tcPr>
        <w:tcBorders>
          <w:bottom w:color="ffffff" w:space="0" w:sz="12" w:themeColor="background1" w:val="single"/>
        </w:tcBorders>
        <w:shd w:color="auto" w:fill="664e82" w:themeFill="accent4" w:themeFillShade="0000CC" w:val="clear"/>
      </w:tcPr>
    </w:tblStylePr>
    <w:tblStylePr w:type="lastRow">
      <w:rPr>
        <w:b w:val="1"/>
        <w:bCs w:val="1"/>
        <w:color w:val="664e82" w:themeColor="accent4"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e6eed5" w:themeFill="accent3" w:themeFillTint="00003F" w:val="clear"/>
      </w:tcPr>
    </w:tblStylePr>
    <w:tblStylePr w:type="band1Horz">
      <w:tblPr/>
      <w:tcPr>
        <w:shd w:color="auto" w:fill="eaf1dd" w:themeFill="accent3" w:themeFillTint="000033" w:val="clear"/>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color="auto" w:fill="f2eff6" w:themeFill="accent4" w:themeFillTint="000019" w:val="clear"/>
    </w:tcPr>
    <w:tblStylePr w:type="firstRow">
      <w:rPr>
        <w:b w:val="1"/>
        <w:bCs w:val="1"/>
        <w:color w:val="ffffff" w:themeColor="background1"/>
      </w:rPr>
      <w:tblPr/>
      <w:tcPr>
        <w:tcBorders>
          <w:bottom w:color="ffffff" w:space="0" w:sz="12" w:themeColor="background1" w:val="single"/>
        </w:tcBorders>
        <w:shd w:color="auto" w:fill="7e9c40" w:themeFill="accent3" w:themeFillShade="0000CC" w:val="clear"/>
      </w:tcPr>
    </w:tblStylePr>
    <w:tblStylePr w:type="lastRow">
      <w:rPr>
        <w:b w:val="1"/>
        <w:bCs w:val="1"/>
        <w:color w:val="7e9c40" w:themeColor="accent3"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fd8e8" w:themeFill="accent4" w:themeFillTint="00003F" w:val="clear"/>
      </w:tcPr>
    </w:tblStylePr>
    <w:tblStylePr w:type="band1Horz">
      <w:tblPr/>
      <w:tcPr>
        <w:shd w:color="auto" w:fill="e5dfec" w:themeFill="accent4" w:themeFillTint="000033" w:val="clear"/>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color="auto" w:fill="edf6f9" w:themeFill="accent5" w:themeFillTint="000019" w:val="clear"/>
    </w:tcPr>
    <w:tblStylePr w:type="firstRow">
      <w:rPr>
        <w:b w:val="1"/>
        <w:bCs w:val="1"/>
        <w:color w:val="ffffff" w:themeColor="background1"/>
      </w:rPr>
      <w:tblPr/>
      <w:tcPr>
        <w:tcBorders>
          <w:bottom w:color="ffffff" w:space="0" w:sz="12" w:themeColor="background1" w:val="single"/>
        </w:tcBorders>
        <w:shd w:color="auto" w:fill="f2730a" w:themeFill="accent6" w:themeFillShade="0000CC" w:val="clear"/>
      </w:tcPr>
    </w:tblStylePr>
    <w:tblStylePr w:type="lastRow">
      <w:rPr>
        <w:b w:val="1"/>
        <w:bCs w:val="1"/>
        <w:color w:val="f2730a" w:themeColor="accent6"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2eaf1" w:themeFill="accent5" w:themeFillTint="00003F" w:val="clear"/>
      </w:tcPr>
    </w:tblStylePr>
    <w:tblStylePr w:type="band1Horz">
      <w:tblPr/>
      <w:tcPr>
        <w:shd w:color="auto" w:fill="daeef3" w:themeFill="accent5" w:themeFillTint="000033" w:val="clear"/>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color="auto" w:fill="fef4ec" w:themeFill="accent6" w:themeFillTint="000019" w:val="clear"/>
    </w:tcPr>
    <w:tblStylePr w:type="firstRow">
      <w:rPr>
        <w:b w:val="1"/>
        <w:bCs w:val="1"/>
        <w:color w:val="ffffff" w:themeColor="background1"/>
      </w:rPr>
      <w:tblPr/>
      <w:tcPr>
        <w:tcBorders>
          <w:bottom w:color="ffffff" w:space="0" w:sz="12" w:themeColor="background1" w:val="single"/>
        </w:tcBorders>
        <w:shd w:color="auto" w:fill="348da5" w:themeFill="accent5" w:themeFillShade="0000CC" w:val="clear"/>
      </w:tcPr>
    </w:tblStylePr>
    <w:tblStylePr w:type="lastRow">
      <w:rPr>
        <w:b w:val="1"/>
        <w:bCs w:val="1"/>
        <w:color w:val="348da5" w:themeColor="accent5"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fde4d0" w:themeFill="accent6" w:themeFillTint="00003F" w:val="clear"/>
      </w:tcPr>
    </w:tblStylePr>
    <w:tblStylePr w:type="band1Horz">
      <w:tblPr/>
      <w:tcPr>
        <w:shd w:color="auto" w:fill="fde9d9" w:themeFill="accent6" w:themeFillTint="000033" w:val="clear"/>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cccccc" w:themeFill="text1" w:themeFillTint="000033" w:val="clear"/>
    </w:tcPr>
    <w:tblStylePr w:type="firstRow">
      <w:rPr>
        <w:b w:val="1"/>
        <w:bCs w:val="1"/>
      </w:rPr>
      <w:tblPr/>
      <w:tcPr>
        <w:shd w:color="auto" w:fill="999999" w:themeFill="text1" w:themeFillTint="000066" w:val="clear"/>
      </w:tcPr>
    </w:tblStylePr>
    <w:tblStylePr w:type="lastRow">
      <w:rPr>
        <w:b w:val="1"/>
        <w:bCs w:val="1"/>
        <w:color w:val="000000" w:themeColor="text1"/>
      </w:rPr>
      <w:tblPr/>
      <w:tcPr>
        <w:shd w:color="auto" w:fill="999999" w:themeFill="text1" w:themeFillTint="000066" w:val="clear"/>
      </w:tcPr>
    </w:tblStylePr>
    <w:tblStylePr w:type="firstCol">
      <w:rPr>
        <w:color w:val="ffffff" w:themeColor="background1"/>
      </w:rPr>
      <w:tblPr/>
      <w:tcPr>
        <w:shd w:color="auto" w:fill="000000" w:themeFill="text1" w:themeFillShade="0000BF" w:val="clear"/>
      </w:tcPr>
    </w:tblStylePr>
    <w:tblStylePr w:type="lastCol">
      <w:rPr>
        <w:color w:val="ffffff" w:themeColor="background1"/>
      </w:rPr>
      <w:tblPr/>
      <w:tcPr>
        <w:shd w:color="auto" w:fill="000000" w:themeFill="text1" w:themeFillShade="0000BF" w:val="clear"/>
      </w:tcPr>
    </w:tblStylePr>
    <w:tblStylePr w:type="band1Vert">
      <w:tblPr/>
      <w:tcPr>
        <w:shd w:color="auto" w:fill="808080" w:themeFill="text1" w:themeFillTint="00007F" w:val="clear"/>
      </w:tcPr>
    </w:tblStylePr>
    <w:tblStylePr w:type="band1Horz">
      <w:tblPr/>
      <w:tcPr>
        <w:shd w:color="auto" w:fill="808080" w:themeFill="text1" w:themeFillTint="00007F" w:val="clear"/>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dbe5f1" w:themeFill="accent1" w:themeFillTint="000033" w:val="clear"/>
    </w:tcPr>
    <w:tblStylePr w:type="firstRow">
      <w:rPr>
        <w:b w:val="1"/>
        <w:bCs w:val="1"/>
      </w:rPr>
      <w:tblPr/>
      <w:tcPr>
        <w:shd w:color="auto" w:fill="b8cce4" w:themeFill="accent1" w:themeFillTint="000066" w:val="clear"/>
      </w:tcPr>
    </w:tblStylePr>
    <w:tblStylePr w:type="lastRow">
      <w:rPr>
        <w:b w:val="1"/>
        <w:bCs w:val="1"/>
        <w:color w:val="000000" w:themeColor="text1"/>
      </w:rPr>
      <w:tblPr/>
      <w:tcPr>
        <w:shd w:color="auto" w:fill="b8cce4" w:themeFill="accent1" w:themeFillTint="000066" w:val="clear"/>
      </w:tcPr>
    </w:tblStylePr>
    <w:tblStylePr w:type="firstCol">
      <w:rPr>
        <w:color w:val="ffffff" w:themeColor="background1"/>
      </w:rPr>
      <w:tblPr/>
      <w:tcPr>
        <w:shd w:color="auto" w:fill="365f91" w:themeFill="accent1" w:themeFillShade="0000BF" w:val="clear"/>
      </w:tcPr>
    </w:tblStylePr>
    <w:tblStylePr w:type="lastCol">
      <w:rPr>
        <w:color w:val="ffffff" w:themeColor="background1"/>
      </w:rPr>
      <w:tblPr/>
      <w:tcPr>
        <w:shd w:color="auto" w:fill="365f91" w:themeFill="accent1" w:themeFillShade="0000BF" w:val="clear"/>
      </w:tcPr>
    </w:tblStylePr>
    <w:tblStylePr w:type="band1Vert">
      <w:tblPr/>
      <w:tcPr>
        <w:shd w:color="auto" w:fill="a7bfde" w:themeFill="accent1" w:themeFillTint="00007F" w:val="clear"/>
      </w:tcPr>
    </w:tblStylePr>
    <w:tblStylePr w:type="band1Horz">
      <w:tblPr/>
      <w:tcPr>
        <w:shd w:color="auto" w:fill="a7bfde" w:themeFill="accent1" w:themeFillTint="00007F" w:val="clear"/>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f2dbdb" w:themeFill="accent2" w:themeFillTint="000033" w:val="clear"/>
    </w:tcPr>
    <w:tblStylePr w:type="firstRow">
      <w:rPr>
        <w:b w:val="1"/>
        <w:bCs w:val="1"/>
      </w:rPr>
      <w:tblPr/>
      <w:tcPr>
        <w:shd w:color="auto" w:fill="e5b8b7" w:themeFill="accent2" w:themeFillTint="000066" w:val="clear"/>
      </w:tcPr>
    </w:tblStylePr>
    <w:tblStylePr w:type="lastRow">
      <w:rPr>
        <w:b w:val="1"/>
        <w:bCs w:val="1"/>
        <w:color w:val="000000" w:themeColor="text1"/>
      </w:rPr>
      <w:tblPr/>
      <w:tcPr>
        <w:shd w:color="auto" w:fill="e5b8b7" w:themeFill="accent2" w:themeFillTint="000066" w:val="clear"/>
      </w:tcPr>
    </w:tblStylePr>
    <w:tblStylePr w:type="firstCol">
      <w:rPr>
        <w:color w:val="ffffff" w:themeColor="background1"/>
      </w:rPr>
      <w:tblPr/>
      <w:tcPr>
        <w:shd w:color="auto" w:fill="943634" w:themeFill="accent2" w:themeFillShade="0000BF" w:val="clear"/>
      </w:tcPr>
    </w:tblStylePr>
    <w:tblStylePr w:type="lastCol">
      <w:rPr>
        <w:color w:val="ffffff" w:themeColor="background1"/>
      </w:rPr>
      <w:tblPr/>
      <w:tcPr>
        <w:shd w:color="auto" w:fill="943634" w:themeFill="accent2" w:themeFillShade="0000BF" w:val="clear"/>
      </w:tcPr>
    </w:tblStylePr>
    <w:tblStylePr w:type="band1Vert">
      <w:tblPr/>
      <w:tcPr>
        <w:shd w:color="auto" w:fill="dfa7a6" w:themeFill="accent2" w:themeFillTint="00007F" w:val="clear"/>
      </w:tcPr>
    </w:tblStylePr>
    <w:tblStylePr w:type="band1Horz">
      <w:tblPr/>
      <w:tcPr>
        <w:shd w:color="auto" w:fill="dfa7a6" w:themeFill="accent2" w:themeFillTint="00007F" w:val="clear"/>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eaf1dd" w:themeFill="accent3" w:themeFillTint="000033" w:val="clear"/>
    </w:tcPr>
    <w:tblStylePr w:type="firstRow">
      <w:rPr>
        <w:b w:val="1"/>
        <w:bCs w:val="1"/>
      </w:rPr>
      <w:tblPr/>
      <w:tcPr>
        <w:shd w:color="auto" w:fill="d6e3bc" w:themeFill="accent3" w:themeFillTint="000066" w:val="clear"/>
      </w:tcPr>
    </w:tblStylePr>
    <w:tblStylePr w:type="lastRow">
      <w:rPr>
        <w:b w:val="1"/>
        <w:bCs w:val="1"/>
        <w:color w:val="000000" w:themeColor="text1"/>
      </w:rPr>
      <w:tblPr/>
      <w:tcPr>
        <w:shd w:color="auto" w:fill="d6e3bc" w:themeFill="accent3" w:themeFillTint="000066" w:val="clear"/>
      </w:tcPr>
    </w:tblStylePr>
    <w:tblStylePr w:type="firstCol">
      <w:rPr>
        <w:color w:val="ffffff" w:themeColor="background1"/>
      </w:rPr>
      <w:tblPr/>
      <w:tcPr>
        <w:shd w:color="auto" w:fill="76923c" w:themeFill="accent3" w:themeFillShade="0000BF" w:val="clear"/>
      </w:tcPr>
    </w:tblStylePr>
    <w:tblStylePr w:type="lastCol">
      <w:rPr>
        <w:color w:val="ffffff" w:themeColor="background1"/>
      </w:rPr>
      <w:tblPr/>
      <w:tcPr>
        <w:shd w:color="auto" w:fill="76923c" w:themeFill="accent3" w:themeFillShade="0000BF" w:val="clear"/>
      </w:tcPr>
    </w:tblStylePr>
    <w:tblStylePr w:type="band1Vert">
      <w:tblPr/>
      <w:tcPr>
        <w:shd w:color="auto" w:fill="cdddac" w:themeFill="accent3" w:themeFillTint="00007F" w:val="clear"/>
      </w:tcPr>
    </w:tblStylePr>
    <w:tblStylePr w:type="band1Horz">
      <w:tblPr/>
      <w:tcPr>
        <w:shd w:color="auto" w:fill="cdddac" w:themeFill="accent3" w:themeFillTint="00007F" w:val="clear"/>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e5dfec" w:themeFill="accent4" w:themeFillTint="000033" w:val="clear"/>
    </w:tcPr>
    <w:tblStylePr w:type="firstRow">
      <w:rPr>
        <w:b w:val="1"/>
        <w:bCs w:val="1"/>
      </w:rPr>
      <w:tblPr/>
      <w:tcPr>
        <w:shd w:color="auto" w:fill="ccc0d9" w:themeFill="accent4" w:themeFillTint="000066" w:val="clear"/>
      </w:tcPr>
    </w:tblStylePr>
    <w:tblStylePr w:type="lastRow">
      <w:rPr>
        <w:b w:val="1"/>
        <w:bCs w:val="1"/>
        <w:color w:val="000000" w:themeColor="text1"/>
      </w:rPr>
      <w:tblPr/>
      <w:tcPr>
        <w:shd w:color="auto" w:fill="ccc0d9" w:themeFill="accent4" w:themeFillTint="000066" w:val="clear"/>
      </w:tcPr>
    </w:tblStylePr>
    <w:tblStylePr w:type="firstCol">
      <w:rPr>
        <w:color w:val="ffffff" w:themeColor="background1"/>
      </w:rPr>
      <w:tblPr/>
      <w:tcPr>
        <w:shd w:color="auto" w:fill="5f497a" w:themeFill="accent4" w:themeFillShade="0000BF" w:val="clear"/>
      </w:tcPr>
    </w:tblStylePr>
    <w:tblStylePr w:type="lastCol">
      <w:rPr>
        <w:color w:val="ffffff" w:themeColor="background1"/>
      </w:rPr>
      <w:tblPr/>
      <w:tcPr>
        <w:shd w:color="auto" w:fill="5f497a" w:themeFill="accent4" w:themeFillShade="0000BF" w:val="clear"/>
      </w:tcPr>
    </w:tblStylePr>
    <w:tblStylePr w:type="band1Vert">
      <w:tblPr/>
      <w:tcPr>
        <w:shd w:color="auto" w:fill="bfb1d0" w:themeFill="accent4" w:themeFillTint="00007F" w:val="clear"/>
      </w:tcPr>
    </w:tblStylePr>
    <w:tblStylePr w:type="band1Horz">
      <w:tblPr/>
      <w:tcPr>
        <w:shd w:color="auto" w:fill="bfb1d0" w:themeFill="accent4" w:themeFillTint="00007F" w:val="clear"/>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daeef3" w:themeFill="accent5" w:themeFillTint="000033" w:val="clear"/>
    </w:tcPr>
    <w:tblStylePr w:type="firstRow">
      <w:rPr>
        <w:b w:val="1"/>
        <w:bCs w:val="1"/>
      </w:rPr>
      <w:tblPr/>
      <w:tcPr>
        <w:shd w:color="auto" w:fill="b6dde8" w:themeFill="accent5" w:themeFillTint="000066" w:val="clear"/>
      </w:tcPr>
    </w:tblStylePr>
    <w:tblStylePr w:type="lastRow">
      <w:rPr>
        <w:b w:val="1"/>
        <w:bCs w:val="1"/>
        <w:color w:val="000000" w:themeColor="text1"/>
      </w:rPr>
      <w:tblPr/>
      <w:tcPr>
        <w:shd w:color="auto" w:fill="b6dde8" w:themeFill="accent5" w:themeFillTint="000066" w:val="clear"/>
      </w:tcPr>
    </w:tblStylePr>
    <w:tblStylePr w:type="firstCol">
      <w:rPr>
        <w:color w:val="ffffff" w:themeColor="background1"/>
      </w:rPr>
      <w:tblPr/>
      <w:tcPr>
        <w:shd w:color="auto" w:fill="31849b" w:themeFill="accent5" w:themeFillShade="0000BF" w:val="clear"/>
      </w:tcPr>
    </w:tblStylePr>
    <w:tblStylePr w:type="lastCol">
      <w:rPr>
        <w:color w:val="ffffff" w:themeColor="background1"/>
      </w:rPr>
      <w:tblPr/>
      <w:tcPr>
        <w:shd w:color="auto" w:fill="31849b" w:themeFill="accent5" w:themeFillShade="0000BF" w:val="clear"/>
      </w:tcPr>
    </w:tblStylePr>
    <w:tblStylePr w:type="band1Vert">
      <w:tblPr/>
      <w:tcPr>
        <w:shd w:color="auto" w:fill="a5d5e2" w:themeFill="accent5" w:themeFillTint="00007F" w:val="clear"/>
      </w:tcPr>
    </w:tblStylePr>
    <w:tblStylePr w:type="band1Horz">
      <w:tblPr/>
      <w:tcPr>
        <w:shd w:color="auto" w:fill="a5d5e2" w:themeFill="accent5" w:themeFillTint="00007F" w:val="clear"/>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fde9d9" w:themeFill="accent6" w:themeFillTint="000033" w:val="clear"/>
    </w:tcPr>
    <w:tblStylePr w:type="firstRow">
      <w:rPr>
        <w:b w:val="1"/>
        <w:bCs w:val="1"/>
      </w:rPr>
      <w:tblPr/>
      <w:tcPr>
        <w:shd w:color="auto" w:fill="fbd4b4" w:themeFill="accent6" w:themeFillTint="000066" w:val="clear"/>
      </w:tcPr>
    </w:tblStylePr>
    <w:tblStylePr w:type="lastRow">
      <w:rPr>
        <w:b w:val="1"/>
        <w:bCs w:val="1"/>
        <w:color w:val="000000" w:themeColor="text1"/>
      </w:rPr>
      <w:tblPr/>
      <w:tcPr>
        <w:shd w:color="auto" w:fill="fbd4b4" w:themeFill="accent6" w:themeFillTint="000066" w:val="clear"/>
      </w:tcPr>
    </w:tblStylePr>
    <w:tblStylePr w:type="firstCol">
      <w:rPr>
        <w:color w:val="ffffff" w:themeColor="background1"/>
      </w:rPr>
      <w:tblPr/>
      <w:tcPr>
        <w:shd w:color="auto" w:fill="e36c0a" w:themeFill="accent6" w:themeFillShade="0000BF" w:val="clear"/>
      </w:tcPr>
    </w:tblStylePr>
    <w:tblStylePr w:type="lastCol">
      <w:rPr>
        <w:color w:val="ffffff" w:themeColor="background1"/>
      </w:rPr>
      <w:tblPr/>
      <w:tcPr>
        <w:shd w:color="auto" w:fill="e36c0a" w:themeFill="accent6" w:themeFillShade="0000BF" w:val="clear"/>
      </w:tcPr>
    </w:tblStylePr>
    <w:tblStylePr w:type="band1Vert">
      <w:tblPr/>
      <w:tcPr>
        <w:shd w:color="auto" w:fill="fbcaa2" w:themeFill="accent6" w:themeFillTint="00007F" w:val="clear"/>
      </w:tcPr>
    </w:tblStylePr>
    <w:tblStylePr w:type="band1Horz">
      <w:tblPr/>
      <w:tcPr>
        <w:shd w:color="auto" w:fill="fbcaa2" w:themeFill="accent6" w:themeFillTint="00007F" w:val="clear"/>
      </w:tcPr>
    </w:tblStylePr>
  </w:style>
  <w:style w:type="table" w:styleId="GridTable2-Accent6">
    <w:name w:val="Grid Table 2 Accent 6"/>
    <w:basedOn w:val="TableNormal"/>
    <w:uiPriority w:val="47"/>
    <w:rsid w:val="002D246E"/>
    <w:pPr>
      <w:spacing w:after="0" w:line="240" w:lineRule="auto"/>
    </w:pPr>
    <w:tblPr>
      <w:tblStyleRowBandSize w:val="1"/>
      <w:tblStyleColBandSize w:val="1"/>
      <w:tblBorders>
        <w:top w:color="fabf8f" w:space="0" w:sz="2" w:themeColor="accent6" w:themeTint="000099" w:val="single"/>
        <w:bottom w:color="fabf8f" w:space="0" w:sz="2" w:themeColor="accent6" w:themeTint="000099" w:val="single"/>
        <w:insideH w:color="fabf8f" w:space="0" w:sz="2" w:themeColor="accent6" w:themeTint="000099" w:val="single"/>
        <w:insideV w:color="fabf8f" w:space="0" w:sz="2" w:themeColor="accent6" w:themeTint="000099" w:val="single"/>
      </w:tblBorders>
    </w:tblPr>
    <w:tblStylePr w:type="firstRow">
      <w:rPr>
        <w:b w:val="1"/>
        <w:bCs w:val="1"/>
      </w:rPr>
      <w:tblPr/>
      <w:tcPr>
        <w:tcBorders>
          <w:top w:space="0" w:sz="0" w:val="nil"/>
          <w:bottom w:color="fabf8f" w:space="0" w:sz="12" w:themeColor="accent6" w:themeTint="000099" w:val="single"/>
          <w:insideH w:space="0" w:sz="0" w:val="nil"/>
          <w:insideV w:space="0" w:sz="0" w:val="nil"/>
        </w:tcBorders>
        <w:shd w:color="auto" w:fill="ffffff" w:themeFill="background1" w:val="clear"/>
      </w:tcPr>
    </w:tblStylePr>
    <w:tblStylePr w:type="lastRow">
      <w:rPr>
        <w:b w:val="1"/>
        <w:bCs w:val="1"/>
      </w:rPr>
      <w:tblPr/>
      <w:tcPr>
        <w:tcBorders>
          <w:top w:color="fabf8f" w:space="0" w:sz="2" w:themeColor="accent6" w:themeTint="000099" w:val="double"/>
          <w:bottom w:space="0" w:sz="0" w:val="nil"/>
          <w:insideH w:space="0" w:sz="0" w:val="nil"/>
          <w:insideV w:space="0" w:sz="0" w:val="nil"/>
        </w:tcBorders>
        <w:shd w:color="auto" w:fill="ffffff" w:themeFill="background1" w:val="clear"/>
      </w:tcPr>
    </w:tblStylePr>
    <w:tblStylePr w:type="firstCol">
      <w:rPr>
        <w:b w:val="1"/>
        <w:bCs w:val="1"/>
      </w:rPr>
    </w:tblStylePr>
    <w:tblStylePr w:type="lastCol">
      <w:rPr>
        <w:b w:val="1"/>
        <w:bCs w:val="1"/>
      </w:rPr>
    </w:tblStylePr>
    <w:tblStylePr w:type="band1Vert">
      <w:tblPr/>
      <w:tcPr>
        <w:shd w:color="auto" w:fill="fde9d9" w:themeFill="accent6" w:themeFillTint="000033" w:val="clear"/>
      </w:tcPr>
    </w:tblStylePr>
    <w:tblStylePr w:type="band1Horz">
      <w:tblPr/>
      <w:tcPr>
        <w:shd w:color="auto" w:fill="fde9d9" w:themeFill="accent6" w:themeFillTint="000033" w:val="clear"/>
      </w:tcPr>
    </w:tblStylePr>
  </w:style>
  <w:style w:type="character" w:styleId="Hyperlink">
    <w:name w:val="Hyperlink"/>
    <w:basedOn w:val="DefaultParagraphFont"/>
    <w:uiPriority w:val="99"/>
    <w:unhideWhenUsed w:val="1"/>
    <w:rsid w:val="002D246E"/>
    <w:rPr>
      <w:color w:val="0000ff" w:themeColor="hyperlink"/>
      <w:u w:val="single"/>
    </w:rPr>
  </w:style>
  <w:style w:type="character" w:styleId="UnresolvedMention">
    <w:name w:val="Unresolved Mention"/>
    <w:basedOn w:val="DefaultParagraphFont"/>
    <w:uiPriority w:val="99"/>
    <w:semiHidden w:val="1"/>
    <w:unhideWhenUsed w:val="1"/>
    <w:rsid w:val="002D246E"/>
    <w:rPr>
      <w:color w:val="605e5c"/>
      <w:shd w:color="auto" w:fill="e1dfdd" w:val="clear"/>
    </w:rPr>
  </w:style>
  <w:style w:type="table" w:styleId="TableGridLight">
    <w:name w:val="Grid Table Light"/>
    <w:basedOn w:val="TableNormal"/>
    <w:uiPriority w:val="99"/>
    <w:rsid w:val="000A0969"/>
    <w:pPr>
      <w:spacing w:after="0" w:line="240" w:lineRule="auto"/>
    </w:p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paragraph" w:styleId="TOC1">
    <w:name w:val="toc 1"/>
    <w:basedOn w:val="Normal"/>
    <w:next w:val="Normal"/>
    <w:autoRedefine w:val="1"/>
    <w:uiPriority w:val="39"/>
    <w:unhideWhenUsed w:val="1"/>
    <w:rsid w:val="00C35BE5"/>
    <w:pPr>
      <w:spacing w:after="100"/>
    </w:pPr>
  </w:style>
  <w:style w:type="paragraph" w:styleId="TOC2">
    <w:name w:val="toc 2"/>
    <w:basedOn w:val="Normal"/>
    <w:next w:val="Normal"/>
    <w:autoRedefine w:val="1"/>
    <w:uiPriority w:val="39"/>
    <w:unhideWhenUsed w:val="1"/>
    <w:rsid w:val="00C35BE5"/>
    <w:pPr>
      <w:spacing w:after="100"/>
      <w:ind w:left="220"/>
    </w:pPr>
  </w:style>
  <w:style w:type="paragraph" w:styleId="TOC3">
    <w:name w:val="toc 3"/>
    <w:basedOn w:val="Normal"/>
    <w:next w:val="Normal"/>
    <w:autoRedefine w:val="1"/>
    <w:uiPriority w:val="39"/>
    <w:unhideWhenUsed w:val="1"/>
    <w:rsid w:val="00C35BE5"/>
    <w:pPr>
      <w:spacing w:after="100"/>
      <w:ind w:left="440"/>
    </w:pPr>
  </w:style>
  <w:style w:type="paragraph" w:styleId="Subtitle">
    <w:name w:val="Subtitle"/>
    <w:basedOn w:val="Normal"/>
    <w:next w:val="Normal"/>
    <w:pPr/>
    <w:rPr>
      <w:rFonts w:ascii="Calibri" w:cs="Calibri" w:eastAsia="Calibri" w:hAnsi="Calibri"/>
      <w:i w:val="1"/>
      <w:iCs w:val="1"/>
      <w:color w:val="4f81bd"/>
      <w:sz w:val="24"/>
      <w:szCs w:val="24"/>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fde9d9" w:val="clear"/>
      </w:tcPr>
    </w:tblStylePr>
    <w:tblStylePr w:type="band1Vert">
      <w:tcPr>
        <w:shd w:fill="fde9d9" w:val="clear"/>
      </w:tcPr>
    </w:tblStylePr>
    <w:tblStylePr w:type="firstCol">
      <w:rPr>
        <w:b w:val="1"/>
        <w:bCs w:val="1"/>
      </w:rPr>
    </w:tblStylePr>
    <w:tblStylePr w:type="firstRow">
      <w:rPr>
        <w:b w:val="1"/>
        <w:bCs w:val="1"/>
      </w:rPr>
      <w:tcPr>
        <w:tcBorders>
          <w:top w:color="000000" w:space="0" w:sz="0" w:val="nil"/>
          <w:bottom w:color="fabf8f" w:space="0" w:sz="12" w:val="single"/>
          <w:insideH w:color="000000" w:space="0" w:sz="0" w:val="nil"/>
          <w:insideV w:color="000000" w:space="0" w:sz="0" w:val="nil"/>
        </w:tcBorders>
        <w:shd w:fill="ffffff" w:val="clear"/>
      </w:tcPr>
    </w:tblStylePr>
    <w:tblStylePr w:type="lastCol">
      <w:rPr>
        <w:b w:val="1"/>
        <w:bCs w:val="1"/>
      </w:rPr>
    </w:tblStylePr>
    <w:tblStylePr w:type="lastRow">
      <w:rPr>
        <w:b w:val="1"/>
        <w:bCs w:val="1"/>
      </w:rPr>
      <w:tcPr>
        <w:tcBorders>
          <w:top w:color="fabf8f" w:space="0" w:sz="4" w:val="single"/>
          <w:bottom w:color="000000" w:space="0" w:sz="0" w:val="nil"/>
          <w:insideH w:color="000000" w:space="0" w:sz="0" w:val="nil"/>
          <w:insideV w:color="000000" w:space="0" w:sz="0" w:val="nil"/>
        </w:tcBorders>
        <w:shd w:fill="ffffff" w:val="clear"/>
      </w:tcPr>
    </w:tblStyle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s://fingertips.phe.org.uk/static-reports/health-trends-in-england/England/musculoskeletal_health.html" TargetMode="External"/><Relationship Id="rId42" Type="http://schemas.openxmlformats.org/officeDocument/2006/relationships/hyperlink" Target="https://doi.org/10.1136/annrheumdis-2021-220249" TargetMode="External"/><Relationship Id="rId41" Type="http://schemas.openxmlformats.org/officeDocument/2006/relationships/hyperlink" Target="https://www.nice.org.uk/guidance/ng100/chapter/Recommendations" TargetMode="External"/><Relationship Id="rId44" Type="http://schemas.openxmlformats.org/officeDocument/2006/relationships/hyperlink" Target="https://practicenurse.co.uk/articles/long-term-conditions/care-and-support-planning-a-new-approach-for-patients-with-long-term-conditions" TargetMode="External"/><Relationship Id="rId43" Type="http://schemas.openxmlformats.org/officeDocument/2006/relationships/hyperlink" Target="https://doi.org/10.1038/s41598-020-71676-6" TargetMode="External"/><Relationship Id="rId46" Type="http://schemas.openxmlformats.org/officeDocument/2006/relationships/hyperlink" Target="https://doi.org/10.3389/fmed.2021.689698" TargetMode="External"/><Relationship Id="rId45" Type="http://schemas.openxmlformats.org/officeDocument/2006/relationships/hyperlink" Target="https://doi.org/10.1016/j.jbspin.2020.04.024"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gif"/><Relationship Id="rId48" Type="http://schemas.openxmlformats.org/officeDocument/2006/relationships/hyperlink" Target="https://doi.org/10.1136/ard-2022-223357" TargetMode="External"/><Relationship Id="rId47" Type="http://schemas.openxmlformats.org/officeDocument/2006/relationships/hyperlink" Target="https://www.gov.scot/publications/person-centred-care-non-executive-members/pages/7/" TargetMode="External"/><Relationship Id="rId49" Type="http://schemas.openxmlformats.org/officeDocument/2006/relationships/hyperlink" Target="https://doi.org/10.1136/ard-2022-223356"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5.jpg"/><Relationship Id="rId8" Type="http://schemas.openxmlformats.org/officeDocument/2006/relationships/image" Target="media/image1.png"/><Relationship Id="rId31" Type="http://schemas.openxmlformats.org/officeDocument/2006/relationships/hyperlink" Target="https://doi.org/10.1111/hsc.13611" TargetMode="External"/><Relationship Id="rId30" Type="http://schemas.openxmlformats.org/officeDocument/2006/relationships/hyperlink" Target="https://doi.org/10.1007/s00393-024-01538-3" TargetMode="External"/><Relationship Id="rId33" Type="http://schemas.openxmlformats.org/officeDocument/2006/relationships/hyperlink" Target="https://doi.org/10.3389/fmed.2022.991677" TargetMode="External"/><Relationship Id="rId32" Type="http://schemas.openxmlformats.org/officeDocument/2006/relationships/hyperlink" Target="https://doi.org/10.1007/s00296-021-04907-2" TargetMode="External"/><Relationship Id="rId35" Type="http://schemas.openxmlformats.org/officeDocument/2006/relationships/hyperlink" Target="https://doi.org/10.1136/rmdopen-2021-001647" TargetMode="External"/><Relationship Id="rId34" Type="http://schemas.openxmlformats.org/officeDocument/2006/relationships/hyperlink" Target="https://doi.org/10.1136/rmdopen-2021-001768" TargetMode="External"/><Relationship Id="rId37" Type="http://schemas.openxmlformats.org/officeDocument/2006/relationships/hyperlink" Target="https://doi.org/10.1016/j.jad.2022.05.108" TargetMode="External"/><Relationship Id="rId36" Type="http://schemas.openxmlformats.org/officeDocument/2006/relationships/hyperlink" Target="https://doi.org/10.3399/bjgp16X683077" TargetMode="External"/><Relationship Id="rId39" Type="http://schemas.openxmlformats.org/officeDocument/2006/relationships/hyperlink" Target="https://www.england.nhs.uk/long-read/personalised-care-and-support-planning-a-brief-summary-guide/" TargetMode="External"/><Relationship Id="rId38" Type="http://schemas.openxmlformats.org/officeDocument/2006/relationships/hyperlink" Target="https://www.england.nhs.uk/statistics/wp-content/uploads/2022/07/nhs-long-term-plan-version-1.2.pdf" TargetMode="External"/><Relationship Id="rId20" Type="http://schemas.openxmlformats.org/officeDocument/2006/relationships/hyperlink" Target="https://doi.org/10.1002/acr2.11650" TargetMode="External"/><Relationship Id="rId22" Type="http://schemas.openxmlformats.org/officeDocument/2006/relationships/hyperlink" Target="https://doi.org/10.1186/s13643-022-02117-w" TargetMode="External"/><Relationship Id="rId21" Type="http://schemas.openxmlformats.org/officeDocument/2006/relationships/hyperlink" Target="https://doi.org/10.1016/S2665-9913(23)00211-4" TargetMode="External"/><Relationship Id="rId24" Type="http://schemas.openxmlformats.org/officeDocument/2006/relationships/hyperlink" Target="https://doi.org/10.1016/j.semarthrit.2025.152717" TargetMode="External"/><Relationship Id="rId23" Type="http://schemas.openxmlformats.org/officeDocument/2006/relationships/hyperlink" Target="https://doi.org/10.1016/j.semarthrit.2024.152465" TargetMode="External"/><Relationship Id="rId26" Type="http://schemas.openxmlformats.org/officeDocument/2006/relationships/hyperlink" Target="https://www.hqip.org.uk/report/583-neiaa/" TargetMode="External"/><Relationship Id="rId25" Type="http://schemas.openxmlformats.org/officeDocument/2006/relationships/hyperlink" Target="https://doi.org/10.12968/bjcn.2022.27.5.232" TargetMode="External"/><Relationship Id="rId28" Type="http://schemas.openxmlformats.org/officeDocument/2006/relationships/hyperlink" Target="https://doi.org/10.1136/ard-2022-223365" TargetMode="External"/><Relationship Id="rId27" Type="http://schemas.openxmlformats.org/officeDocument/2006/relationships/hyperlink" Target="https://doi.org/10.3390/cells9020475" TargetMode="External"/><Relationship Id="rId29" Type="http://schemas.openxmlformats.org/officeDocument/2006/relationships/hyperlink" Target="https://doi.org/10.1186/s41927-023-00365-4" TargetMode="External"/><Relationship Id="rId51" Type="http://schemas.openxmlformats.org/officeDocument/2006/relationships/hyperlink" Target="https://www.lancashire.gov.uk/media/929825/state-of-msk-health-2021.pdf" TargetMode="External"/><Relationship Id="rId50" Type="http://schemas.openxmlformats.org/officeDocument/2006/relationships/hyperlink" Target="https://doi.org/10.31138/mjr.301223.eaf" TargetMode="External"/><Relationship Id="rId53" Type="http://schemas.openxmlformats.org/officeDocument/2006/relationships/hyperlink" Target="https://doi.org/10.3389/fpsyt.2022.848427" TargetMode="External"/><Relationship Id="rId52" Type="http://schemas.openxmlformats.org/officeDocument/2006/relationships/hyperlink" Target="https://www.who.int/news-room/fact-sheets/detail/Rheumatoid-arthritis" TargetMode="External"/><Relationship Id="rId11" Type="http://schemas.openxmlformats.org/officeDocument/2006/relationships/image" Target="media/image3.png"/><Relationship Id="rId55" Type="http://schemas.openxmlformats.org/officeDocument/2006/relationships/header" Target="header1.xml"/><Relationship Id="rId10" Type="http://schemas.openxmlformats.org/officeDocument/2006/relationships/image" Target="media/image4.png"/><Relationship Id="rId54" Type="http://schemas.openxmlformats.org/officeDocument/2006/relationships/hyperlink" Target="https://doi.org/10.2147/JPR.S537227" TargetMode="External"/><Relationship Id="rId13" Type="http://schemas.openxmlformats.org/officeDocument/2006/relationships/hyperlink" Target="https://doi.org/10.1016/j.semarthrit.2024.152569" TargetMode="External"/><Relationship Id="rId12" Type="http://schemas.openxmlformats.org/officeDocument/2006/relationships/hyperlink" Target="https://rheumexamatlas.com/2024/04/16/rheumatoid-arthritis-in-the-hand/?utm_source=chatgpt.com" TargetMode="External"/><Relationship Id="rId56" Type="http://schemas.openxmlformats.org/officeDocument/2006/relationships/footer" Target="footer1.xml"/><Relationship Id="rId15" Type="http://schemas.openxmlformats.org/officeDocument/2006/relationships/hyperlink" Target="https://www.act-center.org/our-work/primary-care-transformation/chronic-illness-care?utm_source=chatgpt.com" TargetMode="External"/><Relationship Id="rId14" Type="http://schemas.openxmlformats.org/officeDocument/2006/relationships/hyperlink" Target="https://doi.org/10.1186/s41927-023-00352-9" TargetMode="External"/><Relationship Id="rId17" Type="http://schemas.openxmlformats.org/officeDocument/2006/relationships/hyperlink" Target="https://doi.org/10.1016/j.semarthrit.2022.152014" TargetMode="External"/><Relationship Id="rId16" Type="http://schemas.openxmlformats.org/officeDocument/2006/relationships/hyperlink" Target="https://doi.org/10.1177/1759720X221137127" TargetMode="External"/><Relationship Id="rId19" Type="http://schemas.openxmlformats.org/officeDocument/2006/relationships/hyperlink" Target="https://www.health-ni.gov.uk/publications/202526-raw-disease-prevalence-trend-data-northern-ireland" TargetMode="External"/><Relationship Id="rId18" Type="http://schemas.openxmlformats.org/officeDocument/2006/relationships/hyperlink" Target="https://www.gov.uk/government/publications/10-year-health-plan-for-england-fit-for-the-futu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bbNNqQkb/zj+ye2z/ZUwNTCbkXQ==">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Neema</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11f63fce5b43461ef02052f21256c461be31ebd0e6ef8a5afd17aa668b6b2a5f</vt:lpwstr>
  </property>
</Properties>
</file>