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8F4C69"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1832CF25" w:rsid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0261E4">
        <w:rPr>
          <w:rFonts w:ascii="Arial" w:hAnsi="Arial" w:cs="Arial"/>
          <w:sz w:val="28"/>
          <w:szCs w:val="28"/>
          <w:lang w:val="nl-NL"/>
        </w:rPr>
        <w:t>Introduction to Health and Social Care</w:t>
      </w:r>
      <w:r w:rsidR="006E306D">
        <w:rPr>
          <w:rFonts w:ascii="Arial" w:hAnsi="Arial" w:cs="Arial"/>
          <w:sz w:val="28"/>
          <w:szCs w:val="28"/>
          <w:lang w:val="nl-NL"/>
        </w:rPr>
        <w:t>.</w:t>
      </w:r>
    </w:p>
    <w:p w14:paraId="537571AF" w14:textId="129FD172"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0261E4">
        <w:rPr>
          <w:rFonts w:ascii="Arial" w:hAnsi="Arial" w:cs="Arial"/>
          <w:sz w:val="28"/>
          <w:szCs w:val="28"/>
        </w:rPr>
        <w:t xml:space="preserve"> LCHS4003</w:t>
      </w:r>
      <w:r w:rsidR="006E306D">
        <w:rPr>
          <w:rFonts w:ascii="Arial" w:hAnsi="Arial" w:cs="Arial"/>
          <w:sz w:val="28"/>
          <w:szCs w:val="28"/>
        </w:rPr>
        <w:t>.</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4857D5A1"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0261E4">
        <w:rPr>
          <w:rFonts w:ascii="Arial" w:hAnsi="Arial" w:cs="Arial"/>
          <w:sz w:val="28"/>
          <w:szCs w:val="28"/>
          <w:lang w:val="nl-NL"/>
        </w:rPr>
        <w:t xml:space="preserve"> Gillian Gibbs.</w:t>
      </w:r>
    </w:p>
    <w:p w14:paraId="5E81F6AD" w14:textId="2C56F3C5" w:rsidR="00074402"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0261E4">
        <w:rPr>
          <w:rFonts w:ascii="Arial" w:hAnsi="Arial" w:cs="Arial"/>
          <w:sz w:val="28"/>
          <w:szCs w:val="28"/>
          <w:lang w:val="nl-NL"/>
        </w:rPr>
        <w:t xml:space="preserve"> 2508019</w:t>
      </w:r>
      <w:r w:rsidR="006E306D">
        <w:rPr>
          <w:rFonts w:ascii="Arial" w:hAnsi="Arial" w:cs="Arial"/>
          <w:sz w:val="28"/>
          <w:szCs w:val="28"/>
          <w:lang w:val="nl-NL"/>
        </w:rPr>
        <w:t>.</w:t>
      </w:r>
    </w:p>
    <w:p w14:paraId="3B1A25E4" w14:textId="77777777" w:rsidR="006B57B3" w:rsidRDefault="006B57B3">
      <w:pPr>
        <w:spacing w:line="360" w:lineRule="auto"/>
        <w:rPr>
          <w:kern w:val="2"/>
          <w:szCs w:val="24"/>
          <w:lang w:eastAsia="en-GB"/>
          <w14:ligatures w14:val="standardContextual"/>
        </w:rPr>
      </w:pPr>
      <w:r>
        <w:rPr>
          <w:rFonts w:ascii="Arial" w:hAnsi="Arial" w:cs="Arial"/>
          <w:b/>
          <w:bCs/>
          <w:sz w:val="28"/>
          <w:szCs w:val="28"/>
          <w:lang w:val="nl-NL"/>
        </w:rPr>
        <w:t>Title: Mr. Ahmed’s Case Study.</w:t>
      </w:r>
    </w:p>
    <w:p w14:paraId="1A0B2D2B" w14:textId="1ED2A8BB"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0261E4">
        <w:rPr>
          <w:rFonts w:ascii="Arial" w:hAnsi="Arial" w:cs="Arial"/>
          <w:sz w:val="28"/>
          <w:szCs w:val="28"/>
        </w:rPr>
        <w:t xml:space="preserve"> Oluwadamilola Tayo</w:t>
      </w:r>
      <w:r w:rsidR="006E306D">
        <w:rPr>
          <w:rFonts w:ascii="Arial" w:hAnsi="Arial" w:cs="Arial"/>
          <w:sz w:val="28"/>
          <w:szCs w:val="28"/>
        </w:rPr>
        <w:t>.</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05AB2C84" w14:textId="51113704" w:rsidR="00B87E75" w:rsidRPr="00E4042E" w:rsidRDefault="00B87E75" w:rsidP="00E4042E">
      <w:pPr>
        <w:spacing w:line="360" w:lineRule="auto"/>
        <w:rPr>
          <w:rFonts w:asciiTheme="minorBidi" w:hAnsiTheme="minorBidi"/>
          <w:sz w:val="22"/>
        </w:rPr>
      </w:pPr>
      <w:r w:rsidRPr="00CD33A8">
        <w:rPr>
          <w:rFonts w:asciiTheme="minorBidi" w:hAnsiTheme="minorBidi"/>
          <w:sz w:val="22"/>
        </w:rPr>
        <w:br w:type="page"/>
      </w:r>
    </w:p>
    <w:p w14:paraId="13E00080" w14:textId="137FF22A" w:rsidR="00B87E75" w:rsidRPr="00CD33A8" w:rsidRDefault="00B87E75" w:rsidP="00CD33A8">
      <w:pPr>
        <w:spacing w:line="360" w:lineRule="auto"/>
        <w:rPr>
          <w:rFonts w:asciiTheme="minorBidi" w:hAnsiTheme="minorBidi"/>
          <w:sz w:val="22"/>
        </w:rPr>
      </w:pPr>
    </w:p>
    <w:sdt>
      <w:sdtPr>
        <w:rPr>
          <w:rFonts w:asciiTheme="minorHAnsi" w:eastAsiaTheme="minorEastAsia" w:hAnsiTheme="minorHAnsi" w:cs="Times New Roman"/>
          <w:color w:val="auto"/>
          <w:sz w:val="22"/>
          <w:szCs w:val="22"/>
        </w:rPr>
        <w:id w:val="1115645815"/>
        <w:docPartObj>
          <w:docPartGallery w:val="Table of Contents"/>
          <w:docPartUnique/>
        </w:docPartObj>
      </w:sdtPr>
      <w:sdtContent>
        <w:p w14:paraId="0DBB2B68" w14:textId="325C7D4F" w:rsidR="00004C3A" w:rsidRPr="001540EF" w:rsidRDefault="00004C3A">
          <w:pPr>
            <w:pStyle w:val="TOCHeading"/>
            <w:rPr>
              <w:b/>
              <w:bCs/>
              <w:color w:val="000000" w:themeColor="text1"/>
            </w:rPr>
          </w:pPr>
          <w:r w:rsidRPr="001540EF">
            <w:rPr>
              <w:b/>
              <w:bCs/>
              <w:color w:val="000000" w:themeColor="text1"/>
            </w:rPr>
            <w:t>Table of Contents</w:t>
          </w:r>
        </w:p>
        <w:p w14:paraId="607CF585" w14:textId="218C453B" w:rsidR="00004C3A" w:rsidRPr="001C422D" w:rsidRDefault="00004C3A" w:rsidP="001C422D">
          <w:pPr>
            <w:pStyle w:val="TOC1"/>
            <w:numPr>
              <w:ilvl w:val="0"/>
              <w:numId w:val="4"/>
            </w:numPr>
          </w:pPr>
          <w:hyperlink w:anchor="_Toc227885324" w:history="1">
            <w:r w:rsidRPr="001C422D">
              <w:rPr>
                <w:rStyle w:val="Hyperlink"/>
                <w:noProof/>
                <w:color w:val="000000" w:themeColor="text1"/>
                <w:u w:val="none"/>
              </w:rPr>
              <w:t>Introduction</w:t>
            </w:r>
            <w:r w:rsidRPr="001C422D">
              <w:rPr>
                <w:noProof/>
                <w:webHidden/>
                <w:color w:val="000000" w:themeColor="text1"/>
              </w:rPr>
              <w:tab/>
            </w:r>
            <w:r w:rsidRPr="001C422D">
              <w:rPr>
                <w:noProof/>
                <w:webHidden/>
                <w:color w:val="000000" w:themeColor="text1"/>
              </w:rPr>
              <w:fldChar w:fldCharType="begin"/>
            </w:r>
            <w:r w:rsidRPr="001C422D">
              <w:rPr>
                <w:noProof/>
                <w:webHidden/>
                <w:color w:val="000000" w:themeColor="text1"/>
              </w:rPr>
              <w:instrText xml:space="preserve"> PAGEREF _Toc227885324 \h </w:instrText>
            </w:r>
            <w:r w:rsidRPr="001C422D">
              <w:rPr>
                <w:noProof/>
                <w:webHidden/>
                <w:color w:val="000000" w:themeColor="text1"/>
              </w:rPr>
            </w:r>
            <w:r w:rsidRPr="001C422D">
              <w:rPr>
                <w:noProof/>
                <w:webHidden/>
                <w:color w:val="000000" w:themeColor="text1"/>
              </w:rPr>
              <w:fldChar w:fldCharType="separate"/>
            </w:r>
            <w:r w:rsidRPr="001C422D">
              <w:rPr>
                <w:noProof/>
                <w:webHidden/>
                <w:color w:val="000000" w:themeColor="text1"/>
              </w:rPr>
              <w:t>1</w:t>
            </w:r>
            <w:r w:rsidRPr="001C422D">
              <w:rPr>
                <w:noProof/>
                <w:webHidden/>
                <w:color w:val="000000" w:themeColor="text1"/>
              </w:rPr>
              <w:fldChar w:fldCharType="end"/>
            </w:r>
          </w:hyperlink>
          <w:r w:rsidRPr="001C422D">
            <w:rPr>
              <w:rStyle w:val="Hyperlink"/>
              <w:noProof/>
              <w:color w:val="000000" w:themeColor="text1"/>
              <w:u w:val="none"/>
            </w:rPr>
            <w:t xml:space="preserve"> </w:t>
          </w:r>
          <w:r w:rsidRPr="001C422D">
            <w:ptab w:relativeTo="margin" w:alignment="right" w:leader="dot"/>
          </w:r>
          <w:r w:rsidR="00B960A3">
            <w:rPr>
              <w:b/>
              <w:bCs/>
            </w:rPr>
            <w:t>3</w:t>
          </w:r>
        </w:p>
        <w:p w14:paraId="34E3C6C2" w14:textId="7348194E" w:rsidR="00004C3A" w:rsidRPr="001C422D" w:rsidRDefault="001C422D" w:rsidP="001C422D">
          <w:pPr>
            <w:pStyle w:val="TOC2"/>
            <w:numPr>
              <w:ilvl w:val="0"/>
              <w:numId w:val="4"/>
            </w:numPr>
          </w:pPr>
          <w:r w:rsidRPr="001C422D">
            <w:t xml:space="preserve"> </w:t>
          </w:r>
          <w:r w:rsidR="00004C3A" w:rsidRPr="001C422D">
            <w:t>Importance of effective communication</w:t>
          </w:r>
          <w:r w:rsidR="00004C3A" w:rsidRPr="001C422D">
            <w:rPr>
              <w:webHidden/>
            </w:rPr>
            <w:tab/>
          </w:r>
          <w:r w:rsidR="00004C3A" w:rsidRPr="001C422D">
            <w:rPr>
              <w:webHidden/>
            </w:rPr>
            <w:fldChar w:fldCharType="begin"/>
          </w:r>
          <w:r w:rsidR="00004C3A" w:rsidRPr="001C422D">
            <w:rPr>
              <w:webHidden/>
            </w:rPr>
            <w:instrText xml:space="preserve"> PAGEREF _Toc227885325 \h </w:instrText>
          </w:r>
          <w:r w:rsidR="00004C3A" w:rsidRPr="001C422D">
            <w:rPr>
              <w:webHidden/>
            </w:rPr>
          </w:r>
          <w:r w:rsidR="00004C3A" w:rsidRPr="001C422D">
            <w:rPr>
              <w:webHidden/>
            </w:rPr>
            <w:fldChar w:fldCharType="separate"/>
          </w:r>
          <w:r w:rsidR="00004C3A" w:rsidRPr="001C422D">
            <w:rPr>
              <w:webHidden/>
            </w:rPr>
            <w:t>1</w:t>
          </w:r>
          <w:r w:rsidR="00004C3A" w:rsidRPr="001C422D">
            <w:rPr>
              <w:webHidden/>
            </w:rPr>
            <w:fldChar w:fldCharType="end"/>
          </w:r>
          <w:r w:rsidR="00004C3A" w:rsidRPr="001C422D">
            <w:ptab w:relativeTo="margin" w:alignment="right" w:leader="dot"/>
          </w:r>
          <w:r w:rsidR="00550821">
            <w:t>5</w:t>
          </w:r>
        </w:p>
        <w:p w14:paraId="214CD958" w14:textId="7E8CF2F2" w:rsidR="00004C3A" w:rsidRPr="001C422D" w:rsidRDefault="00386EDD" w:rsidP="001C422D">
          <w:pPr>
            <w:pStyle w:val="TOC3"/>
            <w:numPr>
              <w:ilvl w:val="0"/>
              <w:numId w:val="4"/>
            </w:numPr>
          </w:pPr>
          <w:hyperlink w:anchor="_Toc227885326" w:history="1">
            <w:r w:rsidRPr="001C422D">
              <w:rPr>
                <w:rStyle w:val="Hyperlink"/>
                <w:noProof/>
                <w:color w:val="000000" w:themeColor="text1"/>
                <w:u w:val="none"/>
              </w:rPr>
              <w:t>Importance of good administrative skills</w:t>
            </w:r>
            <w:r w:rsidRPr="001C422D">
              <w:rPr>
                <w:noProof/>
                <w:webHidden/>
                <w:color w:val="000000" w:themeColor="text1"/>
              </w:rPr>
              <w:tab/>
            </w:r>
            <w:r w:rsidRPr="001C422D">
              <w:rPr>
                <w:noProof/>
                <w:webHidden/>
                <w:color w:val="000000" w:themeColor="text1"/>
              </w:rPr>
              <w:fldChar w:fldCharType="begin"/>
            </w:r>
            <w:r w:rsidRPr="001C422D">
              <w:rPr>
                <w:noProof/>
                <w:webHidden/>
                <w:color w:val="000000" w:themeColor="text1"/>
              </w:rPr>
              <w:instrText xml:space="preserve"> PAGEREF _Toc227885326 \h </w:instrText>
            </w:r>
            <w:r w:rsidRPr="001C422D">
              <w:rPr>
                <w:noProof/>
                <w:webHidden/>
                <w:color w:val="000000" w:themeColor="text1"/>
              </w:rPr>
            </w:r>
            <w:r w:rsidRPr="001C422D">
              <w:rPr>
                <w:noProof/>
                <w:webHidden/>
                <w:color w:val="000000" w:themeColor="text1"/>
              </w:rPr>
              <w:fldChar w:fldCharType="separate"/>
            </w:r>
            <w:r w:rsidRPr="001C422D">
              <w:rPr>
                <w:noProof/>
                <w:webHidden/>
                <w:color w:val="000000" w:themeColor="text1"/>
              </w:rPr>
              <w:t>1</w:t>
            </w:r>
            <w:r w:rsidRPr="001C422D">
              <w:rPr>
                <w:noProof/>
                <w:webHidden/>
                <w:color w:val="000000" w:themeColor="text1"/>
              </w:rPr>
              <w:fldChar w:fldCharType="end"/>
            </w:r>
          </w:hyperlink>
          <w:r w:rsidRPr="001C422D">
            <w:rPr>
              <w:rStyle w:val="Hyperlink"/>
              <w:noProof/>
              <w:color w:val="000000" w:themeColor="text1"/>
              <w:u w:val="none"/>
            </w:rPr>
            <w:t xml:space="preserve"> </w:t>
          </w:r>
          <w:r w:rsidR="00004C3A" w:rsidRPr="001C422D">
            <w:ptab w:relativeTo="margin" w:alignment="right" w:leader="dot"/>
          </w:r>
          <w:r w:rsidR="00550821">
            <w:t>6</w:t>
          </w:r>
        </w:p>
        <w:p w14:paraId="1C3AC8C8" w14:textId="73D8BA6D" w:rsidR="00004C3A" w:rsidRPr="001C422D" w:rsidRDefault="00386EDD" w:rsidP="001C422D">
          <w:pPr>
            <w:pStyle w:val="TOC1"/>
            <w:numPr>
              <w:ilvl w:val="0"/>
              <w:numId w:val="4"/>
            </w:numPr>
          </w:pPr>
          <w:hyperlink w:anchor="_Toc227885327" w:history="1">
            <w:r w:rsidRPr="001C422D">
              <w:rPr>
                <w:rStyle w:val="Hyperlink"/>
                <w:noProof/>
                <w:color w:val="000000" w:themeColor="text1"/>
                <w:u w:val="none"/>
              </w:rPr>
              <w:t xml:space="preserve"> Importance of working collaboratively</w:t>
            </w:r>
            <w:r w:rsidRPr="001C422D">
              <w:rPr>
                <w:noProof/>
                <w:webHidden/>
                <w:color w:val="000000" w:themeColor="text1"/>
              </w:rPr>
              <w:tab/>
            </w:r>
            <w:r w:rsidRPr="001C422D">
              <w:rPr>
                <w:noProof/>
                <w:webHidden/>
                <w:color w:val="000000" w:themeColor="text1"/>
              </w:rPr>
              <w:fldChar w:fldCharType="begin"/>
            </w:r>
            <w:r w:rsidRPr="001C422D">
              <w:rPr>
                <w:noProof/>
                <w:webHidden/>
                <w:color w:val="000000" w:themeColor="text1"/>
              </w:rPr>
              <w:instrText xml:space="preserve"> PAGEREF _Toc227885327 \h </w:instrText>
            </w:r>
            <w:r w:rsidRPr="001C422D">
              <w:rPr>
                <w:noProof/>
                <w:webHidden/>
                <w:color w:val="000000" w:themeColor="text1"/>
              </w:rPr>
            </w:r>
            <w:r w:rsidRPr="001C422D">
              <w:rPr>
                <w:noProof/>
                <w:webHidden/>
                <w:color w:val="000000" w:themeColor="text1"/>
              </w:rPr>
              <w:fldChar w:fldCharType="separate"/>
            </w:r>
            <w:r w:rsidRPr="001C422D">
              <w:rPr>
                <w:noProof/>
                <w:webHidden/>
                <w:color w:val="000000" w:themeColor="text1"/>
              </w:rPr>
              <w:t>1</w:t>
            </w:r>
            <w:r w:rsidRPr="001C422D">
              <w:rPr>
                <w:noProof/>
                <w:webHidden/>
                <w:color w:val="000000" w:themeColor="text1"/>
              </w:rPr>
              <w:fldChar w:fldCharType="end"/>
            </w:r>
          </w:hyperlink>
          <w:r w:rsidR="00004C3A" w:rsidRPr="001C422D">
            <w:ptab w:relativeTo="margin" w:alignment="right" w:leader="dot"/>
          </w:r>
          <w:r w:rsidR="00F022FE">
            <w:t>7</w:t>
          </w:r>
        </w:p>
        <w:p w14:paraId="163562E5" w14:textId="0D1E2784" w:rsidR="00004C3A" w:rsidRPr="00AB0F55" w:rsidRDefault="001C422D" w:rsidP="001C422D">
          <w:pPr>
            <w:pStyle w:val="TOC2"/>
            <w:ind w:left="720"/>
            <w:rPr>
              <w:b/>
              <w:bCs/>
            </w:rPr>
          </w:pPr>
          <w:r>
            <w:rPr>
              <w:rStyle w:val="Hyperlink"/>
              <w:noProof/>
              <w:color w:val="000000" w:themeColor="text1"/>
              <w:u w:val="none"/>
            </w:rPr>
            <w:t xml:space="preserve">5. </w:t>
          </w:r>
          <w:hyperlink w:anchor="_Toc227885328" w:history="1">
            <w:r w:rsidR="00386EDD" w:rsidRPr="001C422D">
              <w:rPr>
                <w:rStyle w:val="Hyperlink"/>
                <w:noProof/>
                <w:color w:val="000000" w:themeColor="text1"/>
                <w:u w:val="none"/>
              </w:rPr>
              <w:t xml:space="preserve"> Conclusion</w:t>
            </w:r>
            <w:r w:rsidR="00386EDD" w:rsidRPr="001C422D">
              <w:rPr>
                <w:noProof/>
                <w:webHidden/>
                <w:color w:val="000000" w:themeColor="text1"/>
              </w:rPr>
              <w:tab/>
            </w:r>
            <w:r w:rsidR="00386EDD" w:rsidRPr="001C422D">
              <w:rPr>
                <w:noProof/>
                <w:webHidden/>
                <w:color w:val="000000" w:themeColor="text1"/>
              </w:rPr>
              <w:fldChar w:fldCharType="begin"/>
            </w:r>
            <w:r w:rsidR="00386EDD" w:rsidRPr="001C422D">
              <w:rPr>
                <w:noProof/>
                <w:webHidden/>
                <w:color w:val="000000" w:themeColor="text1"/>
              </w:rPr>
              <w:instrText xml:space="preserve"> PAGEREF _Toc227885328 \h </w:instrText>
            </w:r>
            <w:r w:rsidR="00386EDD" w:rsidRPr="001C422D">
              <w:rPr>
                <w:noProof/>
                <w:webHidden/>
                <w:color w:val="000000" w:themeColor="text1"/>
              </w:rPr>
            </w:r>
            <w:r w:rsidR="00386EDD" w:rsidRPr="001C422D">
              <w:rPr>
                <w:noProof/>
                <w:webHidden/>
                <w:color w:val="000000" w:themeColor="text1"/>
              </w:rPr>
              <w:fldChar w:fldCharType="separate"/>
            </w:r>
            <w:r w:rsidR="00386EDD" w:rsidRPr="001C422D">
              <w:rPr>
                <w:noProof/>
                <w:webHidden/>
                <w:color w:val="000000" w:themeColor="text1"/>
              </w:rPr>
              <w:t>1</w:t>
            </w:r>
            <w:r w:rsidR="00386EDD" w:rsidRPr="001C422D">
              <w:rPr>
                <w:noProof/>
                <w:webHidden/>
                <w:color w:val="000000" w:themeColor="text1"/>
              </w:rPr>
              <w:fldChar w:fldCharType="end"/>
            </w:r>
          </w:hyperlink>
          <w:r w:rsidR="00004C3A" w:rsidRPr="001C422D">
            <w:ptab w:relativeTo="margin" w:alignment="right" w:leader="dot"/>
          </w:r>
          <w:r w:rsidR="00F022FE">
            <w:t>9</w:t>
          </w:r>
        </w:p>
        <w:p w14:paraId="191FB48D" w14:textId="7F0E8560" w:rsidR="00004C3A" w:rsidRDefault="001C422D" w:rsidP="001C422D">
          <w:pPr>
            <w:pStyle w:val="TOC3"/>
            <w:ind w:left="720"/>
          </w:pPr>
          <w:r>
            <w:rPr>
              <w:rStyle w:val="Hyperlink"/>
              <w:noProof/>
              <w:color w:val="000000" w:themeColor="text1"/>
              <w:u w:val="none"/>
            </w:rPr>
            <w:t xml:space="preserve">6. </w:t>
          </w:r>
          <w:hyperlink w:anchor="_Toc227885329" w:history="1">
            <w:r w:rsidRPr="001C422D">
              <w:rPr>
                <w:rStyle w:val="Hyperlink"/>
                <w:noProof/>
                <w:color w:val="000000" w:themeColor="text1"/>
                <w:u w:val="none"/>
              </w:rPr>
              <w:t>References</w:t>
            </w:r>
            <w:r w:rsidRPr="001C422D">
              <w:rPr>
                <w:noProof/>
                <w:webHidden/>
                <w:color w:val="000000" w:themeColor="text1"/>
              </w:rPr>
              <w:tab/>
            </w:r>
            <w:r w:rsidRPr="001C422D">
              <w:rPr>
                <w:noProof/>
                <w:webHidden/>
                <w:color w:val="000000" w:themeColor="text1"/>
              </w:rPr>
              <w:fldChar w:fldCharType="begin"/>
            </w:r>
            <w:r w:rsidRPr="001C422D">
              <w:rPr>
                <w:noProof/>
                <w:webHidden/>
                <w:color w:val="000000" w:themeColor="text1"/>
              </w:rPr>
              <w:instrText xml:space="preserve"> PAGEREF _Toc227885329 \h </w:instrText>
            </w:r>
            <w:r w:rsidRPr="001C422D">
              <w:rPr>
                <w:noProof/>
                <w:webHidden/>
                <w:color w:val="000000" w:themeColor="text1"/>
              </w:rPr>
            </w:r>
            <w:r w:rsidRPr="001C422D">
              <w:rPr>
                <w:noProof/>
                <w:webHidden/>
                <w:color w:val="000000" w:themeColor="text1"/>
              </w:rPr>
              <w:fldChar w:fldCharType="separate"/>
            </w:r>
            <w:r w:rsidRPr="001C422D">
              <w:rPr>
                <w:noProof/>
                <w:webHidden/>
                <w:color w:val="000000" w:themeColor="text1"/>
              </w:rPr>
              <w:t>1</w:t>
            </w:r>
            <w:r w:rsidRPr="001C422D">
              <w:rPr>
                <w:noProof/>
                <w:webHidden/>
                <w:color w:val="000000" w:themeColor="text1"/>
              </w:rPr>
              <w:fldChar w:fldCharType="end"/>
            </w:r>
          </w:hyperlink>
          <w:r w:rsidR="00004C3A">
            <w:ptab w:relativeTo="margin" w:alignment="right" w:leader="dot"/>
          </w:r>
          <w:r w:rsidR="00F022FE">
            <w:t>12</w:t>
          </w:r>
        </w:p>
      </w:sdtContent>
    </w:sdt>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47290140" w14:textId="20E3512F" w:rsidR="00CA4E1B" w:rsidRDefault="00B87E75" w:rsidP="00CA4E1B">
      <w:pPr>
        <w:pStyle w:val="Heading1"/>
        <w:numPr>
          <w:ilvl w:val="0"/>
          <w:numId w:val="1"/>
        </w:numPr>
      </w:pPr>
      <w:r w:rsidRPr="00CD33A8">
        <w:t>Introduction</w:t>
      </w:r>
    </w:p>
    <w:p w14:paraId="6B49BEF5" w14:textId="77777777" w:rsidR="006B57B3" w:rsidRDefault="006B57B3">
      <w:pPr>
        <w:rPr>
          <w:kern w:val="2"/>
          <w:szCs w:val="24"/>
          <w:lang w:eastAsia="en-GB"/>
          <w14:ligatures w14:val="standardContextual"/>
        </w:rPr>
      </w:pPr>
      <w:r>
        <w:t>        Stroke remains one of the leading causes of long-term disability and mortality worldwide, with an estimated 100 million stroke survivors globally (World Stroke Organisation, 2026). In the United Kingdom, communication inequalities further compound post-stroke care, as approximately one million people have limited English proficiency (NHS England, 2025). In practice, limited English proficiency can increase the likelihood of harm unless services make reasonable adjustments to decision-making and communication.</w:t>
      </w:r>
    </w:p>
    <w:p w14:paraId="47B117CD" w14:textId="68BDAC27" w:rsidR="006B57B3" w:rsidRDefault="006B57B3">
      <w:pPr>
        <w:rPr>
          <w:kern w:val="2"/>
          <w:szCs w:val="24"/>
          <w:lang w:eastAsia="en-GB"/>
          <w14:ligatures w14:val="standardContextual"/>
        </w:rPr>
      </w:pPr>
      <w:r>
        <w:t>This report critically analyses three core areas of eff</w:t>
      </w:r>
      <w:r w:rsidR="009D5891">
        <w:t>icient</w:t>
      </w:r>
      <w:r>
        <w:t xml:space="preserve"> health and social care practice: effective communication, good administrative skills, and collaborative working, with reference to relevant theory, legislation and professional standards in Mr. Ahmed’s case (68-year-old post-stroke with Bengali first language, limited spoken English). Following hospital discharge, his care is delivered at home by a care agency in partnership with a Multidisciplinary </w:t>
      </w:r>
      <w:r w:rsidR="00702C9D">
        <w:t>T</w:t>
      </w:r>
      <w:r>
        <w:t>eam (MDT), including a General Practitioner, District Nurse, and Speech and Language Therapist. The occurrence of a medication error signals a decline in communication, recording and handover procedures, increasing preventable risks for vulnerable individuals.</w:t>
      </w:r>
    </w:p>
    <w:p w14:paraId="68C53673" w14:textId="77777777" w:rsidR="008E3943" w:rsidRPr="00CD33A8" w:rsidRDefault="008E3943" w:rsidP="008E3943">
      <w:pPr>
        <w:tabs>
          <w:tab w:val="left" w:pos="6540"/>
        </w:tabs>
        <w:spacing w:line="360" w:lineRule="auto"/>
        <w:rPr>
          <w:rFonts w:ascii="Arial" w:hAnsi="Arial" w:cs="Arial"/>
          <w:sz w:val="22"/>
        </w:rPr>
      </w:pPr>
    </w:p>
    <w:p w14:paraId="1F5969DE" w14:textId="77777777" w:rsidR="0020390E" w:rsidRDefault="0020390E">
      <w:pPr>
        <w:rPr>
          <w:rFonts w:ascii="Arial" w:hAnsi="Arial" w:cs="Arial"/>
          <w:sz w:val="22"/>
        </w:rPr>
      </w:pPr>
      <w:r>
        <w:rPr>
          <w:rFonts w:ascii="Arial" w:hAnsi="Arial" w:cs="Arial"/>
          <w:sz w:val="22"/>
        </w:rPr>
        <w:br w:type="page"/>
      </w:r>
    </w:p>
    <w:p w14:paraId="29B97042" w14:textId="77777777" w:rsidR="00BC6FC6" w:rsidRDefault="00BC6FC6" w:rsidP="00CD33A8">
      <w:pPr>
        <w:tabs>
          <w:tab w:val="left" w:pos="6540"/>
        </w:tabs>
        <w:spacing w:line="360" w:lineRule="auto"/>
        <w:rPr>
          <w:rFonts w:ascii="Arial" w:hAnsi="Arial" w:cs="Arial"/>
          <w:sz w:val="22"/>
        </w:rPr>
      </w:pPr>
      <w:r>
        <w:rPr>
          <w:rFonts w:ascii="Arial" w:hAnsi="Arial" w:cs="Arial"/>
          <w:sz w:val="22"/>
        </w:rPr>
        <w:br w:type="page"/>
      </w:r>
    </w:p>
    <w:p w14:paraId="52010A5E" w14:textId="347C9052" w:rsidR="0026393A" w:rsidRPr="00CD33A8" w:rsidRDefault="00CA4E1B" w:rsidP="00CD33A8">
      <w:pPr>
        <w:tabs>
          <w:tab w:val="left" w:pos="6540"/>
        </w:tabs>
        <w:spacing w:line="360" w:lineRule="auto"/>
        <w:rPr>
          <w:rFonts w:ascii="Arial" w:hAnsi="Arial" w:cs="Arial"/>
          <w:sz w:val="22"/>
        </w:rPr>
      </w:pPr>
      <w:r>
        <w:rPr>
          <w:rFonts w:ascii="Arial" w:hAnsi="Arial" w:cs="Arial"/>
          <w:sz w:val="22"/>
        </w:rPr>
        <w:tab/>
      </w:r>
    </w:p>
    <w:p w14:paraId="73B07562" w14:textId="07443753" w:rsidR="008E3943" w:rsidRDefault="008E3943" w:rsidP="00A64C9A">
      <w:pPr>
        <w:pStyle w:val="Heading1"/>
        <w:numPr>
          <w:ilvl w:val="0"/>
          <w:numId w:val="1"/>
        </w:numPr>
      </w:pPr>
      <w:r>
        <w:t>I</w:t>
      </w:r>
      <w:r w:rsidRPr="008E3943">
        <w:t>mportance of effective communication</w:t>
      </w:r>
    </w:p>
    <w:p w14:paraId="2A252762" w14:textId="77777777" w:rsidR="006B57B3" w:rsidRDefault="006B57B3">
      <w:pPr>
        <w:ind w:left="360"/>
        <w:rPr>
          <w:kern w:val="2"/>
          <w:szCs w:val="24"/>
          <w:lang w:eastAsia="en-GB"/>
          <w14:ligatures w14:val="standardContextual"/>
        </w:rPr>
      </w:pPr>
      <w:r>
        <w:t>Effective communication is widely recognised as a cornerstone of safe, high-quality, person-centred care (World Health Organisation, 2025). For Mr. Ahmed, communication is not merely a practical necessity but a fundamental mechanism through which his rights, dignity, and autonomy are upheld. Following a stroke, individuals may experience cognitive, speech, and emotional challenges, which can significantly affect their ability to engage with healthcare professionals. When communication is ineffective, the risk of misunderstanding, reduced engagement, and clinical error increases substantially. For example, in England, 55 per cent of people reported poor communication experiences with the NHS since 2018, with 10 per cent linking this directly to negative care outcomes (Patients Association, 2023).</w:t>
      </w:r>
    </w:p>
    <w:p w14:paraId="2EEE9AE2" w14:textId="035992B8" w:rsidR="006B57B3" w:rsidRDefault="006B57B3">
      <w:pPr>
        <w:ind w:left="360"/>
        <w:rPr>
          <w:kern w:val="2"/>
          <w:szCs w:val="24"/>
          <w:lang w:eastAsia="en-GB"/>
          <w14:ligatures w14:val="standardContextual"/>
        </w:rPr>
      </w:pPr>
      <w:r>
        <w:t xml:space="preserve">To support Mr. Ahmed appropriately, healthcare professionals must adopt a person-centred communication approach. This includes using clear, jargon-free language, checking understanding regularly, and allowing sufficient time for responses. Importantly, communication should not rely solely on spoken English. Providing Bengali written instructions improves accessibility; however, effectiveness is achieved when matched to Mr. Ahmed’s literacy and post-stroke communication </w:t>
      </w:r>
      <w:r w:rsidR="002B542E">
        <w:t>abilities</w:t>
      </w:r>
      <w:r>
        <w:t xml:space="preserve"> (NHS Shared Business Services, 2024).</w:t>
      </w:r>
    </w:p>
    <w:p w14:paraId="3E924A80" w14:textId="419D46FE" w:rsidR="006B57B3" w:rsidRDefault="006B57B3">
      <w:pPr>
        <w:ind w:left="360"/>
        <w:rPr>
          <w:kern w:val="2"/>
          <w:szCs w:val="24"/>
          <w:lang w:eastAsia="en-GB"/>
          <w14:ligatures w14:val="standardContextual"/>
        </w:rPr>
      </w:pPr>
      <w:r>
        <w:t xml:space="preserve">Active listening must be demonstrated through strategies such as restating and summarising. Allowing Mr. Ahmed to express concerns in his preferred language, </w:t>
      </w:r>
      <w:r w:rsidR="002D72AE">
        <w:t xml:space="preserve">through </w:t>
      </w:r>
      <w:r>
        <w:t>professional interpreters as required, reinforces respect and builds therapeutic trust (Skills for Health, 2024). Non-verbal communication, including facial expressions, body language, and tone, also plays an important role in conveying empathy and reassurance, particularly when verbal communication is limited.</w:t>
      </w:r>
    </w:p>
    <w:p w14:paraId="15F5B1D1" w14:textId="4D2CC841" w:rsidR="006B57B3" w:rsidRDefault="006B57B3">
      <w:pPr>
        <w:ind w:left="360"/>
        <w:rPr>
          <w:kern w:val="2"/>
          <w:szCs w:val="24"/>
          <w:lang w:eastAsia="en-GB"/>
          <w14:ligatures w14:val="standardContextual"/>
        </w:rPr>
      </w:pPr>
      <w:r>
        <w:t>Although Mr. Ahmed’s wife provides valuable informal support, family as interpreters risks omission</w:t>
      </w:r>
      <w:r w:rsidR="00B0075A">
        <w:t>s</w:t>
      </w:r>
      <w:r>
        <w:t xml:space="preserve"> and loss of confidentiality, particularly during complex clinical discussions. Therefore, trained interpreters should be used, with information shared only </w:t>
      </w:r>
      <w:r w:rsidR="00B0075A">
        <w:t>with</w:t>
      </w:r>
      <w:r>
        <w:t xml:space="preserve"> Mr. Ahmed’s consent in line with the Data Protection Act 2018 and UK GDPR (NHS Digital, 2023; </w:t>
      </w:r>
      <w:proofErr w:type="spellStart"/>
      <w:r>
        <w:t>Karashneh</w:t>
      </w:r>
      <w:proofErr w:type="spellEnd"/>
      <w:r>
        <w:t xml:space="preserve"> et al., 2025). Cultural awareness is also vital: family structures, communication norms, and expectations around healthcare can vary considerably. Hence, professionals should approach these differences with genuine curiosity and respect (NHS England, 2025).</w:t>
      </w:r>
    </w:p>
    <w:p w14:paraId="239B7BDC" w14:textId="77777777" w:rsidR="006B57B3" w:rsidRDefault="006B57B3">
      <w:pPr>
        <w:ind w:left="360"/>
        <w:rPr>
          <w:kern w:val="2"/>
          <w:szCs w:val="24"/>
          <w:lang w:eastAsia="en-GB"/>
          <w14:ligatures w14:val="standardContextual"/>
        </w:rPr>
      </w:pPr>
      <w:r>
        <w:t>Berlo’s Sender, Message, Channel Receiver (SMCR) Model of Communication (1960) provides a useful framework for understanding communication challenges in this case. Therefore, MDT, as the sender, should prioritise messages that are culturally sensitive, linguistically accessible, and delivered through appropriate channels, not only verbal explanations but also Bengali written materials. Feedback from Mr. Ahmed is essential in confirming understanding and identifying barriers (Communication Theory, 2024).</w:t>
      </w:r>
    </w:p>
    <w:p w14:paraId="0010A4B2" w14:textId="678878DA" w:rsidR="006B57B3" w:rsidRDefault="006B57B3">
      <w:pPr>
        <w:ind w:left="360"/>
        <w:rPr>
          <w:kern w:val="2"/>
          <w:szCs w:val="24"/>
          <w:lang w:eastAsia="en-GB"/>
          <w14:ligatures w14:val="standardContextual"/>
        </w:rPr>
      </w:pPr>
      <w:r>
        <w:t>Legally, the Equality Act 2010 requires healthcare providers to make reasonable adjustments for individuals with protected characteristics, including disability and ethnicity. For Mr. Ahmed, effective communication is therefore not optional, but a statutory obligation for equitable and inclusive care. This includes access to professional Bengali interpretation, adapted communication methods to accommodate any speech or cognitive difficulties resulting from his stroke, while responsive to his cultural and religious preferences (Equality and Human Rights Commission, 2014).</w:t>
      </w:r>
    </w:p>
    <w:p w14:paraId="11FFDCF0" w14:textId="2C3BE86D" w:rsidR="00141F3E" w:rsidRPr="00A64C9A" w:rsidRDefault="00141F3E" w:rsidP="00141F3E">
      <w:pPr>
        <w:ind w:left="360"/>
      </w:pPr>
    </w:p>
    <w:p w14:paraId="0537CEF5" w14:textId="77777777" w:rsidR="003E4ECF" w:rsidRDefault="003E4ECF" w:rsidP="00CD33A8">
      <w:pPr>
        <w:tabs>
          <w:tab w:val="left" w:pos="6540"/>
        </w:tabs>
        <w:spacing w:line="360" w:lineRule="auto"/>
        <w:rPr>
          <w:rFonts w:asciiTheme="minorBidi" w:hAnsiTheme="minorBidi"/>
          <w:sz w:val="22"/>
        </w:rPr>
      </w:pPr>
    </w:p>
    <w:p w14:paraId="336F5447" w14:textId="77777777" w:rsidR="008E3943" w:rsidRDefault="008E3943" w:rsidP="00CD33A8">
      <w:pPr>
        <w:tabs>
          <w:tab w:val="left" w:pos="6540"/>
        </w:tabs>
        <w:spacing w:line="360" w:lineRule="auto"/>
        <w:rPr>
          <w:rFonts w:asciiTheme="minorBidi" w:hAnsiTheme="minorBidi"/>
          <w:sz w:val="22"/>
        </w:rPr>
      </w:pPr>
    </w:p>
    <w:p w14:paraId="3398AF2B" w14:textId="77777777" w:rsidR="008E3943" w:rsidRPr="00CD33A8" w:rsidRDefault="008E3943" w:rsidP="00CD33A8">
      <w:pPr>
        <w:tabs>
          <w:tab w:val="left" w:pos="6540"/>
        </w:tabs>
        <w:spacing w:line="360" w:lineRule="auto"/>
        <w:rPr>
          <w:rFonts w:asciiTheme="minorBidi" w:hAnsiTheme="minorBidi"/>
          <w:sz w:val="22"/>
        </w:rPr>
      </w:pPr>
    </w:p>
    <w:p w14:paraId="60B2CDC3" w14:textId="738127CA" w:rsidR="00B87E75" w:rsidRDefault="008E3943" w:rsidP="003F0231">
      <w:pPr>
        <w:pStyle w:val="Heading1"/>
        <w:numPr>
          <w:ilvl w:val="0"/>
          <w:numId w:val="1"/>
        </w:numPr>
      </w:pPr>
      <w:r>
        <w:t>I</w:t>
      </w:r>
      <w:r w:rsidRPr="008E3943">
        <w:t xml:space="preserve">mportance of good administrative skills </w:t>
      </w:r>
    </w:p>
    <w:p w14:paraId="6677ECB2" w14:textId="77777777" w:rsidR="006B57B3" w:rsidRDefault="006B57B3">
      <w:pPr>
        <w:spacing w:line="240" w:lineRule="auto"/>
        <w:rPr>
          <w:kern w:val="2"/>
          <w:szCs w:val="24"/>
          <w:lang w:eastAsia="en-GB"/>
          <w14:ligatures w14:val="standardContextual"/>
        </w:rPr>
      </w:pPr>
      <w:r>
        <w:rPr>
          <w:color w:val="000000"/>
          <w:sz w:val="27"/>
          <w:szCs w:val="27"/>
        </w:rPr>
        <w:t>Good administrative skills are fundamental to delivering safe, effective, and legally compliant care. In Mr. Ahmed’s case, robust administration underpins every aspect of his support, from care planning and medication management to information sharing across the MDT. Administrative processes are not peripheral tasks; they provide the organisational structure that enables continuity, accountability, and patient safety.</w:t>
      </w:r>
    </w:p>
    <w:p w14:paraId="443E960B" w14:textId="77777777" w:rsidR="006B57B3" w:rsidRDefault="006B57B3">
      <w:pPr>
        <w:spacing w:line="240" w:lineRule="auto"/>
        <w:rPr>
          <w:kern w:val="2"/>
          <w:szCs w:val="24"/>
          <w:lang w:eastAsia="en-GB"/>
          <w14:ligatures w14:val="standardContextual"/>
        </w:rPr>
      </w:pPr>
      <w:r>
        <w:rPr>
          <w:color w:val="000000"/>
          <w:sz w:val="27"/>
          <w:szCs w:val="27"/>
        </w:rPr>
        <w:t>Accurate, timely, and comprehensive record keeping is central to good administrative practice. Care records, including medication charts, risk assessments, and progress notes, ensure that all professionals involved in Mr. Ahmed’s care are working from the same, up-to-date information. Poor documentation increases the risk of duplication, omission, and error, particularly during handovers between services (HCPC, 2024). The medication incident in this case highlights the potentially serious consequences of administrative failures.</w:t>
      </w:r>
    </w:p>
    <w:p w14:paraId="27562FB4" w14:textId="77777777" w:rsidR="00F15A70" w:rsidRPr="00F15A70" w:rsidRDefault="00F15A70" w:rsidP="00F15A70">
      <w:pPr>
        <w:spacing w:before="100" w:beforeAutospacing="1" w:after="100" w:afterAutospacing="1" w:line="240" w:lineRule="auto"/>
        <w:rPr>
          <w:rFonts w:eastAsia="Times New Roman" w:cs="Times New Roman"/>
          <w:color w:val="000000"/>
          <w:sz w:val="27"/>
          <w:szCs w:val="27"/>
          <w:lang w:eastAsia="en-GB"/>
        </w:rPr>
      </w:pPr>
      <w:r w:rsidRPr="00F15A70">
        <w:rPr>
          <w:rFonts w:eastAsia="Times New Roman" w:cs="Times New Roman"/>
          <w:color w:val="000000"/>
          <w:sz w:val="27"/>
          <w:szCs w:val="27"/>
          <w:lang w:eastAsia="en-GB"/>
        </w:rPr>
        <w:t>Increasingly, administrative practice is shaped by digitalisation within health and social care systems. Electronic care records, digital medication administration systems, and shared information platforms improve accuracy, accessibility, and coordination of care when used correctly (NHS Digital, 2023). Digital records allow professionals across agencies to update and access real-time information, reducing delays and supporting safer clinical decision-making. However, digital systems must still prioritise accessibility; for Mr Ahmed, this includes attaching or uploading Bengali-language documents, such as translated care instructions and appointment summaries, to his digital record to ensure culturally inclusive care.</w:t>
      </w:r>
    </w:p>
    <w:p w14:paraId="57ECB187" w14:textId="77777777" w:rsidR="006B57B3" w:rsidRDefault="006B57B3">
      <w:pPr>
        <w:spacing w:line="240" w:lineRule="auto"/>
        <w:rPr>
          <w:kern w:val="2"/>
          <w:szCs w:val="24"/>
          <w:lang w:eastAsia="en-GB"/>
          <w14:ligatures w14:val="standardContextual"/>
        </w:rPr>
      </w:pPr>
      <w:r>
        <w:rPr>
          <w:color w:val="000000"/>
          <w:sz w:val="27"/>
          <w:szCs w:val="27"/>
        </w:rPr>
        <w:t>Increasingly, administrative practice is shaped by digitalisation within health and social care systems. Electronic care records, digital medication administration systems, and shared information platforms improve accuracy, accessibility, and coordination of care when used correctly (NHS Digital, 2023). Digital records allow professionals across agencies to update and access real-time information, reducing delays and supporting safer clinical decision-making. However, digital systems must still prioritise accessibility; for Mr. Ahmed, this includes attaching or uploading Bengali-language documents, such as translated care instructions and appointment summaries, to his digital record to ensure culturally inclusive care.</w:t>
      </w:r>
    </w:p>
    <w:p w14:paraId="79FA5527" w14:textId="77777777" w:rsidR="006B57B3" w:rsidRDefault="006B57B3">
      <w:pPr>
        <w:spacing w:line="240" w:lineRule="auto"/>
        <w:rPr>
          <w:kern w:val="2"/>
          <w:szCs w:val="24"/>
          <w:lang w:eastAsia="en-GB"/>
          <w14:ligatures w14:val="standardContextual"/>
        </w:rPr>
      </w:pPr>
      <w:r>
        <w:rPr>
          <w:color w:val="000000"/>
          <w:sz w:val="27"/>
          <w:szCs w:val="27"/>
        </w:rPr>
        <w:t>Legislation such as the Care Act 2014 and the Mental Capacity Act 2005 also impose clear administrative duties. Capacity assessments, consent decisions, and best-interest processes must be thoroughly documented to demonstrate lawful and ethical practice. These records ensure transparency and safeguard Mr. Ahmed’s rights should decisions be questioned or reviewed.</w:t>
      </w:r>
    </w:p>
    <w:p w14:paraId="7A60FC61" w14:textId="77777777" w:rsidR="00910661" w:rsidRDefault="00910661" w:rsidP="00910661">
      <w:pPr>
        <w:spacing w:before="100" w:beforeAutospacing="1" w:after="100" w:afterAutospacing="1" w:line="240" w:lineRule="auto"/>
        <w:rPr>
          <w:rFonts w:eastAsia="Times New Roman" w:cs="Times New Roman"/>
          <w:color w:val="000000"/>
          <w:sz w:val="27"/>
          <w:szCs w:val="27"/>
          <w:lang w:eastAsia="en-GB"/>
        </w:rPr>
      </w:pPr>
      <w:r w:rsidRPr="00910661">
        <w:rPr>
          <w:rFonts w:eastAsia="Times New Roman" w:cs="Times New Roman"/>
          <w:color w:val="000000"/>
          <w:sz w:val="27"/>
          <w:szCs w:val="27"/>
          <w:lang w:eastAsia="en-GB"/>
        </w:rPr>
        <w:t>In addition, effective administrative oversight supports quality assurance and continuous improvement within care organisations. Regular audits of records, medication procedures, and digital systems help to identify risks early and ensure compliance with professional and legal standards. This proactive approach reduces the likelihood of recurring errors and strengthens organisational accountability.</w:t>
      </w:r>
    </w:p>
    <w:p w14:paraId="1942650D" w14:textId="77777777" w:rsidR="006B57B3" w:rsidRDefault="006B57B3">
      <w:pPr>
        <w:spacing w:line="240" w:lineRule="auto"/>
        <w:rPr>
          <w:kern w:val="2"/>
          <w:szCs w:val="24"/>
          <w:lang w:eastAsia="en-GB"/>
          <w14:ligatures w14:val="standardContextual"/>
        </w:rPr>
      </w:pPr>
      <w:r>
        <w:rPr>
          <w:color w:val="000000"/>
          <w:sz w:val="27"/>
          <w:szCs w:val="27"/>
        </w:rPr>
        <w:t>Ultimately, good administrative practice provides the legal, digital, and organisational foundation for safe care. For individuals navigating complex systems following stroke, such as Mr. Ahmed, effective administration is not an optional support but a critical safeguard.</w:t>
      </w:r>
    </w:p>
    <w:p w14:paraId="5E0B7137" w14:textId="77777777" w:rsidR="00686470" w:rsidRPr="00910661" w:rsidRDefault="00686470" w:rsidP="00910661">
      <w:pPr>
        <w:spacing w:before="100" w:beforeAutospacing="1" w:after="100" w:afterAutospacing="1" w:line="240" w:lineRule="auto"/>
        <w:rPr>
          <w:rFonts w:eastAsia="Times New Roman" w:cs="Times New Roman"/>
          <w:color w:val="000000"/>
          <w:sz w:val="27"/>
          <w:szCs w:val="27"/>
          <w:lang w:eastAsia="en-GB"/>
        </w:rPr>
      </w:pPr>
    </w:p>
    <w:p w14:paraId="764B9675" w14:textId="75BF0447" w:rsidR="00F15A70" w:rsidRPr="00F15A70" w:rsidRDefault="00F15A70" w:rsidP="00F15A70">
      <w:pPr>
        <w:spacing w:before="100" w:beforeAutospacing="1" w:after="100" w:afterAutospacing="1" w:line="240" w:lineRule="auto"/>
        <w:rPr>
          <w:rFonts w:eastAsia="Times New Roman" w:cs="Times New Roman"/>
          <w:color w:val="000000"/>
          <w:sz w:val="27"/>
          <w:szCs w:val="27"/>
          <w:lang w:eastAsia="en-GB"/>
        </w:rPr>
      </w:pPr>
    </w:p>
    <w:p w14:paraId="11229E95" w14:textId="77777777" w:rsidR="00F15A70" w:rsidRPr="00F15A70" w:rsidRDefault="00F15A70" w:rsidP="00F15A70"/>
    <w:p w14:paraId="651BB87B" w14:textId="2FE2CEE6" w:rsidR="003F0231" w:rsidRPr="000A318F" w:rsidRDefault="003F0231" w:rsidP="000A318F">
      <w:pPr>
        <w:pStyle w:val="ListParagraph"/>
        <w:spacing w:before="100" w:beforeAutospacing="1" w:after="100" w:afterAutospacing="1" w:line="240" w:lineRule="auto"/>
        <w:rPr>
          <w:rFonts w:eastAsia="Times New Roman" w:cs="Times New Roman"/>
          <w:color w:val="000000"/>
          <w:sz w:val="27"/>
          <w:szCs w:val="27"/>
          <w:lang w:eastAsia="en-GB"/>
        </w:rPr>
      </w:pPr>
    </w:p>
    <w:p w14:paraId="071B95D6" w14:textId="0515524D" w:rsidR="00785F69" w:rsidRPr="00785F69" w:rsidRDefault="00785F69" w:rsidP="00785F69">
      <w:pPr>
        <w:tabs>
          <w:tab w:val="left" w:pos="6540"/>
        </w:tabs>
        <w:spacing w:line="360" w:lineRule="auto"/>
        <w:rPr>
          <w:rFonts w:asciiTheme="minorBidi" w:hAnsiTheme="minorBidi"/>
          <w:sz w:val="22"/>
        </w:rPr>
      </w:pPr>
    </w:p>
    <w:p w14:paraId="7519CA01" w14:textId="77777777" w:rsidR="00077533" w:rsidRDefault="00077533" w:rsidP="00CD33A8">
      <w:pPr>
        <w:tabs>
          <w:tab w:val="left" w:pos="6540"/>
        </w:tabs>
        <w:spacing w:line="360" w:lineRule="auto"/>
        <w:rPr>
          <w:rFonts w:asciiTheme="minorBidi" w:hAnsiTheme="minorBidi"/>
          <w:sz w:val="22"/>
        </w:rPr>
      </w:pPr>
    </w:p>
    <w:p w14:paraId="68FFD705" w14:textId="77777777" w:rsidR="008E3943" w:rsidRDefault="008E3943" w:rsidP="00CD33A8">
      <w:pPr>
        <w:tabs>
          <w:tab w:val="left" w:pos="6540"/>
        </w:tabs>
        <w:spacing w:line="360" w:lineRule="auto"/>
        <w:rPr>
          <w:rFonts w:asciiTheme="minorBidi" w:hAnsiTheme="minorBidi"/>
          <w:sz w:val="22"/>
        </w:rPr>
      </w:pPr>
    </w:p>
    <w:p w14:paraId="2B008FF6" w14:textId="77777777" w:rsidR="008E3943" w:rsidRPr="00CD33A8" w:rsidRDefault="008E3943" w:rsidP="00CD33A8">
      <w:pPr>
        <w:tabs>
          <w:tab w:val="left" w:pos="6540"/>
        </w:tabs>
        <w:spacing w:line="360" w:lineRule="auto"/>
        <w:rPr>
          <w:rFonts w:asciiTheme="minorBidi" w:hAnsiTheme="minorBidi"/>
          <w:sz w:val="22"/>
        </w:rPr>
      </w:pPr>
    </w:p>
    <w:p w14:paraId="581C99BF" w14:textId="264B49DF" w:rsidR="00B87E75" w:rsidRPr="00CD33A8" w:rsidRDefault="004A736E" w:rsidP="00E620E7">
      <w:pPr>
        <w:pStyle w:val="Heading1"/>
      </w:pPr>
      <w:r w:rsidRPr="00CD33A8">
        <w:t>4</w:t>
      </w:r>
      <w:r w:rsidR="00B87E75" w:rsidRPr="00CD33A8">
        <w:t xml:space="preserve">. </w:t>
      </w:r>
      <w:r w:rsidR="008E3943">
        <w:t>I</w:t>
      </w:r>
      <w:r w:rsidR="008E3943" w:rsidRPr="008E3943">
        <w:t>mportance of working collaboratively</w:t>
      </w:r>
    </w:p>
    <w:p w14:paraId="67488906" w14:textId="77777777" w:rsidR="006B57B3" w:rsidRDefault="006B57B3">
      <w:pPr>
        <w:spacing w:line="360" w:lineRule="auto"/>
        <w:rPr>
          <w:kern w:val="2"/>
          <w:szCs w:val="24"/>
          <w:lang w:eastAsia="en-GB"/>
          <w14:ligatures w14:val="standardContextual"/>
        </w:rPr>
      </w:pPr>
      <w:r>
        <w:rPr>
          <w:rFonts w:ascii="Arial" w:hAnsi="Arial" w:cs="Arial"/>
          <w:sz w:val="22"/>
        </w:rPr>
        <w:t>Mr. Ahmed’s needs following a stroke are complex and multifaceted, encompassing physical rehabilitation, medication management, communication support, wound care, and emotional well-being. No single professional can address these needs in isolation. Effective, collaborative working between health and social care professionals is therefore essential to ensure safe, coordinated, and person-centred care (NHS England, 2023).</w:t>
      </w:r>
    </w:p>
    <w:p w14:paraId="12E26AE4" w14:textId="77777777" w:rsidR="004C7CE4" w:rsidRDefault="004C7CE4" w:rsidP="004C7CE4">
      <w:pPr>
        <w:tabs>
          <w:tab w:val="left" w:pos="6540"/>
        </w:tabs>
        <w:spacing w:line="360" w:lineRule="auto"/>
        <w:rPr>
          <w:rFonts w:asciiTheme="minorBidi" w:hAnsiTheme="minorBidi"/>
          <w:sz w:val="22"/>
        </w:rPr>
      </w:pPr>
      <w:r w:rsidRPr="00DA541F">
        <w:rPr>
          <w:rFonts w:asciiTheme="minorBidi" w:hAnsiTheme="minorBidi"/>
          <w:sz w:val="22"/>
        </w:rPr>
        <w:t>The multidisciplinary team (MDT) provides the structural framework for collaboration. Each professional contributes specialist knowledge while working towards shared goals outlined in an integrated care plan. Regular communication, clear documentation, and agreed role boundaries reduce fragmentation and duplication of care. The Care Act 2014 reinforces this approach by placing a statutory duty on organisations to cooperate in meeting individuals’ assessed needs (SCIE, 2023).</w:t>
      </w:r>
    </w:p>
    <w:p w14:paraId="0508133F" w14:textId="0788B157" w:rsidR="004B5304" w:rsidRDefault="006B57B3">
      <w:pPr>
        <w:spacing w:line="360" w:lineRule="auto"/>
        <w:rPr>
          <w:rFonts w:ascii="Arial" w:hAnsi="Arial" w:cs="Arial"/>
          <w:sz w:val="22"/>
        </w:rPr>
      </w:pPr>
      <w:r>
        <w:rPr>
          <w:rFonts w:ascii="Arial" w:hAnsi="Arial" w:cs="Arial"/>
          <w:sz w:val="22"/>
        </w:rPr>
        <w:t>Trust is the foundation of effective collaborative working. Professionals must feel confident that their observations and concerns will be respected and acted upon. For example, if a home carer identifies changes in Mr. Ahmed’s medication tolerance or communication ability, they should feel empowered to escalate this promptly. The HCPC (2024) emphasises that practitioners must recognise the limits of their competence and seek input from others when necessary. Such professional accountability strengthens patient safety.</w:t>
      </w:r>
      <w:r w:rsidR="004B5304">
        <w:rPr>
          <w:rFonts w:ascii="Arial" w:hAnsi="Arial" w:cs="Arial"/>
          <w:sz w:val="22"/>
        </w:rPr>
        <w:br w:type="page"/>
      </w:r>
    </w:p>
    <w:p w14:paraId="2207FDF2" w14:textId="77777777" w:rsidR="006B57B3" w:rsidRDefault="006B57B3">
      <w:pPr>
        <w:spacing w:line="360" w:lineRule="auto"/>
        <w:rPr>
          <w:kern w:val="2"/>
          <w:szCs w:val="24"/>
          <w:lang w:eastAsia="en-GB"/>
          <w14:ligatures w14:val="standardContextual"/>
        </w:rPr>
      </w:pPr>
    </w:p>
    <w:p w14:paraId="46F8D291" w14:textId="77777777" w:rsidR="006B57B3" w:rsidRDefault="006B57B3">
      <w:pPr>
        <w:spacing w:line="360" w:lineRule="auto"/>
        <w:rPr>
          <w:kern w:val="2"/>
          <w:szCs w:val="24"/>
          <w:lang w:eastAsia="en-GB"/>
          <w14:ligatures w14:val="standardContextual"/>
        </w:rPr>
      </w:pPr>
      <w:r>
        <w:rPr>
          <w:rFonts w:ascii="Arial" w:hAnsi="Arial" w:cs="Arial"/>
          <w:sz w:val="22"/>
        </w:rPr>
        <w:t>Language and cultural considerations add further complexity to collaboration. Mr. Ahmed must be meaningfully included in MDT discussions about his care. Relying on his wife to translate during formal reviews is inappropriate and risks excluding his independent voice. Professional interpreters, alongside written Bengali materials, should be used to support his direct participation (NHS Shared Business Services, 2024).</w:t>
      </w:r>
    </w:p>
    <w:p w14:paraId="4B647876" w14:textId="77777777" w:rsidR="006B57B3" w:rsidRDefault="006B57B3">
      <w:pPr>
        <w:spacing w:line="360" w:lineRule="auto"/>
        <w:rPr>
          <w:kern w:val="2"/>
          <w:szCs w:val="24"/>
          <w:lang w:eastAsia="en-GB"/>
          <w14:ligatures w14:val="standardContextual"/>
        </w:rPr>
      </w:pPr>
      <w:r>
        <w:rPr>
          <w:rFonts w:ascii="Arial" w:hAnsi="Arial" w:cs="Arial"/>
          <w:sz w:val="22"/>
        </w:rPr>
        <w:t xml:space="preserve">Cultural humility is also central to collaborative care. </w:t>
      </w:r>
      <w:proofErr w:type="spellStart"/>
      <w:r>
        <w:rPr>
          <w:rFonts w:ascii="Arial" w:hAnsi="Arial" w:cs="Arial"/>
          <w:sz w:val="22"/>
        </w:rPr>
        <w:t>Tervalon</w:t>
      </w:r>
      <w:proofErr w:type="spellEnd"/>
      <w:r>
        <w:rPr>
          <w:rFonts w:ascii="Arial" w:hAnsi="Arial" w:cs="Arial"/>
          <w:sz w:val="22"/>
        </w:rPr>
        <w:t xml:space="preserve"> and Murray-García (1998) describe cultural humility as an ongoing process of self-reflection and learning, rather than a fixed set of competencies. Practitioners who adopt this approach are more likely to build respectful partnerships with Mr. Ahmed and his family.</w:t>
      </w:r>
    </w:p>
    <w:p w14:paraId="61ACFD7A" w14:textId="77777777" w:rsidR="006B57B3" w:rsidRDefault="006B57B3">
      <w:pPr>
        <w:spacing w:line="360" w:lineRule="auto"/>
        <w:rPr>
          <w:kern w:val="2"/>
          <w:szCs w:val="24"/>
          <w:lang w:eastAsia="en-GB"/>
          <w14:ligatures w14:val="standardContextual"/>
        </w:rPr>
      </w:pPr>
      <w:r>
        <w:rPr>
          <w:rFonts w:ascii="Arial" w:hAnsi="Arial" w:cs="Arial"/>
          <w:sz w:val="22"/>
        </w:rPr>
        <w:t>The medication error serves as a powerful reminder of the consequences of poor collaboration. Following such incidents, structured MDT reviews and root cause analyses should be conducted to identify systemic failures rather than individual blame. A culture of openness and shared accountability is essential in preventing recurrence and upholding Mr. Ahmed’s safety and dignity (NHS England, 2023).</w:t>
      </w:r>
    </w:p>
    <w:p w14:paraId="682D1769" w14:textId="77777777" w:rsidR="003E4ECF" w:rsidRDefault="003E4ECF" w:rsidP="00CD33A8">
      <w:pPr>
        <w:tabs>
          <w:tab w:val="left" w:pos="6540"/>
        </w:tabs>
        <w:spacing w:line="360" w:lineRule="auto"/>
        <w:rPr>
          <w:rFonts w:asciiTheme="minorBidi" w:hAnsiTheme="minorBidi"/>
          <w:sz w:val="22"/>
        </w:rPr>
      </w:pPr>
    </w:p>
    <w:p w14:paraId="15C25996" w14:textId="77777777" w:rsidR="008E3943" w:rsidRDefault="008E3943" w:rsidP="00CD33A8">
      <w:pPr>
        <w:tabs>
          <w:tab w:val="left" w:pos="6540"/>
        </w:tabs>
        <w:spacing w:line="360" w:lineRule="auto"/>
        <w:rPr>
          <w:rFonts w:asciiTheme="minorBidi" w:hAnsiTheme="minorBidi"/>
          <w:sz w:val="22"/>
        </w:rPr>
      </w:pPr>
    </w:p>
    <w:p w14:paraId="3A742EE2" w14:textId="77777777" w:rsidR="008E3943" w:rsidRPr="00CD33A8" w:rsidRDefault="008E3943" w:rsidP="00CD33A8">
      <w:pPr>
        <w:tabs>
          <w:tab w:val="left" w:pos="6540"/>
        </w:tabs>
        <w:spacing w:line="360" w:lineRule="auto"/>
        <w:rPr>
          <w:rFonts w:asciiTheme="minorBidi" w:hAnsiTheme="minorBidi"/>
          <w:sz w:val="22"/>
        </w:rPr>
      </w:pPr>
    </w:p>
    <w:p w14:paraId="6DBC958B" w14:textId="57A4111A" w:rsidR="00CD33A8" w:rsidRDefault="008E3943" w:rsidP="00345AD6">
      <w:pPr>
        <w:pStyle w:val="Heading1"/>
      </w:pPr>
      <w:r>
        <w:t>5</w:t>
      </w:r>
      <w:r w:rsidR="00B87E75" w:rsidRPr="00CD33A8">
        <w:t>. Conclu</w:t>
      </w:r>
      <w:r w:rsidR="00345AD6">
        <w:t>sion</w:t>
      </w:r>
    </w:p>
    <w:p w14:paraId="12D5D635" w14:textId="77777777" w:rsidR="006B57B3" w:rsidRDefault="006B57B3">
      <w:pPr>
        <w:rPr>
          <w:kern w:val="2"/>
          <w:szCs w:val="24"/>
          <w:lang w:eastAsia="en-GB"/>
          <w14:ligatures w14:val="standardContextual"/>
        </w:rPr>
      </w:pPr>
      <w:r>
        <w:t>This report has explored three interdependent pillars of effective post-stroke care in relation to Mr. Ahmed: effective communication, good administrative skills, and collaborative working. While each pillar plays a distinct role, it is their combined effectiveness that determines the overall quality and safety of care.</w:t>
      </w:r>
    </w:p>
    <w:p w14:paraId="6D6AEBD1" w14:textId="77777777" w:rsidR="006B57B3" w:rsidRDefault="006B57B3">
      <w:pPr>
        <w:rPr>
          <w:kern w:val="2"/>
          <w:szCs w:val="24"/>
          <w:lang w:eastAsia="en-GB"/>
          <w14:ligatures w14:val="standardContextual"/>
        </w:rPr>
      </w:pPr>
      <w:r>
        <w:t>Effective communication, supported by professional interpreters, written Bengali materials, and legal frameworks such as the Equality Act 2010, ensures that Mr. Ahmed is actively involved in decisions about his health. Good administrative practice, strengthened through accurate record keeping and digital systems, provides the legal and organisational infrastructure needed to coordinate care and protect patient safety. The medication incident illustrates the serious consequences when these systems fail.</w:t>
      </w:r>
    </w:p>
    <w:p w14:paraId="21C36B1D" w14:textId="5DB3A30E" w:rsidR="00F66E1B" w:rsidRPr="00C90A54" w:rsidRDefault="006B57B3" w:rsidP="00321C10">
      <w:pPr>
        <w:rPr>
          <w:kern w:val="2"/>
          <w:szCs w:val="24"/>
          <w:lang w:eastAsia="en-GB"/>
          <w14:ligatures w14:val="standardContextual"/>
        </w:rPr>
      </w:pPr>
      <w:r>
        <w:t>Finally, collaborative working within a multidisciplinary framework ensures that complex needs are addressed holistically and consistently. Together, these pillars uphold not only professional standards but also the moral obligation to place Mr. Ahmed’s rights, dignity, and well-being at the centre of care.</w:t>
      </w:r>
      <w:r w:rsidR="00EA4416">
        <w:rPr>
          <w:rFonts w:asciiTheme="minorBidi" w:hAnsiTheme="minorBidi"/>
          <w:sz w:val="22"/>
        </w:rPr>
        <w:br w:type="page"/>
      </w:r>
    </w:p>
    <w:p w14:paraId="18999130" w14:textId="77777777" w:rsidR="00CD33A8" w:rsidRDefault="00CD33A8">
      <w:r>
        <w:br w:type="page"/>
      </w:r>
    </w:p>
    <w:p w14:paraId="38D21E24" w14:textId="77777777" w:rsidR="00C90A54" w:rsidRDefault="00C90A54"/>
    <w:p w14:paraId="41377A35" w14:textId="77777777" w:rsidR="00C90A54" w:rsidRDefault="00C90A54"/>
    <w:p w14:paraId="3430981F" w14:textId="77777777" w:rsidR="00C90A54" w:rsidRDefault="00C90A54"/>
    <w:p w14:paraId="48BF937C" w14:textId="77777777" w:rsidR="00C90A54" w:rsidRDefault="00C90A54"/>
    <w:p w14:paraId="592A4ACB" w14:textId="77777777" w:rsidR="00C90A54" w:rsidRDefault="00C90A54"/>
    <w:p w14:paraId="58C6E1F4" w14:textId="77777777" w:rsidR="00C90A54" w:rsidRDefault="00C90A54"/>
    <w:p w14:paraId="3B3492C9" w14:textId="77777777" w:rsidR="00C90A54" w:rsidRDefault="00C90A54"/>
    <w:p w14:paraId="123D9F88" w14:textId="77777777" w:rsidR="00C90A54" w:rsidRDefault="00C90A54"/>
    <w:p w14:paraId="520F3DD7" w14:textId="77777777" w:rsidR="00C90A54" w:rsidRDefault="00C90A54"/>
    <w:p w14:paraId="5D80574A" w14:textId="77777777" w:rsidR="00C90A54" w:rsidRDefault="00C90A54"/>
    <w:p w14:paraId="1614EBE1" w14:textId="77777777" w:rsidR="00C90A54" w:rsidRDefault="00C90A54"/>
    <w:p w14:paraId="7C212D40" w14:textId="77777777" w:rsidR="00C90A54" w:rsidRDefault="00C90A54"/>
    <w:p w14:paraId="55F0CDA4" w14:textId="77777777" w:rsidR="00C90A54" w:rsidRDefault="00C90A54"/>
    <w:p w14:paraId="3E49DAA2" w14:textId="77777777" w:rsidR="00C90A54" w:rsidRDefault="00C90A54"/>
    <w:p w14:paraId="0D7A8BAD" w14:textId="77777777" w:rsidR="00C90A54" w:rsidRDefault="00C90A54"/>
    <w:p w14:paraId="76F9A1D9" w14:textId="77777777" w:rsidR="00C90A54" w:rsidRDefault="00C90A54"/>
    <w:p w14:paraId="0E6BE4E3" w14:textId="77777777" w:rsidR="00C90A54" w:rsidRDefault="00C90A54"/>
    <w:p w14:paraId="035CEBB2" w14:textId="77777777" w:rsidR="00C90A54" w:rsidRDefault="00C90A54"/>
    <w:p w14:paraId="64D6E572" w14:textId="77777777" w:rsidR="00C90A54" w:rsidRDefault="00C90A54"/>
    <w:p w14:paraId="15F04724" w14:textId="77777777" w:rsidR="00C90A54" w:rsidRDefault="00C90A54"/>
    <w:p w14:paraId="389C61A5" w14:textId="77777777" w:rsidR="00C90A54" w:rsidRDefault="00C90A54"/>
    <w:p w14:paraId="502B0449" w14:textId="77777777" w:rsidR="00C90A54" w:rsidRDefault="00C90A54"/>
    <w:p w14:paraId="2BF36FE5" w14:textId="77777777" w:rsidR="00C90A54" w:rsidRDefault="00C90A54"/>
    <w:p w14:paraId="05EFFE5E" w14:textId="77777777" w:rsidR="00C90A54" w:rsidRDefault="00C90A54"/>
    <w:p w14:paraId="4A1A02BC" w14:textId="77777777" w:rsidR="00C90A54" w:rsidRDefault="00C90A54"/>
    <w:p w14:paraId="6DE885B9" w14:textId="77777777" w:rsidR="00C90A54" w:rsidRDefault="00C90A54"/>
    <w:p w14:paraId="3378A2D4" w14:textId="77777777" w:rsidR="00C90A54" w:rsidRDefault="00C90A54"/>
    <w:p w14:paraId="6FE369D7" w14:textId="77777777" w:rsidR="00C90A54" w:rsidRDefault="00C90A54"/>
    <w:p w14:paraId="46A348F7" w14:textId="77777777" w:rsidR="00C90A54" w:rsidRDefault="00C90A54">
      <w:pPr>
        <w:rPr>
          <w:rFonts w:asciiTheme="minorBidi" w:eastAsiaTheme="majorEastAsia" w:hAnsiTheme="minorBidi"/>
          <w:b/>
          <w:sz w:val="28"/>
        </w:rPr>
      </w:pPr>
    </w:p>
    <w:p w14:paraId="33F8F0BD" w14:textId="597FD84B" w:rsidR="00B87E75" w:rsidRPr="00CD33A8" w:rsidRDefault="00B87E75" w:rsidP="00E620E7">
      <w:pPr>
        <w:pStyle w:val="Heading1"/>
      </w:pPr>
      <w:r w:rsidRPr="00CD33A8">
        <w:t>References</w:t>
      </w:r>
    </w:p>
    <w:p w14:paraId="6A4B64AA" w14:textId="228CC476" w:rsidR="00535A07" w:rsidRPr="00706EE6" w:rsidRDefault="00535A07" w:rsidP="0081056A">
      <w:pPr>
        <w:tabs>
          <w:tab w:val="left" w:pos="6000"/>
          <w:tab w:val="left" w:pos="6540"/>
        </w:tabs>
        <w:spacing w:line="360" w:lineRule="auto"/>
        <w:rPr>
          <w:rFonts w:asciiTheme="minorBidi" w:hAnsiTheme="minorBidi"/>
          <w:i/>
          <w:iCs/>
          <w:sz w:val="22"/>
        </w:rPr>
      </w:pPr>
      <w:r w:rsidRPr="00706EE6">
        <w:rPr>
          <w:rFonts w:asciiTheme="minorBidi" w:hAnsiTheme="minorBidi"/>
          <w:i/>
          <w:iCs/>
          <w:sz w:val="22"/>
        </w:rPr>
        <w:t>Berlo, D.K. (1960)</w:t>
      </w:r>
      <w:r w:rsidR="00854BEB" w:rsidRPr="00706EE6">
        <w:rPr>
          <w:rFonts w:asciiTheme="minorBidi" w:hAnsiTheme="minorBidi"/>
          <w:i/>
          <w:iCs/>
          <w:sz w:val="22"/>
        </w:rPr>
        <w:t>.</w:t>
      </w:r>
      <w:r w:rsidRPr="00706EE6">
        <w:rPr>
          <w:rFonts w:asciiTheme="minorBidi" w:hAnsiTheme="minorBidi"/>
          <w:i/>
          <w:iCs/>
          <w:sz w:val="22"/>
        </w:rPr>
        <w:t xml:space="preserve"> </w:t>
      </w:r>
      <w:r w:rsidR="0081056A" w:rsidRPr="00706EE6">
        <w:rPr>
          <w:rFonts w:asciiTheme="minorBidi" w:hAnsiTheme="minorBidi"/>
          <w:i/>
          <w:iCs/>
          <w:sz w:val="22"/>
        </w:rPr>
        <w:t>The Process</w:t>
      </w:r>
      <w:r w:rsidRPr="00706EE6">
        <w:rPr>
          <w:rFonts w:asciiTheme="minorBidi" w:hAnsiTheme="minorBidi"/>
          <w:i/>
          <w:iCs/>
          <w:sz w:val="22"/>
        </w:rPr>
        <w:t xml:space="preserve"> of </w:t>
      </w:r>
      <w:r w:rsidR="0015188D" w:rsidRPr="00706EE6">
        <w:rPr>
          <w:rFonts w:asciiTheme="minorBidi" w:hAnsiTheme="minorBidi"/>
          <w:i/>
          <w:iCs/>
          <w:sz w:val="22"/>
        </w:rPr>
        <w:t>C</w:t>
      </w:r>
      <w:r w:rsidRPr="00706EE6">
        <w:rPr>
          <w:rFonts w:asciiTheme="minorBidi" w:hAnsiTheme="minorBidi"/>
          <w:i/>
          <w:iCs/>
          <w:sz w:val="22"/>
        </w:rPr>
        <w:t xml:space="preserve">ommunication: An </w:t>
      </w:r>
      <w:r w:rsidR="0015188D" w:rsidRPr="00706EE6">
        <w:rPr>
          <w:rFonts w:asciiTheme="minorBidi" w:hAnsiTheme="minorBidi"/>
          <w:i/>
          <w:iCs/>
          <w:sz w:val="22"/>
        </w:rPr>
        <w:t>I</w:t>
      </w:r>
      <w:r w:rsidRPr="00706EE6">
        <w:rPr>
          <w:rFonts w:asciiTheme="minorBidi" w:hAnsiTheme="minorBidi"/>
          <w:i/>
          <w:iCs/>
          <w:sz w:val="22"/>
        </w:rPr>
        <w:t xml:space="preserve">ntroduction to </w:t>
      </w:r>
      <w:r w:rsidR="0015188D" w:rsidRPr="00706EE6">
        <w:rPr>
          <w:rFonts w:asciiTheme="minorBidi" w:hAnsiTheme="minorBidi"/>
          <w:i/>
          <w:iCs/>
          <w:sz w:val="22"/>
        </w:rPr>
        <w:t>T</w:t>
      </w:r>
      <w:r w:rsidRPr="00706EE6">
        <w:rPr>
          <w:rFonts w:asciiTheme="minorBidi" w:hAnsiTheme="minorBidi"/>
          <w:i/>
          <w:iCs/>
          <w:sz w:val="22"/>
        </w:rPr>
        <w:t xml:space="preserve">heory and </w:t>
      </w:r>
      <w:r w:rsidR="0015188D" w:rsidRPr="00706EE6">
        <w:rPr>
          <w:rFonts w:asciiTheme="minorBidi" w:hAnsiTheme="minorBidi"/>
          <w:i/>
          <w:iCs/>
          <w:sz w:val="22"/>
        </w:rPr>
        <w:t>Practice</w:t>
      </w:r>
      <w:r w:rsidRPr="00706EE6">
        <w:rPr>
          <w:rFonts w:asciiTheme="minorBidi" w:hAnsiTheme="minorBidi"/>
          <w:i/>
          <w:iCs/>
          <w:sz w:val="22"/>
        </w:rPr>
        <w:t>. New York: Holt, Rinehart and Winston.</w:t>
      </w:r>
    </w:p>
    <w:p w14:paraId="6961AE57" w14:textId="7FEEC23F" w:rsidR="00535A07" w:rsidRPr="00706EE6" w:rsidRDefault="00535A07" w:rsidP="00535A07">
      <w:pPr>
        <w:tabs>
          <w:tab w:val="left" w:pos="6540"/>
        </w:tabs>
        <w:spacing w:line="360" w:lineRule="auto"/>
        <w:rPr>
          <w:rFonts w:asciiTheme="minorBidi" w:hAnsiTheme="minorBidi"/>
          <w:i/>
          <w:iCs/>
          <w:sz w:val="22"/>
        </w:rPr>
      </w:pPr>
      <w:r w:rsidRPr="00706EE6">
        <w:rPr>
          <w:rFonts w:asciiTheme="minorBidi" w:hAnsiTheme="minorBidi"/>
          <w:i/>
          <w:iCs/>
          <w:sz w:val="22"/>
        </w:rPr>
        <w:t xml:space="preserve">Communication Theory (2024) Berlo’s SMCR model of </w:t>
      </w:r>
      <w:r w:rsidR="006B63BE" w:rsidRPr="00706EE6">
        <w:rPr>
          <w:rFonts w:asciiTheme="minorBidi" w:hAnsiTheme="minorBidi"/>
          <w:i/>
          <w:iCs/>
          <w:sz w:val="22"/>
        </w:rPr>
        <w:t>C</w:t>
      </w:r>
      <w:r w:rsidRPr="00706EE6">
        <w:rPr>
          <w:rFonts w:asciiTheme="minorBidi" w:hAnsiTheme="minorBidi"/>
          <w:i/>
          <w:iCs/>
          <w:sz w:val="22"/>
        </w:rPr>
        <w:t xml:space="preserve">ommunication. Available at: </w:t>
      </w:r>
      <w:hyperlink r:id="rId10" w:history="1">
        <w:r w:rsidR="006B63BE" w:rsidRPr="00706EE6">
          <w:rPr>
            <w:rStyle w:val="Hyperlink"/>
            <w:rFonts w:asciiTheme="minorBidi" w:hAnsiTheme="minorBidi"/>
            <w:i/>
            <w:iCs/>
            <w:sz w:val="22"/>
          </w:rPr>
          <w:t>https://www.communicationtheory.org/berlos-model-of-communication/</w:t>
        </w:r>
      </w:hyperlink>
      <w:r w:rsidR="006B63BE" w:rsidRPr="00706EE6">
        <w:rPr>
          <w:rFonts w:asciiTheme="minorBidi" w:hAnsiTheme="minorBidi"/>
          <w:i/>
          <w:iCs/>
          <w:sz w:val="22"/>
        </w:rPr>
        <w:t xml:space="preserve"> </w:t>
      </w:r>
      <w:r w:rsidRPr="00706EE6">
        <w:rPr>
          <w:rFonts w:asciiTheme="minorBidi" w:hAnsiTheme="minorBidi"/>
          <w:i/>
          <w:iCs/>
          <w:sz w:val="22"/>
        </w:rPr>
        <w:t xml:space="preserve"> (Accessed: 27 March 2026).</w:t>
      </w:r>
    </w:p>
    <w:p w14:paraId="6B73046F" w14:textId="56C256FB" w:rsidR="00910615" w:rsidRPr="00706EE6" w:rsidRDefault="008F51B5" w:rsidP="00535A07">
      <w:pPr>
        <w:tabs>
          <w:tab w:val="left" w:pos="6540"/>
        </w:tabs>
        <w:spacing w:line="360" w:lineRule="auto"/>
        <w:rPr>
          <w:rFonts w:asciiTheme="minorBidi" w:hAnsiTheme="minorBidi"/>
          <w:i/>
          <w:iCs/>
          <w:sz w:val="22"/>
        </w:rPr>
      </w:pPr>
      <w:r w:rsidRPr="00706EE6">
        <w:rPr>
          <w:rFonts w:asciiTheme="minorBidi" w:hAnsiTheme="minorBidi"/>
          <w:i/>
          <w:iCs/>
          <w:sz w:val="22"/>
        </w:rPr>
        <w:t>Data Protection Act</w:t>
      </w:r>
      <w:r w:rsidR="003D04BD" w:rsidRPr="00706EE6">
        <w:rPr>
          <w:rFonts w:asciiTheme="minorBidi" w:hAnsiTheme="minorBidi"/>
          <w:i/>
          <w:iCs/>
          <w:sz w:val="22"/>
        </w:rPr>
        <w:t xml:space="preserve"> 2018, c. 12.</w:t>
      </w:r>
      <w:r w:rsidR="00F615D8" w:rsidRPr="00706EE6">
        <w:rPr>
          <w:rFonts w:asciiTheme="minorBidi" w:hAnsiTheme="minorBidi"/>
          <w:i/>
          <w:iCs/>
          <w:sz w:val="22"/>
        </w:rPr>
        <w:t xml:space="preserve"> Available at:</w:t>
      </w:r>
      <w:r w:rsidR="00530AFA" w:rsidRPr="00706EE6">
        <w:rPr>
          <w:rFonts w:asciiTheme="minorBidi" w:hAnsiTheme="minorBidi"/>
          <w:i/>
          <w:iCs/>
          <w:sz w:val="22"/>
        </w:rPr>
        <w:t xml:space="preserve"> </w:t>
      </w:r>
      <w:hyperlink r:id="rId11" w:history="1">
        <w:r w:rsidR="00DC1536" w:rsidRPr="00706EE6">
          <w:rPr>
            <w:rStyle w:val="Hyperlink"/>
            <w:rFonts w:asciiTheme="minorBidi" w:hAnsiTheme="minorBidi"/>
            <w:i/>
            <w:iCs/>
            <w:sz w:val="22"/>
          </w:rPr>
          <w:t>https://www.legislation.gov.uk/ukpga/2018/12</w:t>
        </w:r>
      </w:hyperlink>
      <w:r w:rsidR="00DC1536" w:rsidRPr="00706EE6">
        <w:rPr>
          <w:rFonts w:asciiTheme="minorBidi" w:hAnsiTheme="minorBidi"/>
          <w:i/>
          <w:iCs/>
          <w:sz w:val="22"/>
        </w:rPr>
        <w:t xml:space="preserve"> </w:t>
      </w:r>
      <w:r w:rsidR="00C80B2C" w:rsidRPr="00706EE6">
        <w:rPr>
          <w:rFonts w:asciiTheme="minorBidi" w:hAnsiTheme="minorBidi"/>
          <w:i/>
          <w:iCs/>
          <w:sz w:val="22"/>
        </w:rPr>
        <w:t xml:space="preserve"> </w:t>
      </w:r>
      <w:r w:rsidR="006545D0" w:rsidRPr="00706EE6">
        <w:rPr>
          <w:rFonts w:asciiTheme="minorBidi" w:hAnsiTheme="minorBidi"/>
          <w:i/>
          <w:iCs/>
          <w:sz w:val="22"/>
        </w:rPr>
        <w:t>(</w:t>
      </w:r>
      <w:r w:rsidR="00DC1536" w:rsidRPr="00706EE6">
        <w:rPr>
          <w:rFonts w:asciiTheme="minorBidi" w:hAnsiTheme="minorBidi"/>
          <w:i/>
          <w:iCs/>
          <w:sz w:val="22"/>
        </w:rPr>
        <w:t xml:space="preserve">Accessed: </w:t>
      </w:r>
      <w:r w:rsidR="00192F9F" w:rsidRPr="00706EE6">
        <w:rPr>
          <w:rFonts w:asciiTheme="minorBidi" w:hAnsiTheme="minorBidi"/>
          <w:i/>
          <w:iCs/>
          <w:sz w:val="22"/>
        </w:rPr>
        <w:t>17 March</w:t>
      </w:r>
      <w:r w:rsidR="00977C05" w:rsidRPr="00706EE6">
        <w:rPr>
          <w:rFonts w:asciiTheme="minorBidi" w:hAnsiTheme="minorBidi"/>
          <w:i/>
          <w:iCs/>
          <w:sz w:val="22"/>
        </w:rPr>
        <w:t xml:space="preserve"> 2026).</w:t>
      </w:r>
    </w:p>
    <w:p w14:paraId="79255329" w14:textId="26AAED69" w:rsidR="00535A07" w:rsidRPr="00706EE6" w:rsidRDefault="00535A07" w:rsidP="00535A07">
      <w:pPr>
        <w:tabs>
          <w:tab w:val="left" w:pos="6540"/>
        </w:tabs>
        <w:spacing w:line="360" w:lineRule="auto"/>
        <w:rPr>
          <w:rFonts w:asciiTheme="minorBidi" w:hAnsiTheme="minorBidi"/>
          <w:i/>
          <w:iCs/>
          <w:sz w:val="22"/>
        </w:rPr>
      </w:pPr>
      <w:r w:rsidRPr="00706EE6">
        <w:rPr>
          <w:rFonts w:asciiTheme="minorBidi" w:hAnsiTheme="minorBidi"/>
          <w:i/>
          <w:iCs/>
          <w:sz w:val="22"/>
        </w:rPr>
        <w:t xml:space="preserve">Equality Act 2010 (c.15). London: The Stationery Office. Available at: </w:t>
      </w:r>
      <w:hyperlink r:id="rId12" w:history="1">
        <w:r w:rsidR="006B63BE" w:rsidRPr="00706EE6">
          <w:rPr>
            <w:rStyle w:val="Hyperlink"/>
            <w:rFonts w:asciiTheme="minorBidi" w:hAnsiTheme="minorBidi"/>
            <w:i/>
            <w:iCs/>
            <w:sz w:val="22"/>
          </w:rPr>
          <w:t>https://www.legislation.gov.uk/ukpga/2010/15/contents</w:t>
        </w:r>
      </w:hyperlink>
      <w:r w:rsidR="006B63BE" w:rsidRPr="00706EE6">
        <w:rPr>
          <w:rFonts w:asciiTheme="minorBidi" w:hAnsiTheme="minorBidi"/>
          <w:i/>
          <w:iCs/>
          <w:sz w:val="22"/>
        </w:rPr>
        <w:t xml:space="preserve"> </w:t>
      </w:r>
      <w:r w:rsidRPr="00706EE6">
        <w:rPr>
          <w:rFonts w:asciiTheme="minorBidi" w:hAnsiTheme="minorBidi"/>
          <w:i/>
          <w:iCs/>
          <w:sz w:val="22"/>
        </w:rPr>
        <w:t xml:space="preserve"> (Accessed: 17 March 2026).</w:t>
      </w:r>
    </w:p>
    <w:p w14:paraId="27F43BD7" w14:textId="4DF246AA" w:rsidR="00535A07" w:rsidRPr="00706EE6" w:rsidRDefault="00535A07" w:rsidP="00535A07">
      <w:pPr>
        <w:tabs>
          <w:tab w:val="left" w:pos="6540"/>
        </w:tabs>
        <w:spacing w:line="360" w:lineRule="auto"/>
        <w:rPr>
          <w:rFonts w:asciiTheme="minorBidi" w:hAnsiTheme="minorBidi"/>
          <w:i/>
          <w:iCs/>
          <w:sz w:val="22"/>
        </w:rPr>
      </w:pPr>
      <w:r w:rsidRPr="00706EE6">
        <w:rPr>
          <w:rFonts w:asciiTheme="minorBidi" w:hAnsiTheme="minorBidi"/>
          <w:i/>
          <w:iCs/>
          <w:sz w:val="22"/>
        </w:rPr>
        <w:t>Equality and Human Rights Commission (2014)</w:t>
      </w:r>
      <w:r w:rsidR="00854BEB" w:rsidRPr="00706EE6">
        <w:rPr>
          <w:rFonts w:asciiTheme="minorBidi" w:hAnsiTheme="minorBidi"/>
          <w:i/>
          <w:iCs/>
          <w:sz w:val="22"/>
        </w:rPr>
        <w:t>.</w:t>
      </w:r>
      <w:r w:rsidRPr="00706EE6">
        <w:rPr>
          <w:rFonts w:asciiTheme="minorBidi" w:hAnsiTheme="minorBidi"/>
          <w:i/>
          <w:iCs/>
          <w:sz w:val="22"/>
        </w:rPr>
        <w:t xml:space="preserve"> The Equality Act 2010: Guidance. Available at: </w:t>
      </w:r>
      <w:hyperlink r:id="rId13" w:history="1">
        <w:r w:rsidR="00706EE6" w:rsidRPr="00A83A12">
          <w:rPr>
            <w:rStyle w:val="Hyperlink"/>
            <w:rFonts w:asciiTheme="minorBidi" w:hAnsiTheme="minorBidi"/>
            <w:i/>
            <w:iCs/>
            <w:sz w:val="22"/>
          </w:rPr>
          <w:t>https://www.equalityhumanrights.com</w:t>
        </w:r>
      </w:hyperlink>
      <w:proofErr w:type="gramStart"/>
      <w:r w:rsidR="00706EE6">
        <w:rPr>
          <w:rFonts w:asciiTheme="minorBidi" w:hAnsiTheme="minorBidi"/>
          <w:i/>
          <w:iCs/>
          <w:sz w:val="22"/>
        </w:rPr>
        <w:t xml:space="preserve"> </w:t>
      </w:r>
      <w:r w:rsidRPr="00706EE6">
        <w:rPr>
          <w:rFonts w:asciiTheme="minorBidi" w:hAnsiTheme="minorBidi"/>
          <w:i/>
          <w:iCs/>
          <w:sz w:val="22"/>
        </w:rPr>
        <w:t xml:space="preserve"> </w:t>
      </w:r>
      <w:r w:rsidR="006B63BE" w:rsidRPr="00706EE6">
        <w:rPr>
          <w:rFonts w:asciiTheme="minorBidi" w:hAnsiTheme="minorBidi"/>
          <w:i/>
          <w:iCs/>
          <w:sz w:val="22"/>
        </w:rPr>
        <w:t xml:space="preserve"> </w:t>
      </w:r>
      <w:r w:rsidRPr="00706EE6">
        <w:rPr>
          <w:rFonts w:asciiTheme="minorBidi" w:hAnsiTheme="minorBidi"/>
          <w:i/>
          <w:iCs/>
          <w:sz w:val="22"/>
        </w:rPr>
        <w:t>(</w:t>
      </w:r>
      <w:proofErr w:type="gramEnd"/>
      <w:r w:rsidRPr="00706EE6">
        <w:rPr>
          <w:rFonts w:asciiTheme="minorBidi" w:hAnsiTheme="minorBidi"/>
          <w:i/>
          <w:iCs/>
          <w:sz w:val="22"/>
        </w:rPr>
        <w:t>Accessed: 3 April 2026).</w:t>
      </w:r>
    </w:p>
    <w:p w14:paraId="5FA868F7" w14:textId="3173BBE4" w:rsidR="00535A07" w:rsidRPr="00706EE6" w:rsidRDefault="00535A07" w:rsidP="00535A07">
      <w:pPr>
        <w:tabs>
          <w:tab w:val="left" w:pos="6540"/>
        </w:tabs>
        <w:spacing w:line="360" w:lineRule="auto"/>
        <w:rPr>
          <w:rFonts w:asciiTheme="minorBidi" w:hAnsiTheme="minorBidi"/>
          <w:i/>
          <w:iCs/>
          <w:sz w:val="22"/>
        </w:rPr>
      </w:pPr>
      <w:r w:rsidRPr="00706EE6">
        <w:rPr>
          <w:rFonts w:asciiTheme="minorBidi" w:hAnsiTheme="minorBidi"/>
          <w:i/>
          <w:iCs/>
          <w:sz w:val="22"/>
        </w:rPr>
        <w:t xml:space="preserve">Health and Care Professions Council (HCPC) (2024) Standards of conduct, performance and ethics. London: HCPC. Available at: </w:t>
      </w:r>
      <w:hyperlink r:id="rId14" w:history="1">
        <w:r w:rsidR="006B63BE" w:rsidRPr="00706EE6">
          <w:rPr>
            <w:rStyle w:val="Hyperlink"/>
            <w:rFonts w:asciiTheme="minorBidi" w:hAnsiTheme="minorBidi"/>
            <w:i/>
            <w:iCs/>
            <w:sz w:val="22"/>
          </w:rPr>
          <w:t>https://www.hcpc-uk.org</w:t>
        </w:r>
      </w:hyperlink>
      <w:r w:rsidR="006B63BE" w:rsidRPr="00706EE6">
        <w:rPr>
          <w:rFonts w:asciiTheme="minorBidi" w:hAnsiTheme="minorBidi"/>
          <w:i/>
          <w:iCs/>
          <w:sz w:val="22"/>
        </w:rPr>
        <w:t xml:space="preserve"> </w:t>
      </w:r>
      <w:r w:rsidRPr="00706EE6">
        <w:rPr>
          <w:rFonts w:asciiTheme="minorBidi" w:hAnsiTheme="minorBidi"/>
          <w:i/>
          <w:iCs/>
          <w:sz w:val="22"/>
        </w:rPr>
        <w:t xml:space="preserve"> (Accessed: 7 April 2026).</w:t>
      </w:r>
    </w:p>
    <w:p w14:paraId="73BA3640" w14:textId="77777777" w:rsidR="00DE508B" w:rsidRPr="00706EE6" w:rsidRDefault="00535A07" w:rsidP="00535A07">
      <w:pPr>
        <w:tabs>
          <w:tab w:val="left" w:pos="6540"/>
        </w:tabs>
        <w:spacing w:line="360" w:lineRule="auto"/>
        <w:rPr>
          <w:rFonts w:asciiTheme="minorBidi" w:hAnsiTheme="minorBidi"/>
          <w:i/>
          <w:iCs/>
          <w:sz w:val="22"/>
        </w:rPr>
      </w:pPr>
      <w:proofErr w:type="spellStart"/>
      <w:r w:rsidRPr="00706EE6">
        <w:rPr>
          <w:rFonts w:asciiTheme="minorBidi" w:hAnsiTheme="minorBidi"/>
          <w:i/>
          <w:iCs/>
          <w:sz w:val="22"/>
        </w:rPr>
        <w:t>Karashneh</w:t>
      </w:r>
      <w:proofErr w:type="spellEnd"/>
      <w:r w:rsidRPr="00706EE6">
        <w:rPr>
          <w:rFonts w:asciiTheme="minorBidi" w:hAnsiTheme="minorBidi"/>
          <w:i/>
          <w:iCs/>
          <w:sz w:val="22"/>
        </w:rPr>
        <w:t xml:space="preserve">, R., Al-Azzam, S., Alzoubi, K.H., Dator, W., Muflih, S. and </w:t>
      </w:r>
      <w:proofErr w:type="spellStart"/>
      <w:r w:rsidRPr="00706EE6">
        <w:rPr>
          <w:rFonts w:asciiTheme="minorBidi" w:hAnsiTheme="minorBidi"/>
          <w:i/>
          <w:iCs/>
          <w:sz w:val="22"/>
        </w:rPr>
        <w:t>Hamarsheh</w:t>
      </w:r>
      <w:proofErr w:type="spellEnd"/>
      <w:r w:rsidRPr="00706EE6">
        <w:rPr>
          <w:rFonts w:asciiTheme="minorBidi" w:hAnsiTheme="minorBidi"/>
          <w:i/>
          <w:iCs/>
          <w:sz w:val="22"/>
        </w:rPr>
        <w:t>, O. (2025) ‘Patients’ awareness and perceptions of medical confidentiality and information sharing in healthcare settings’, Journal of Multidisciplinary Healthcare, 18, pp. 211–221.</w:t>
      </w:r>
    </w:p>
    <w:p w14:paraId="5ACFBEF8" w14:textId="301D6BB8" w:rsidR="00535A07" w:rsidRPr="00706EE6" w:rsidRDefault="00535A07" w:rsidP="00535A07">
      <w:pPr>
        <w:tabs>
          <w:tab w:val="left" w:pos="6540"/>
        </w:tabs>
        <w:spacing w:line="360" w:lineRule="auto"/>
        <w:rPr>
          <w:rFonts w:asciiTheme="minorBidi" w:hAnsiTheme="minorBidi"/>
          <w:i/>
          <w:iCs/>
          <w:sz w:val="22"/>
        </w:rPr>
      </w:pPr>
      <w:r w:rsidRPr="00706EE6">
        <w:rPr>
          <w:rFonts w:asciiTheme="minorBidi" w:hAnsiTheme="minorBidi"/>
          <w:i/>
          <w:iCs/>
          <w:sz w:val="22"/>
        </w:rPr>
        <w:t xml:space="preserve"> NHS Digital (2023) Data protection and the NHS. Available at: </w:t>
      </w:r>
      <w:hyperlink r:id="rId15" w:history="1">
        <w:r w:rsidR="000D17E8" w:rsidRPr="00706EE6">
          <w:rPr>
            <w:rStyle w:val="Hyperlink"/>
            <w:rFonts w:asciiTheme="minorBidi" w:hAnsiTheme="minorBidi"/>
            <w:i/>
            <w:iCs/>
            <w:sz w:val="22"/>
          </w:rPr>
          <w:t>https://digital.nhs.uk</w:t>
        </w:r>
      </w:hyperlink>
      <w:r w:rsidR="000D17E8" w:rsidRPr="00706EE6">
        <w:rPr>
          <w:rFonts w:asciiTheme="minorBidi" w:hAnsiTheme="minorBidi"/>
          <w:i/>
          <w:iCs/>
          <w:sz w:val="22"/>
        </w:rPr>
        <w:t xml:space="preserve"> </w:t>
      </w:r>
      <w:r w:rsidR="006B63BE" w:rsidRPr="00706EE6">
        <w:rPr>
          <w:rFonts w:asciiTheme="minorBidi" w:hAnsiTheme="minorBidi"/>
          <w:i/>
          <w:iCs/>
          <w:sz w:val="22"/>
        </w:rPr>
        <w:t xml:space="preserve"> (</w:t>
      </w:r>
      <w:r w:rsidRPr="00706EE6">
        <w:rPr>
          <w:rFonts w:asciiTheme="minorBidi" w:hAnsiTheme="minorBidi"/>
          <w:i/>
          <w:iCs/>
          <w:sz w:val="22"/>
        </w:rPr>
        <w:t>Accessed: 27 March 2026).</w:t>
      </w:r>
    </w:p>
    <w:p w14:paraId="6EDE17DE" w14:textId="325E89BC" w:rsidR="00535A07" w:rsidRPr="00706EE6" w:rsidRDefault="00535A07" w:rsidP="00535A07">
      <w:pPr>
        <w:tabs>
          <w:tab w:val="left" w:pos="6540"/>
        </w:tabs>
        <w:spacing w:line="360" w:lineRule="auto"/>
        <w:rPr>
          <w:rFonts w:asciiTheme="minorBidi" w:hAnsiTheme="minorBidi"/>
          <w:i/>
          <w:iCs/>
          <w:sz w:val="22"/>
        </w:rPr>
      </w:pPr>
      <w:r w:rsidRPr="00706EE6">
        <w:rPr>
          <w:rFonts w:asciiTheme="minorBidi" w:hAnsiTheme="minorBidi"/>
          <w:i/>
          <w:iCs/>
          <w:sz w:val="22"/>
        </w:rPr>
        <w:t>NHS England (2023)</w:t>
      </w:r>
      <w:r w:rsidR="00854BEB" w:rsidRPr="00706EE6">
        <w:rPr>
          <w:rFonts w:asciiTheme="minorBidi" w:hAnsiTheme="minorBidi"/>
          <w:i/>
          <w:iCs/>
          <w:sz w:val="22"/>
        </w:rPr>
        <w:t>.</w:t>
      </w:r>
      <w:r w:rsidRPr="00706EE6">
        <w:rPr>
          <w:rFonts w:asciiTheme="minorBidi" w:hAnsiTheme="minorBidi"/>
          <w:i/>
          <w:iCs/>
          <w:sz w:val="22"/>
        </w:rPr>
        <w:t xml:space="preserve"> Improving care for stroke survivors. Available at: </w:t>
      </w:r>
      <w:hyperlink r:id="rId16" w:history="1">
        <w:r w:rsidR="006B63BE" w:rsidRPr="00706EE6">
          <w:rPr>
            <w:rStyle w:val="Hyperlink"/>
            <w:rFonts w:asciiTheme="minorBidi" w:hAnsiTheme="minorBidi"/>
            <w:i/>
            <w:iCs/>
            <w:sz w:val="22"/>
          </w:rPr>
          <w:t>https://www.england.nhs.uk</w:t>
        </w:r>
      </w:hyperlink>
      <w:r w:rsidR="006B63BE" w:rsidRPr="00706EE6">
        <w:rPr>
          <w:rFonts w:asciiTheme="minorBidi" w:hAnsiTheme="minorBidi"/>
          <w:i/>
          <w:iCs/>
          <w:sz w:val="22"/>
        </w:rPr>
        <w:t xml:space="preserve"> </w:t>
      </w:r>
      <w:r w:rsidRPr="00706EE6">
        <w:rPr>
          <w:rFonts w:asciiTheme="minorBidi" w:hAnsiTheme="minorBidi"/>
          <w:i/>
          <w:iCs/>
          <w:sz w:val="22"/>
        </w:rPr>
        <w:t xml:space="preserve"> (Accessed: 27 March 2026).</w:t>
      </w:r>
    </w:p>
    <w:p w14:paraId="59468F71" w14:textId="37C88E4C" w:rsidR="00535A07" w:rsidRPr="00706EE6" w:rsidRDefault="00535A07" w:rsidP="00535A07">
      <w:pPr>
        <w:tabs>
          <w:tab w:val="left" w:pos="6540"/>
        </w:tabs>
        <w:spacing w:line="360" w:lineRule="auto"/>
        <w:rPr>
          <w:rFonts w:asciiTheme="minorBidi" w:hAnsiTheme="minorBidi"/>
          <w:i/>
          <w:iCs/>
          <w:sz w:val="22"/>
        </w:rPr>
      </w:pPr>
      <w:r w:rsidRPr="00706EE6">
        <w:rPr>
          <w:rFonts w:asciiTheme="minorBidi" w:hAnsiTheme="minorBidi"/>
          <w:i/>
          <w:iCs/>
          <w:sz w:val="22"/>
        </w:rPr>
        <w:t xml:space="preserve">NHS England (2025) Language support and health inequalities. Available at: </w:t>
      </w:r>
      <w:hyperlink r:id="rId17" w:history="1">
        <w:r w:rsidR="006B63BE" w:rsidRPr="00706EE6">
          <w:rPr>
            <w:rStyle w:val="Hyperlink"/>
            <w:rFonts w:asciiTheme="minorBidi" w:hAnsiTheme="minorBidi"/>
            <w:i/>
            <w:iCs/>
            <w:sz w:val="22"/>
          </w:rPr>
          <w:t>https://www.england.nhs.uk</w:t>
        </w:r>
      </w:hyperlink>
      <w:r w:rsidR="006B63BE" w:rsidRPr="00706EE6">
        <w:rPr>
          <w:rFonts w:asciiTheme="minorBidi" w:hAnsiTheme="minorBidi"/>
          <w:i/>
          <w:iCs/>
          <w:sz w:val="22"/>
        </w:rPr>
        <w:t xml:space="preserve"> </w:t>
      </w:r>
      <w:r w:rsidRPr="00706EE6">
        <w:rPr>
          <w:rFonts w:asciiTheme="minorBidi" w:hAnsiTheme="minorBidi"/>
          <w:i/>
          <w:iCs/>
          <w:sz w:val="22"/>
        </w:rPr>
        <w:t xml:space="preserve"> (Accessed: 3 April 2026).</w:t>
      </w:r>
    </w:p>
    <w:p w14:paraId="02F9BC32" w14:textId="0BF0C8C9" w:rsidR="00535A07" w:rsidRPr="00706EE6" w:rsidRDefault="00535A07" w:rsidP="00535A07">
      <w:pPr>
        <w:tabs>
          <w:tab w:val="left" w:pos="6540"/>
        </w:tabs>
        <w:spacing w:line="360" w:lineRule="auto"/>
        <w:rPr>
          <w:rFonts w:asciiTheme="minorBidi" w:hAnsiTheme="minorBidi"/>
          <w:i/>
          <w:iCs/>
          <w:sz w:val="22"/>
        </w:rPr>
      </w:pPr>
      <w:r w:rsidRPr="00706EE6">
        <w:rPr>
          <w:rFonts w:asciiTheme="minorBidi" w:hAnsiTheme="minorBidi"/>
          <w:i/>
          <w:iCs/>
          <w:sz w:val="22"/>
        </w:rPr>
        <w:t xml:space="preserve">NHS Shared Business Services (2024) Communication and accessibility in NHS care. Available at: </w:t>
      </w:r>
      <w:hyperlink r:id="rId18" w:history="1">
        <w:r w:rsidR="006B63BE" w:rsidRPr="00706EE6">
          <w:rPr>
            <w:rStyle w:val="Hyperlink"/>
            <w:rFonts w:asciiTheme="minorBidi" w:hAnsiTheme="minorBidi"/>
            <w:i/>
            <w:iCs/>
            <w:sz w:val="22"/>
          </w:rPr>
          <w:t>https://www.sbs.nhs.uk</w:t>
        </w:r>
      </w:hyperlink>
      <w:r w:rsidR="006B63BE" w:rsidRPr="00706EE6">
        <w:rPr>
          <w:rFonts w:asciiTheme="minorBidi" w:hAnsiTheme="minorBidi"/>
          <w:i/>
          <w:iCs/>
          <w:sz w:val="22"/>
        </w:rPr>
        <w:t xml:space="preserve"> </w:t>
      </w:r>
      <w:r w:rsidRPr="00706EE6">
        <w:rPr>
          <w:rFonts w:asciiTheme="minorBidi" w:hAnsiTheme="minorBidi"/>
          <w:i/>
          <w:iCs/>
          <w:sz w:val="22"/>
        </w:rPr>
        <w:t xml:space="preserve"> (Accessed: 27 March 2026).</w:t>
      </w:r>
    </w:p>
    <w:p w14:paraId="67D60E74" w14:textId="202DB6C8" w:rsidR="00535A07" w:rsidRPr="00706EE6" w:rsidRDefault="00535A07" w:rsidP="00535A07">
      <w:pPr>
        <w:tabs>
          <w:tab w:val="left" w:pos="6540"/>
        </w:tabs>
        <w:spacing w:line="360" w:lineRule="auto"/>
        <w:rPr>
          <w:rFonts w:asciiTheme="minorBidi" w:hAnsiTheme="minorBidi"/>
          <w:i/>
          <w:iCs/>
          <w:sz w:val="22"/>
        </w:rPr>
      </w:pPr>
      <w:r w:rsidRPr="00706EE6">
        <w:rPr>
          <w:rFonts w:asciiTheme="minorBidi" w:hAnsiTheme="minorBidi"/>
          <w:i/>
          <w:iCs/>
          <w:sz w:val="22"/>
        </w:rPr>
        <w:t xml:space="preserve">Patients Association (2023) Patient experience of NHS communication: Annual survey findings. Harrow: Patients Association. Available at: </w:t>
      </w:r>
      <w:hyperlink r:id="rId19" w:history="1">
        <w:r w:rsidR="00706EE6" w:rsidRPr="00A83A12">
          <w:rPr>
            <w:rStyle w:val="Hyperlink"/>
            <w:rFonts w:asciiTheme="minorBidi" w:hAnsiTheme="minorBidi"/>
            <w:i/>
            <w:iCs/>
            <w:sz w:val="22"/>
          </w:rPr>
          <w:t>https://www.patients-association.org.uk</w:t>
        </w:r>
      </w:hyperlink>
      <w:r w:rsidR="00706EE6">
        <w:rPr>
          <w:rFonts w:asciiTheme="minorBidi" w:hAnsiTheme="minorBidi"/>
          <w:i/>
          <w:iCs/>
          <w:sz w:val="22"/>
        </w:rPr>
        <w:t xml:space="preserve"> </w:t>
      </w:r>
      <w:r w:rsidR="002D04F9" w:rsidRPr="00706EE6">
        <w:rPr>
          <w:rFonts w:asciiTheme="minorBidi" w:hAnsiTheme="minorBidi"/>
          <w:i/>
          <w:iCs/>
          <w:sz w:val="22"/>
        </w:rPr>
        <w:t xml:space="preserve"> (</w:t>
      </w:r>
      <w:r w:rsidRPr="00706EE6">
        <w:rPr>
          <w:rFonts w:asciiTheme="minorBidi" w:hAnsiTheme="minorBidi"/>
          <w:i/>
          <w:iCs/>
          <w:sz w:val="22"/>
        </w:rPr>
        <w:t>Accessed: 27 March 2026).</w:t>
      </w:r>
    </w:p>
    <w:p w14:paraId="19F55EDF" w14:textId="33E2BE4C" w:rsidR="00535A07" w:rsidRPr="00706EE6" w:rsidRDefault="00535A07" w:rsidP="00535A07">
      <w:pPr>
        <w:tabs>
          <w:tab w:val="left" w:pos="6540"/>
        </w:tabs>
        <w:spacing w:line="360" w:lineRule="auto"/>
        <w:rPr>
          <w:rFonts w:asciiTheme="minorBidi" w:hAnsiTheme="minorBidi"/>
          <w:i/>
          <w:iCs/>
          <w:sz w:val="22"/>
        </w:rPr>
      </w:pPr>
      <w:r w:rsidRPr="00706EE6">
        <w:rPr>
          <w:rFonts w:asciiTheme="minorBidi" w:hAnsiTheme="minorBidi"/>
          <w:i/>
          <w:iCs/>
          <w:sz w:val="22"/>
        </w:rPr>
        <w:t>Skills for Health (2024)</w:t>
      </w:r>
      <w:r w:rsidR="00854BEB" w:rsidRPr="00706EE6">
        <w:rPr>
          <w:rFonts w:asciiTheme="minorBidi" w:hAnsiTheme="minorBidi"/>
          <w:i/>
          <w:iCs/>
          <w:sz w:val="22"/>
        </w:rPr>
        <w:t>.</w:t>
      </w:r>
      <w:r w:rsidRPr="00706EE6">
        <w:rPr>
          <w:rFonts w:asciiTheme="minorBidi" w:hAnsiTheme="minorBidi"/>
          <w:i/>
          <w:iCs/>
          <w:sz w:val="22"/>
        </w:rPr>
        <w:t xml:space="preserve"> Core skills in health and social care: Person-centred approaches. Available at: </w:t>
      </w:r>
      <w:hyperlink r:id="rId20" w:history="1">
        <w:r w:rsidR="006B63BE" w:rsidRPr="00706EE6">
          <w:rPr>
            <w:rStyle w:val="Hyperlink"/>
            <w:rFonts w:asciiTheme="minorBidi" w:hAnsiTheme="minorBidi"/>
            <w:i/>
            <w:iCs/>
            <w:sz w:val="22"/>
          </w:rPr>
          <w:t>https://www.skillsforhealth.org.uk</w:t>
        </w:r>
      </w:hyperlink>
      <w:r w:rsidR="006B63BE" w:rsidRPr="00706EE6">
        <w:rPr>
          <w:rFonts w:asciiTheme="minorBidi" w:hAnsiTheme="minorBidi"/>
          <w:i/>
          <w:iCs/>
          <w:sz w:val="22"/>
        </w:rPr>
        <w:t xml:space="preserve"> </w:t>
      </w:r>
      <w:r w:rsidRPr="00706EE6">
        <w:rPr>
          <w:rFonts w:asciiTheme="minorBidi" w:hAnsiTheme="minorBidi"/>
          <w:i/>
          <w:iCs/>
          <w:sz w:val="22"/>
        </w:rPr>
        <w:t xml:space="preserve"> (Accessed: 27 March 2026).</w:t>
      </w:r>
    </w:p>
    <w:p w14:paraId="7545459C" w14:textId="064503D1" w:rsidR="00535A07" w:rsidRPr="00706EE6" w:rsidRDefault="00535A07" w:rsidP="00535A07">
      <w:pPr>
        <w:tabs>
          <w:tab w:val="left" w:pos="6540"/>
        </w:tabs>
        <w:spacing w:line="360" w:lineRule="auto"/>
        <w:rPr>
          <w:rFonts w:asciiTheme="minorBidi" w:hAnsiTheme="minorBidi"/>
          <w:i/>
          <w:iCs/>
          <w:sz w:val="22"/>
        </w:rPr>
      </w:pPr>
      <w:r w:rsidRPr="00706EE6">
        <w:rPr>
          <w:rFonts w:asciiTheme="minorBidi" w:hAnsiTheme="minorBidi"/>
          <w:i/>
          <w:iCs/>
          <w:sz w:val="22"/>
        </w:rPr>
        <w:t xml:space="preserve">Social Care Institute for Excellence (SCIE) (2023) Multidisciplinary teams in social care. Available at: </w:t>
      </w:r>
      <w:hyperlink r:id="rId21" w:history="1">
        <w:r w:rsidR="00706EE6" w:rsidRPr="00A83A12">
          <w:rPr>
            <w:rStyle w:val="Hyperlink"/>
            <w:rFonts w:asciiTheme="minorBidi" w:hAnsiTheme="minorBidi"/>
            <w:i/>
            <w:iCs/>
            <w:sz w:val="22"/>
          </w:rPr>
          <w:t>https://www.scie.org.uk</w:t>
        </w:r>
      </w:hyperlink>
      <w:r w:rsidR="00706EE6">
        <w:rPr>
          <w:rFonts w:asciiTheme="minorBidi" w:hAnsiTheme="minorBidi"/>
          <w:i/>
          <w:iCs/>
          <w:sz w:val="22"/>
        </w:rPr>
        <w:t xml:space="preserve"> </w:t>
      </w:r>
      <w:r w:rsidR="002D04F9" w:rsidRPr="00706EE6">
        <w:rPr>
          <w:rFonts w:asciiTheme="minorBidi" w:hAnsiTheme="minorBidi"/>
          <w:i/>
          <w:iCs/>
          <w:sz w:val="22"/>
        </w:rPr>
        <w:t xml:space="preserve"> (</w:t>
      </w:r>
      <w:r w:rsidRPr="00706EE6">
        <w:rPr>
          <w:rFonts w:asciiTheme="minorBidi" w:hAnsiTheme="minorBidi"/>
          <w:i/>
          <w:iCs/>
          <w:sz w:val="22"/>
        </w:rPr>
        <w:t>Accessed: 27 March 2026).</w:t>
      </w:r>
    </w:p>
    <w:p w14:paraId="7D8C5F24" w14:textId="77777777" w:rsidR="00535A07" w:rsidRPr="00706EE6" w:rsidRDefault="00535A07" w:rsidP="00535A07">
      <w:pPr>
        <w:tabs>
          <w:tab w:val="left" w:pos="6540"/>
        </w:tabs>
        <w:spacing w:line="360" w:lineRule="auto"/>
        <w:rPr>
          <w:rFonts w:asciiTheme="minorBidi" w:hAnsiTheme="minorBidi"/>
          <w:i/>
          <w:iCs/>
          <w:sz w:val="22"/>
        </w:rPr>
      </w:pPr>
      <w:proofErr w:type="spellStart"/>
      <w:r w:rsidRPr="00706EE6">
        <w:rPr>
          <w:rFonts w:asciiTheme="minorBidi" w:hAnsiTheme="minorBidi"/>
          <w:i/>
          <w:iCs/>
          <w:sz w:val="22"/>
        </w:rPr>
        <w:t>Tervalon</w:t>
      </w:r>
      <w:proofErr w:type="spellEnd"/>
      <w:r w:rsidRPr="00706EE6">
        <w:rPr>
          <w:rFonts w:asciiTheme="minorBidi" w:hAnsiTheme="minorBidi"/>
          <w:i/>
          <w:iCs/>
          <w:sz w:val="22"/>
        </w:rPr>
        <w:t>, M. and Murray-García, J. (1998) ‘Cultural humility versus cultural competence: A critical distinction in defining physician training outcomes in multicultural education’, Journal of Health Care for the Poor and Underserved, 9(2), pp. 117–125.</w:t>
      </w:r>
    </w:p>
    <w:p w14:paraId="46395EAA" w14:textId="3C9E2E99" w:rsidR="007D7F4A" w:rsidRPr="00706EE6" w:rsidRDefault="00CB0483" w:rsidP="00535A07">
      <w:pPr>
        <w:tabs>
          <w:tab w:val="left" w:pos="6540"/>
        </w:tabs>
        <w:spacing w:line="360" w:lineRule="auto"/>
        <w:rPr>
          <w:rFonts w:asciiTheme="minorBidi" w:hAnsiTheme="minorBidi"/>
          <w:i/>
          <w:iCs/>
          <w:sz w:val="22"/>
        </w:rPr>
      </w:pPr>
      <w:r w:rsidRPr="00706EE6">
        <w:rPr>
          <w:rFonts w:asciiTheme="minorBidi" w:hAnsiTheme="minorBidi"/>
          <w:i/>
          <w:iCs/>
          <w:sz w:val="22"/>
        </w:rPr>
        <w:t>The Data (Use and Access</w:t>
      </w:r>
      <w:r w:rsidR="004168E8" w:rsidRPr="00706EE6">
        <w:rPr>
          <w:rFonts w:asciiTheme="minorBidi" w:hAnsiTheme="minorBidi"/>
          <w:i/>
          <w:iCs/>
          <w:sz w:val="22"/>
        </w:rPr>
        <w:t>) Act (2025)</w:t>
      </w:r>
      <w:r w:rsidR="00EC0A0A" w:rsidRPr="00706EE6">
        <w:rPr>
          <w:rFonts w:asciiTheme="minorBidi" w:hAnsiTheme="minorBidi"/>
          <w:i/>
          <w:iCs/>
          <w:sz w:val="22"/>
        </w:rPr>
        <w:t xml:space="preserve"> </w:t>
      </w:r>
      <w:r w:rsidR="000B786C" w:rsidRPr="00706EE6">
        <w:rPr>
          <w:rFonts w:asciiTheme="minorBidi" w:hAnsiTheme="minorBidi"/>
          <w:i/>
          <w:iCs/>
          <w:sz w:val="22"/>
        </w:rPr>
        <w:t xml:space="preserve">c. 12. </w:t>
      </w:r>
      <w:r w:rsidR="0057611F" w:rsidRPr="00706EE6">
        <w:rPr>
          <w:rFonts w:asciiTheme="minorBidi" w:hAnsiTheme="minorBidi"/>
          <w:i/>
          <w:iCs/>
          <w:sz w:val="22"/>
        </w:rPr>
        <w:t>London</w:t>
      </w:r>
      <w:r w:rsidR="000B786C" w:rsidRPr="00706EE6">
        <w:rPr>
          <w:rFonts w:asciiTheme="minorBidi" w:hAnsiTheme="minorBidi"/>
          <w:i/>
          <w:iCs/>
          <w:sz w:val="22"/>
        </w:rPr>
        <w:t>: His Majesty</w:t>
      </w:r>
      <w:r w:rsidR="0057611F" w:rsidRPr="00706EE6">
        <w:rPr>
          <w:rFonts w:asciiTheme="minorBidi" w:hAnsiTheme="minorBidi"/>
          <w:i/>
          <w:iCs/>
          <w:sz w:val="22"/>
        </w:rPr>
        <w:t xml:space="preserve">’s </w:t>
      </w:r>
      <w:r w:rsidR="00A721AB" w:rsidRPr="00706EE6">
        <w:rPr>
          <w:rFonts w:asciiTheme="minorBidi" w:hAnsiTheme="minorBidi"/>
          <w:i/>
          <w:iCs/>
          <w:sz w:val="22"/>
        </w:rPr>
        <w:t>Stationery Office</w:t>
      </w:r>
      <w:r w:rsidR="001C0B3F" w:rsidRPr="00706EE6">
        <w:rPr>
          <w:rFonts w:asciiTheme="minorBidi" w:hAnsiTheme="minorBidi"/>
          <w:i/>
          <w:iCs/>
          <w:sz w:val="22"/>
        </w:rPr>
        <w:t>.</w:t>
      </w:r>
      <w:r w:rsidR="00AD1606" w:rsidRPr="00706EE6">
        <w:rPr>
          <w:rFonts w:asciiTheme="minorBidi" w:hAnsiTheme="minorBidi"/>
          <w:i/>
          <w:iCs/>
          <w:sz w:val="22"/>
        </w:rPr>
        <w:t xml:space="preserve"> Available at:</w:t>
      </w:r>
      <w:r w:rsidR="0064641E" w:rsidRPr="00706EE6">
        <w:rPr>
          <w:rFonts w:asciiTheme="minorBidi" w:hAnsiTheme="minorBidi"/>
          <w:i/>
          <w:iCs/>
          <w:sz w:val="22"/>
        </w:rPr>
        <w:t xml:space="preserve"> </w:t>
      </w:r>
      <w:hyperlink r:id="rId22" w:history="1">
        <w:r w:rsidR="00994B8C" w:rsidRPr="00706EE6">
          <w:rPr>
            <w:rStyle w:val="Hyperlink"/>
            <w:rFonts w:asciiTheme="minorBidi" w:hAnsiTheme="minorBidi"/>
            <w:i/>
            <w:iCs/>
            <w:sz w:val="22"/>
          </w:rPr>
          <w:t>https://www.legislation.gov.uk/ukpga/2025/12/contents</w:t>
        </w:r>
      </w:hyperlink>
      <w:r w:rsidR="00994B8C" w:rsidRPr="00706EE6">
        <w:rPr>
          <w:rFonts w:asciiTheme="minorBidi" w:hAnsiTheme="minorBidi"/>
          <w:i/>
          <w:iCs/>
          <w:sz w:val="22"/>
        </w:rPr>
        <w:t xml:space="preserve"> (Accessed</w:t>
      </w:r>
      <w:r w:rsidR="00810107" w:rsidRPr="00706EE6">
        <w:rPr>
          <w:rFonts w:asciiTheme="minorBidi" w:hAnsiTheme="minorBidi"/>
          <w:i/>
          <w:iCs/>
          <w:sz w:val="22"/>
        </w:rPr>
        <w:t>:17 March 2026)</w:t>
      </w:r>
      <w:r w:rsidR="006546B1" w:rsidRPr="00706EE6">
        <w:rPr>
          <w:rFonts w:asciiTheme="minorBidi" w:hAnsiTheme="minorBidi"/>
          <w:i/>
          <w:iCs/>
          <w:sz w:val="22"/>
        </w:rPr>
        <w:t>.</w:t>
      </w:r>
    </w:p>
    <w:p w14:paraId="0D2AD075" w14:textId="69876F44" w:rsidR="00535A07" w:rsidRPr="00706EE6" w:rsidRDefault="00535A07" w:rsidP="00535A07">
      <w:pPr>
        <w:tabs>
          <w:tab w:val="left" w:pos="6540"/>
        </w:tabs>
        <w:spacing w:line="360" w:lineRule="auto"/>
        <w:rPr>
          <w:rFonts w:asciiTheme="minorBidi" w:hAnsiTheme="minorBidi"/>
          <w:i/>
          <w:iCs/>
          <w:sz w:val="22"/>
        </w:rPr>
      </w:pPr>
      <w:r w:rsidRPr="00706EE6">
        <w:rPr>
          <w:rFonts w:asciiTheme="minorBidi" w:hAnsiTheme="minorBidi"/>
          <w:i/>
          <w:iCs/>
          <w:sz w:val="22"/>
        </w:rPr>
        <w:t>The King’s Fund (2021)</w:t>
      </w:r>
      <w:r w:rsidR="00854BEB" w:rsidRPr="00706EE6">
        <w:rPr>
          <w:rFonts w:asciiTheme="minorBidi" w:hAnsiTheme="minorBidi"/>
          <w:i/>
          <w:iCs/>
          <w:sz w:val="22"/>
        </w:rPr>
        <w:t>.</w:t>
      </w:r>
      <w:r w:rsidRPr="00706EE6">
        <w:rPr>
          <w:rFonts w:asciiTheme="minorBidi" w:hAnsiTheme="minorBidi"/>
          <w:i/>
          <w:iCs/>
          <w:sz w:val="22"/>
        </w:rPr>
        <w:t xml:space="preserve"> Integrating health and social care: Opportunities and challenges. London: The King’s Fund. Available at: </w:t>
      </w:r>
      <w:hyperlink r:id="rId23" w:history="1">
        <w:r w:rsidR="000D17E8" w:rsidRPr="00706EE6">
          <w:rPr>
            <w:rStyle w:val="Hyperlink"/>
            <w:rFonts w:asciiTheme="minorBidi" w:hAnsiTheme="minorBidi"/>
            <w:i/>
            <w:iCs/>
            <w:sz w:val="22"/>
          </w:rPr>
          <w:t>https://www.kingsfund.org.uk</w:t>
        </w:r>
      </w:hyperlink>
      <w:r w:rsidR="000D17E8" w:rsidRPr="00706EE6">
        <w:rPr>
          <w:rFonts w:asciiTheme="minorBidi" w:hAnsiTheme="minorBidi"/>
          <w:i/>
          <w:iCs/>
          <w:sz w:val="22"/>
        </w:rPr>
        <w:t xml:space="preserve"> </w:t>
      </w:r>
      <w:r w:rsidRPr="00706EE6">
        <w:rPr>
          <w:rFonts w:asciiTheme="minorBidi" w:hAnsiTheme="minorBidi"/>
          <w:i/>
          <w:iCs/>
          <w:sz w:val="22"/>
        </w:rPr>
        <w:t xml:space="preserve"> (Accessed: 7 April 2026).</w:t>
      </w:r>
    </w:p>
    <w:p w14:paraId="3E8BCD07" w14:textId="42CA4C48" w:rsidR="00535A07" w:rsidRPr="00706EE6" w:rsidRDefault="00535A07" w:rsidP="00535A07">
      <w:pPr>
        <w:tabs>
          <w:tab w:val="left" w:pos="6540"/>
        </w:tabs>
        <w:spacing w:line="360" w:lineRule="auto"/>
        <w:rPr>
          <w:rFonts w:asciiTheme="minorBidi" w:hAnsiTheme="minorBidi"/>
          <w:i/>
          <w:iCs/>
          <w:sz w:val="22"/>
        </w:rPr>
      </w:pPr>
      <w:r w:rsidRPr="00706EE6">
        <w:rPr>
          <w:rFonts w:asciiTheme="minorBidi" w:hAnsiTheme="minorBidi"/>
          <w:i/>
          <w:iCs/>
          <w:sz w:val="22"/>
        </w:rPr>
        <w:t xml:space="preserve">World Health Organisation (WHO) (2025) World Patient Safety Day 2025: Safe care for every patient. Geneva: WHO. Available at: </w:t>
      </w:r>
      <w:hyperlink r:id="rId24" w:history="1">
        <w:r w:rsidR="00706EE6" w:rsidRPr="00A83A12">
          <w:rPr>
            <w:rStyle w:val="Hyperlink"/>
            <w:rFonts w:asciiTheme="minorBidi" w:hAnsiTheme="minorBidi"/>
            <w:i/>
            <w:iCs/>
            <w:sz w:val="22"/>
          </w:rPr>
          <w:t>https://www.who.in</w:t>
        </w:r>
      </w:hyperlink>
      <w:r w:rsidR="00706EE6">
        <w:rPr>
          <w:rFonts w:asciiTheme="minorBidi" w:hAnsiTheme="minorBidi"/>
          <w:i/>
          <w:iCs/>
          <w:sz w:val="22"/>
        </w:rPr>
        <w:t xml:space="preserve"> </w:t>
      </w:r>
      <w:r w:rsidRPr="00706EE6">
        <w:rPr>
          <w:rFonts w:asciiTheme="minorBidi" w:hAnsiTheme="minorBidi"/>
          <w:i/>
          <w:iCs/>
          <w:sz w:val="22"/>
        </w:rPr>
        <w:t>t (Accessed: 5 April 2026).</w:t>
      </w:r>
    </w:p>
    <w:p w14:paraId="1425F4AC" w14:textId="09FC0107" w:rsidR="001D7C03" w:rsidRPr="00706EE6" w:rsidRDefault="00535A07" w:rsidP="00CD33A8">
      <w:pPr>
        <w:tabs>
          <w:tab w:val="left" w:pos="6540"/>
        </w:tabs>
        <w:spacing w:line="360" w:lineRule="auto"/>
        <w:rPr>
          <w:rFonts w:asciiTheme="minorBidi" w:hAnsiTheme="minorBidi"/>
          <w:i/>
          <w:iCs/>
          <w:sz w:val="22"/>
        </w:rPr>
      </w:pPr>
      <w:r w:rsidRPr="00706EE6">
        <w:rPr>
          <w:rFonts w:asciiTheme="minorBidi" w:hAnsiTheme="minorBidi"/>
          <w:i/>
          <w:iCs/>
          <w:sz w:val="22"/>
        </w:rPr>
        <w:t>World Stroke Organisation (WSO) (2026) Global Stroke Bill 2026: Ensuring equity in stroke care. G</w:t>
      </w:r>
      <w:r w:rsidR="001333D9" w:rsidRPr="00706EE6">
        <w:rPr>
          <w:rFonts w:asciiTheme="minorBidi" w:hAnsiTheme="minorBidi"/>
          <w:i/>
          <w:iCs/>
          <w:sz w:val="22"/>
        </w:rPr>
        <w:t xml:space="preserve">eneva: </w:t>
      </w:r>
      <w:r w:rsidR="000D17E8" w:rsidRPr="00706EE6">
        <w:rPr>
          <w:rFonts w:asciiTheme="minorBidi" w:hAnsiTheme="minorBidi"/>
          <w:i/>
          <w:iCs/>
          <w:sz w:val="22"/>
        </w:rPr>
        <w:t>WSO. Available</w:t>
      </w:r>
      <w:r w:rsidR="00CD34FB" w:rsidRPr="00706EE6">
        <w:rPr>
          <w:rFonts w:asciiTheme="minorBidi" w:hAnsiTheme="minorBidi"/>
          <w:i/>
          <w:iCs/>
          <w:sz w:val="22"/>
        </w:rPr>
        <w:t xml:space="preserve"> at: </w:t>
      </w:r>
      <w:hyperlink r:id="rId25" w:history="1">
        <w:r w:rsidR="000D17E8" w:rsidRPr="00706EE6">
          <w:rPr>
            <w:rStyle w:val="Hyperlink"/>
            <w:rFonts w:asciiTheme="minorBidi" w:hAnsiTheme="minorBidi"/>
            <w:i/>
            <w:iCs/>
            <w:sz w:val="22"/>
          </w:rPr>
          <w:t>https://www.world-stroke.org</w:t>
        </w:r>
      </w:hyperlink>
      <w:r w:rsidR="000D17E8" w:rsidRPr="00706EE6">
        <w:rPr>
          <w:rFonts w:asciiTheme="minorBidi" w:hAnsiTheme="minorBidi"/>
          <w:i/>
          <w:iCs/>
          <w:sz w:val="22"/>
        </w:rPr>
        <w:t xml:space="preserve"> </w:t>
      </w:r>
      <w:r w:rsidR="00CD34FB" w:rsidRPr="00706EE6">
        <w:rPr>
          <w:rFonts w:asciiTheme="minorBidi" w:hAnsiTheme="minorBidi"/>
          <w:i/>
          <w:iCs/>
          <w:sz w:val="22"/>
        </w:rPr>
        <w:t xml:space="preserve"> (Accessed: 5</w:t>
      </w:r>
      <w:r w:rsidR="00854BEB" w:rsidRPr="00706EE6">
        <w:rPr>
          <w:rFonts w:asciiTheme="minorBidi" w:hAnsiTheme="minorBidi"/>
          <w:i/>
          <w:iCs/>
          <w:sz w:val="22"/>
        </w:rPr>
        <w:t xml:space="preserve"> April 2026).</w:t>
      </w:r>
    </w:p>
    <w:sectPr w:rsidR="001D7C03" w:rsidRPr="00706EE6" w:rsidSect="00E620E7">
      <w:footerReference w:type="defaul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FB9CE" w14:textId="77777777" w:rsidR="00D95E12" w:rsidRDefault="00D95E12" w:rsidP="003E4ECF">
      <w:pPr>
        <w:spacing w:after="0" w:line="240" w:lineRule="auto"/>
      </w:pPr>
      <w:r>
        <w:separator/>
      </w:r>
    </w:p>
  </w:endnote>
  <w:endnote w:type="continuationSeparator" w:id="0">
    <w:p w14:paraId="543E475F" w14:textId="77777777" w:rsidR="00D95E12" w:rsidRDefault="00D95E12"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65855" w14:textId="77777777" w:rsidR="00D95E12" w:rsidRDefault="00D95E12" w:rsidP="003E4ECF">
      <w:pPr>
        <w:spacing w:after="0" w:line="240" w:lineRule="auto"/>
      </w:pPr>
      <w:r>
        <w:separator/>
      </w:r>
    </w:p>
  </w:footnote>
  <w:footnote w:type="continuationSeparator" w:id="0">
    <w:p w14:paraId="5213D631" w14:textId="77777777" w:rsidR="00D95E12" w:rsidRDefault="00D95E12"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6351B"/>
    <w:multiLevelType w:val="hybridMultilevel"/>
    <w:tmpl w:val="24CACF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A119D5"/>
    <w:multiLevelType w:val="hybridMultilevel"/>
    <w:tmpl w:val="CA604734"/>
    <w:lvl w:ilvl="0" w:tplc="DB0CF9E0">
      <w:start w:val="5"/>
      <w:numFmt w:val="decimal"/>
      <w:lvlText w:val="%1."/>
      <w:lvlJc w:val="left"/>
      <w:pPr>
        <w:ind w:left="1440" w:hanging="360"/>
      </w:pPr>
      <w:rPr>
        <w:rFonts w:hint="default"/>
        <w:color w:val="000000" w:themeColor="text1"/>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41AE6F87"/>
    <w:multiLevelType w:val="hybridMultilevel"/>
    <w:tmpl w:val="FCC8266A"/>
    <w:lvl w:ilvl="0" w:tplc="9C28254A">
      <w:start w:val="3"/>
      <w:numFmt w:val="decimal"/>
      <w:lvlText w:val="%1."/>
      <w:lvlJc w:val="left"/>
      <w:pPr>
        <w:ind w:left="1080" w:hanging="360"/>
      </w:pPr>
      <w:rPr>
        <w:rFonts w:hint="default"/>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41325C2"/>
    <w:multiLevelType w:val="hybridMultilevel"/>
    <w:tmpl w:val="D7545EB6"/>
    <w:lvl w:ilvl="0" w:tplc="F10E3D64">
      <w:start w:val="1"/>
      <w:numFmt w:val="decimal"/>
      <w:lvlText w:val="%1."/>
      <w:lvlJc w:val="left"/>
      <w:pPr>
        <w:ind w:left="1080" w:hanging="360"/>
      </w:pPr>
      <w:rPr>
        <w:rFonts w:ascii="Times New Roman" w:eastAsiaTheme="minorHAnsi" w:hAnsi="Times New Roman" w:cstheme="minorBidi"/>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FF7D9D"/>
    <w:multiLevelType w:val="hybridMultilevel"/>
    <w:tmpl w:val="1E342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9608C5"/>
    <w:multiLevelType w:val="hybridMultilevel"/>
    <w:tmpl w:val="2D0EDA28"/>
    <w:lvl w:ilvl="0" w:tplc="B21081E2">
      <w:start w:val="5"/>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8922864">
    <w:abstractNumId w:val="4"/>
  </w:num>
  <w:num w:numId="2" w16cid:durableId="54475172">
    <w:abstractNumId w:val="0"/>
  </w:num>
  <w:num w:numId="3" w16cid:durableId="1752698622">
    <w:abstractNumId w:val="2"/>
  </w:num>
  <w:num w:numId="4" w16cid:durableId="1052775677">
    <w:abstractNumId w:val="3"/>
  </w:num>
  <w:num w:numId="5" w16cid:durableId="1617907282">
    <w:abstractNumId w:val="1"/>
  </w:num>
  <w:num w:numId="6" w16cid:durableId="6197210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4C3A"/>
    <w:rsid w:val="000261E4"/>
    <w:rsid w:val="000268A3"/>
    <w:rsid w:val="000429E3"/>
    <w:rsid w:val="000531DD"/>
    <w:rsid w:val="0005582F"/>
    <w:rsid w:val="000572BF"/>
    <w:rsid w:val="000650B4"/>
    <w:rsid w:val="0006726C"/>
    <w:rsid w:val="000728DC"/>
    <w:rsid w:val="00074402"/>
    <w:rsid w:val="00077533"/>
    <w:rsid w:val="00083C50"/>
    <w:rsid w:val="000A318F"/>
    <w:rsid w:val="000B786C"/>
    <w:rsid w:val="000D17E8"/>
    <w:rsid w:val="000D608A"/>
    <w:rsid w:val="000F1649"/>
    <w:rsid w:val="00105E7F"/>
    <w:rsid w:val="001079E9"/>
    <w:rsid w:val="00116203"/>
    <w:rsid w:val="001333D9"/>
    <w:rsid w:val="001334B4"/>
    <w:rsid w:val="00141F3E"/>
    <w:rsid w:val="001468F0"/>
    <w:rsid w:val="0015188D"/>
    <w:rsid w:val="00152F75"/>
    <w:rsid w:val="001540EF"/>
    <w:rsid w:val="00154C57"/>
    <w:rsid w:val="00164186"/>
    <w:rsid w:val="001818D9"/>
    <w:rsid w:val="00192F9F"/>
    <w:rsid w:val="00193CFE"/>
    <w:rsid w:val="001C0B3F"/>
    <w:rsid w:val="001C3209"/>
    <w:rsid w:val="001C422D"/>
    <w:rsid w:val="001D6239"/>
    <w:rsid w:val="001D70D6"/>
    <w:rsid w:val="001D7C03"/>
    <w:rsid w:val="001E5D5C"/>
    <w:rsid w:val="001F03EC"/>
    <w:rsid w:val="001F21F3"/>
    <w:rsid w:val="0020390E"/>
    <w:rsid w:val="00203A8B"/>
    <w:rsid w:val="00216C85"/>
    <w:rsid w:val="00230474"/>
    <w:rsid w:val="002352F7"/>
    <w:rsid w:val="002407AF"/>
    <w:rsid w:val="0025120B"/>
    <w:rsid w:val="0026393A"/>
    <w:rsid w:val="00273A66"/>
    <w:rsid w:val="00273EDD"/>
    <w:rsid w:val="00275748"/>
    <w:rsid w:val="002B288A"/>
    <w:rsid w:val="002B542E"/>
    <w:rsid w:val="002C20F3"/>
    <w:rsid w:val="002C3965"/>
    <w:rsid w:val="002D04F9"/>
    <w:rsid w:val="002D72AE"/>
    <w:rsid w:val="0031040A"/>
    <w:rsid w:val="0031353B"/>
    <w:rsid w:val="00321C10"/>
    <w:rsid w:val="00321C4C"/>
    <w:rsid w:val="00321DF5"/>
    <w:rsid w:val="00333A70"/>
    <w:rsid w:val="00336280"/>
    <w:rsid w:val="00345AD6"/>
    <w:rsid w:val="00366403"/>
    <w:rsid w:val="00373981"/>
    <w:rsid w:val="00386EDD"/>
    <w:rsid w:val="00392BBC"/>
    <w:rsid w:val="003A0790"/>
    <w:rsid w:val="003A7ABD"/>
    <w:rsid w:val="003B29B3"/>
    <w:rsid w:val="003B2ECC"/>
    <w:rsid w:val="003B53D0"/>
    <w:rsid w:val="003C5F45"/>
    <w:rsid w:val="003D04BD"/>
    <w:rsid w:val="003E4ECF"/>
    <w:rsid w:val="003F0231"/>
    <w:rsid w:val="00405336"/>
    <w:rsid w:val="00405C3C"/>
    <w:rsid w:val="00413136"/>
    <w:rsid w:val="004168E8"/>
    <w:rsid w:val="004738B2"/>
    <w:rsid w:val="00491776"/>
    <w:rsid w:val="00492C94"/>
    <w:rsid w:val="004A5CA2"/>
    <w:rsid w:val="004A736E"/>
    <w:rsid w:val="004B5304"/>
    <w:rsid w:val="004C3FD5"/>
    <w:rsid w:val="004C5A22"/>
    <w:rsid w:val="004C7CE4"/>
    <w:rsid w:val="004F0566"/>
    <w:rsid w:val="004F3F66"/>
    <w:rsid w:val="005070F7"/>
    <w:rsid w:val="00515158"/>
    <w:rsid w:val="00530AFA"/>
    <w:rsid w:val="00535A07"/>
    <w:rsid w:val="00536673"/>
    <w:rsid w:val="00540E7C"/>
    <w:rsid w:val="00550821"/>
    <w:rsid w:val="00552FFA"/>
    <w:rsid w:val="00556C1F"/>
    <w:rsid w:val="0057611F"/>
    <w:rsid w:val="00594CE3"/>
    <w:rsid w:val="005A037B"/>
    <w:rsid w:val="005A5F42"/>
    <w:rsid w:val="005C06F9"/>
    <w:rsid w:val="005E375F"/>
    <w:rsid w:val="005F66B3"/>
    <w:rsid w:val="005F7657"/>
    <w:rsid w:val="00616ACB"/>
    <w:rsid w:val="00643C96"/>
    <w:rsid w:val="0064641E"/>
    <w:rsid w:val="00647285"/>
    <w:rsid w:val="00650E06"/>
    <w:rsid w:val="006545D0"/>
    <w:rsid w:val="006546B1"/>
    <w:rsid w:val="00664CB2"/>
    <w:rsid w:val="00683710"/>
    <w:rsid w:val="00685D75"/>
    <w:rsid w:val="00686470"/>
    <w:rsid w:val="006925AA"/>
    <w:rsid w:val="006A2998"/>
    <w:rsid w:val="006B420D"/>
    <w:rsid w:val="006B57B3"/>
    <w:rsid w:val="006B63BE"/>
    <w:rsid w:val="006C0D0D"/>
    <w:rsid w:val="006E306D"/>
    <w:rsid w:val="006F7607"/>
    <w:rsid w:val="00701ABE"/>
    <w:rsid w:val="00702BA4"/>
    <w:rsid w:val="00702C9D"/>
    <w:rsid w:val="007034D2"/>
    <w:rsid w:val="00705FCB"/>
    <w:rsid w:val="00706EE6"/>
    <w:rsid w:val="00712CDA"/>
    <w:rsid w:val="007145F6"/>
    <w:rsid w:val="00725177"/>
    <w:rsid w:val="007312C7"/>
    <w:rsid w:val="00742754"/>
    <w:rsid w:val="00747823"/>
    <w:rsid w:val="007509CD"/>
    <w:rsid w:val="0075103A"/>
    <w:rsid w:val="00751FC8"/>
    <w:rsid w:val="007564CF"/>
    <w:rsid w:val="00771BD6"/>
    <w:rsid w:val="00785F69"/>
    <w:rsid w:val="007A1B8D"/>
    <w:rsid w:val="007D1C11"/>
    <w:rsid w:val="007D6535"/>
    <w:rsid w:val="007D7F4A"/>
    <w:rsid w:val="007E38DC"/>
    <w:rsid w:val="008034D9"/>
    <w:rsid w:val="00810107"/>
    <w:rsid w:val="0081051D"/>
    <w:rsid w:val="0081056A"/>
    <w:rsid w:val="00814A9E"/>
    <w:rsid w:val="00814B60"/>
    <w:rsid w:val="0081671D"/>
    <w:rsid w:val="00833D34"/>
    <w:rsid w:val="00854BEB"/>
    <w:rsid w:val="008646C6"/>
    <w:rsid w:val="008864DE"/>
    <w:rsid w:val="008A18A8"/>
    <w:rsid w:val="008A74A4"/>
    <w:rsid w:val="008D2217"/>
    <w:rsid w:val="008D370E"/>
    <w:rsid w:val="008E3943"/>
    <w:rsid w:val="008F4C69"/>
    <w:rsid w:val="008F51B5"/>
    <w:rsid w:val="008F5346"/>
    <w:rsid w:val="0090040D"/>
    <w:rsid w:val="00910615"/>
    <w:rsid w:val="00910661"/>
    <w:rsid w:val="00912663"/>
    <w:rsid w:val="009228F0"/>
    <w:rsid w:val="0094298B"/>
    <w:rsid w:val="009740D9"/>
    <w:rsid w:val="00977C05"/>
    <w:rsid w:val="00980722"/>
    <w:rsid w:val="00994B8C"/>
    <w:rsid w:val="009D052C"/>
    <w:rsid w:val="009D1D1E"/>
    <w:rsid w:val="009D2628"/>
    <w:rsid w:val="009D5891"/>
    <w:rsid w:val="009E56B6"/>
    <w:rsid w:val="009F60B2"/>
    <w:rsid w:val="00A035FD"/>
    <w:rsid w:val="00A14947"/>
    <w:rsid w:val="00A14AF6"/>
    <w:rsid w:val="00A22BB0"/>
    <w:rsid w:val="00A24AD8"/>
    <w:rsid w:val="00A44E73"/>
    <w:rsid w:val="00A64C9A"/>
    <w:rsid w:val="00A6567C"/>
    <w:rsid w:val="00A721AB"/>
    <w:rsid w:val="00A7363E"/>
    <w:rsid w:val="00A75705"/>
    <w:rsid w:val="00A764A7"/>
    <w:rsid w:val="00A87C6F"/>
    <w:rsid w:val="00AA4A1C"/>
    <w:rsid w:val="00AA5E73"/>
    <w:rsid w:val="00AB0F55"/>
    <w:rsid w:val="00AB1508"/>
    <w:rsid w:val="00AD1606"/>
    <w:rsid w:val="00AD23A0"/>
    <w:rsid w:val="00AD5C17"/>
    <w:rsid w:val="00B0075A"/>
    <w:rsid w:val="00B07553"/>
    <w:rsid w:val="00B3000F"/>
    <w:rsid w:val="00B307B9"/>
    <w:rsid w:val="00B32C60"/>
    <w:rsid w:val="00B32EC2"/>
    <w:rsid w:val="00B537F3"/>
    <w:rsid w:val="00B6023A"/>
    <w:rsid w:val="00B65E3F"/>
    <w:rsid w:val="00B83E63"/>
    <w:rsid w:val="00B865E2"/>
    <w:rsid w:val="00B87E75"/>
    <w:rsid w:val="00B960A3"/>
    <w:rsid w:val="00BB7525"/>
    <w:rsid w:val="00BC6FC6"/>
    <w:rsid w:val="00BE5F48"/>
    <w:rsid w:val="00BF61CB"/>
    <w:rsid w:val="00BF62CC"/>
    <w:rsid w:val="00C17992"/>
    <w:rsid w:val="00C214E5"/>
    <w:rsid w:val="00C447DD"/>
    <w:rsid w:val="00C54A9D"/>
    <w:rsid w:val="00C65594"/>
    <w:rsid w:val="00C72E64"/>
    <w:rsid w:val="00C80B2C"/>
    <w:rsid w:val="00C90A54"/>
    <w:rsid w:val="00CA4E1B"/>
    <w:rsid w:val="00CB0483"/>
    <w:rsid w:val="00CB04C3"/>
    <w:rsid w:val="00CB1B90"/>
    <w:rsid w:val="00CD33A8"/>
    <w:rsid w:val="00CD34FB"/>
    <w:rsid w:val="00D035E6"/>
    <w:rsid w:val="00D04358"/>
    <w:rsid w:val="00D6563B"/>
    <w:rsid w:val="00D95E12"/>
    <w:rsid w:val="00DA4A22"/>
    <w:rsid w:val="00DA541F"/>
    <w:rsid w:val="00DB4479"/>
    <w:rsid w:val="00DB4AC8"/>
    <w:rsid w:val="00DC1536"/>
    <w:rsid w:val="00DD372D"/>
    <w:rsid w:val="00DD7A3D"/>
    <w:rsid w:val="00DD7F0D"/>
    <w:rsid w:val="00DE508B"/>
    <w:rsid w:val="00DE635B"/>
    <w:rsid w:val="00E072D9"/>
    <w:rsid w:val="00E4042E"/>
    <w:rsid w:val="00E4638C"/>
    <w:rsid w:val="00E569FD"/>
    <w:rsid w:val="00E620E7"/>
    <w:rsid w:val="00E7428C"/>
    <w:rsid w:val="00E831E4"/>
    <w:rsid w:val="00EA04B1"/>
    <w:rsid w:val="00EA4416"/>
    <w:rsid w:val="00EC0A0A"/>
    <w:rsid w:val="00EF4107"/>
    <w:rsid w:val="00EF5A60"/>
    <w:rsid w:val="00F022FE"/>
    <w:rsid w:val="00F04431"/>
    <w:rsid w:val="00F15A70"/>
    <w:rsid w:val="00F615D8"/>
    <w:rsid w:val="00F66E1B"/>
    <w:rsid w:val="00F731E3"/>
    <w:rsid w:val="00F756BA"/>
    <w:rsid w:val="00F77010"/>
    <w:rsid w:val="00FA48EF"/>
    <w:rsid w:val="00FA491E"/>
    <w:rsid w:val="00FB051F"/>
    <w:rsid w:val="00FB0DDF"/>
    <w:rsid w:val="00FB15AF"/>
    <w:rsid w:val="00FC2DF9"/>
    <w:rsid w:val="00FD2A01"/>
    <w:rsid w:val="00FD652D"/>
    <w:rsid w:val="00FD785A"/>
    <w:rsid w:val="00FF47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A64C9A"/>
    <w:pPr>
      <w:ind w:left="720"/>
      <w:contextualSpacing/>
    </w:pPr>
  </w:style>
  <w:style w:type="paragraph" w:styleId="NormalWeb">
    <w:name w:val="Normal (Web)"/>
    <w:basedOn w:val="Normal"/>
    <w:uiPriority w:val="99"/>
    <w:semiHidden/>
    <w:unhideWhenUsed/>
    <w:rsid w:val="00594CE3"/>
    <w:rPr>
      <w:rFonts w:cs="Times New Roman"/>
      <w:szCs w:val="24"/>
    </w:rPr>
  </w:style>
  <w:style w:type="character" w:styleId="Hyperlink">
    <w:name w:val="Hyperlink"/>
    <w:basedOn w:val="DefaultParagraphFont"/>
    <w:uiPriority w:val="99"/>
    <w:unhideWhenUsed/>
    <w:rsid w:val="006B63BE"/>
    <w:rPr>
      <w:color w:val="0563C1" w:themeColor="hyperlink"/>
      <w:u w:val="single"/>
    </w:rPr>
  </w:style>
  <w:style w:type="character" w:styleId="UnresolvedMention">
    <w:name w:val="Unresolved Mention"/>
    <w:basedOn w:val="DefaultParagraphFont"/>
    <w:uiPriority w:val="99"/>
    <w:semiHidden/>
    <w:unhideWhenUsed/>
    <w:rsid w:val="006B63BE"/>
    <w:rPr>
      <w:color w:val="605E5C"/>
      <w:shd w:val="clear" w:color="auto" w:fill="E1DFDD"/>
    </w:rPr>
  </w:style>
  <w:style w:type="paragraph" w:styleId="TOCHeading">
    <w:name w:val="TOC Heading"/>
    <w:basedOn w:val="Heading1"/>
    <w:next w:val="Normal"/>
    <w:uiPriority w:val="39"/>
    <w:unhideWhenUsed/>
    <w:qFormat/>
    <w:rsid w:val="008F5346"/>
    <w:pPr>
      <w:spacing w:line="259" w:lineRule="auto"/>
      <w:outlineLvl w:val="9"/>
    </w:pPr>
    <w:rPr>
      <w:rFonts w:asciiTheme="majorHAnsi" w:hAnsiTheme="majorHAnsi" w:cstheme="majorBidi"/>
      <w:b w:val="0"/>
      <w:color w:val="2F5496" w:themeColor="accent1" w:themeShade="BF"/>
      <w:szCs w:val="32"/>
      <w:lang w:eastAsia="en-GB"/>
    </w:rPr>
  </w:style>
  <w:style w:type="paragraph" w:styleId="TOC1">
    <w:name w:val="toc 1"/>
    <w:basedOn w:val="Normal"/>
    <w:next w:val="Normal"/>
    <w:autoRedefine/>
    <w:uiPriority w:val="39"/>
    <w:unhideWhenUsed/>
    <w:rsid w:val="008F5346"/>
    <w:pPr>
      <w:spacing w:after="100"/>
    </w:pPr>
  </w:style>
  <w:style w:type="paragraph" w:styleId="TOC2">
    <w:name w:val="toc 2"/>
    <w:basedOn w:val="Normal"/>
    <w:next w:val="Normal"/>
    <w:autoRedefine/>
    <w:uiPriority w:val="39"/>
    <w:unhideWhenUsed/>
    <w:rsid w:val="008F5346"/>
    <w:pPr>
      <w:spacing w:after="100"/>
      <w:ind w:left="220"/>
    </w:pPr>
    <w:rPr>
      <w:rFonts w:asciiTheme="minorHAnsi" w:eastAsiaTheme="minorEastAsia" w:hAnsiTheme="minorHAnsi" w:cs="Times New Roman"/>
      <w:sz w:val="22"/>
      <w:lang w:eastAsia="en-GB"/>
    </w:rPr>
  </w:style>
  <w:style w:type="paragraph" w:styleId="TOC3">
    <w:name w:val="toc 3"/>
    <w:basedOn w:val="Normal"/>
    <w:next w:val="Normal"/>
    <w:autoRedefine/>
    <w:uiPriority w:val="39"/>
    <w:unhideWhenUsed/>
    <w:rsid w:val="008F5346"/>
    <w:pPr>
      <w:spacing w:after="100"/>
      <w:ind w:left="440"/>
    </w:pPr>
    <w:rPr>
      <w:rFonts w:asciiTheme="minorHAnsi" w:eastAsiaTheme="minorEastAsia" w:hAnsiTheme="minorHAnsi" w:cs="Times New Roman"/>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qualityhumanrights.com" TargetMode="External"/><Relationship Id="rId18" Type="http://schemas.openxmlformats.org/officeDocument/2006/relationships/hyperlink" Target="https://www.sbs.nhs.uk"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scie.org.uk" TargetMode="External"/><Relationship Id="rId7" Type="http://schemas.openxmlformats.org/officeDocument/2006/relationships/endnotes" Target="endnotes.xml"/><Relationship Id="rId12" Type="http://schemas.openxmlformats.org/officeDocument/2006/relationships/hyperlink" Target="https://www.legislation.gov.uk/ukpga/2010/15/contents" TargetMode="External"/><Relationship Id="rId17" Type="http://schemas.openxmlformats.org/officeDocument/2006/relationships/hyperlink" Target="https://www.england.nhs.uk" TargetMode="External"/><Relationship Id="rId25" Type="http://schemas.openxmlformats.org/officeDocument/2006/relationships/hyperlink" Target="https://www.world-stroke.org" TargetMode="External"/><Relationship Id="rId2" Type="http://schemas.openxmlformats.org/officeDocument/2006/relationships/numbering" Target="numbering.xml"/><Relationship Id="rId16" Type="http://schemas.openxmlformats.org/officeDocument/2006/relationships/hyperlink" Target="https://www.england.nhs.uk" TargetMode="External"/><Relationship Id="rId20" Type="http://schemas.openxmlformats.org/officeDocument/2006/relationships/hyperlink" Target="https://www.skillsforhealth.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8/12" TargetMode="External"/><Relationship Id="rId24" Type="http://schemas.openxmlformats.org/officeDocument/2006/relationships/hyperlink" Target="https://www.who.in" TargetMode="External"/><Relationship Id="rId5" Type="http://schemas.openxmlformats.org/officeDocument/2006/relationships/webSettings" Target="webSettings.xml"/><Relationship Id="rId15" Type="http://schemas.openxmlformats.org/officeDocument/2006/relationships/hyperlink" Target="https://digital.nhs.uk" TargetMode="External"/><Relationship Id="rId23" Type="http://schemas.openxmlformats.org/officeDocument/2006/relationships/hyperlink" Target="https://www.kingsfund.org.uk" TargetMode="External"/><Relationship Id="rId28" Type="http://schemas.openxmlformats.org/officeDocument/2006/relationships/theme" Target="theme/theme1.xml"/><Relationship Id="rId10" Type="http://schemas.openxmlformats.org/officeDocument/2006/relationships/hyperlink" Target="https://www.communicationtheory.org/berlos-model-of-communication/" TargetMode="External"/><Relationship Id="rId19" Type="http://schemas.openxmlformats.org/officeDocument/2006/relationships/hyperlink" Target="https://www.patients-association.org.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hcpc-uk.org" TargetMode="External"/><Relationship Id="rId22" Type="http://schemas.openxmlformats.org/officeDocument/2006/relationships/hyperlink" Target="https://www.legislation.gov.uk/ukpga/2025/12/content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7CF23-6989-4438-B418-2B56BEF24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1</Pages>
  <Words>2191</Words>
  <Characters>14705</Characters>
  <Application>Microsoft Office Word</Application>
  <DocSecurity>0</DocSecurity>
  <Lines>277</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gillian gibbs</cp:lastModifiedBy>
  <cp:revision>249</cp:revision>
  <dcterms:created xsi:type="dcterms:W3CDTF">2026-04-23T16:38:00Z</dcterms:created>
  <dcterms:modified xsi:type="dcterms:W3CDTF">2026-04-24T03:35:00Z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eb1f955e-26cf-4df3-b3d4-4c17292b844c</vt:lpwstr>
  </property>
</Properties>
</file>