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sz w:val="24"/>
          <w:szCs w:val="24"/>
        </w:rPr>
        <w:drawing>
          <wp:inline distT="0" distB="0" distL="0" distR="0" wp14:anchorId="023E022F" wp14:editId="0624EC6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UWTSD-Logo-SMALLE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86247" cy="728453"/>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5BD35DF5"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_____</w:t>
            </w:r>
            <w:r w:rsidR="00F409EB">
              <w:rPr>
                <w:b/>
                <w:color w:val="auto"/>
                <w:sz w:val="32"/>
              </w:rPr>
              <w:t>Bethan Morris</w:t>
            </w:r>
            <w:r>
              <w:rPr>
                <w:b/>
                <w:color w:val="auto"/>
                <w:sz w:val="32"/>
              </w:rPr>
              <w:t>____________</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1273D51C" w:rsidR="00575A8F" w:rsidRDefault="00575A8F" w:rsidP="00E6298B">
            <w:pPr>
              <w:overflowPunct/>
              <w:autoSpaceDE/>
              <w:autoSpaceDN/>
              <w:adjustRightInd/>
              <w:ind w:right="107"/>
              <w:textAlignment w:val="auto"/>
              <w:rPr>
                <w:b/>
                <w:color w:val="auto"/>
                <w:sz w:val="32"/>
              </w:rPr>
            </w:pPr>
            <w:r>
              <w:rPr>
                <w:b/>
                <w:color w:val="auto"/>
                <w:sz w:val="32"/>
              </w:rPr>
              <w:t>_______</w:t>
            </w:r>
            <w:r w:rsidR="00F409EB">
              <w:rPr>
                <w:b/>
                <w:color w:val="auto"/>
                <w:sz w:val="32"/>
              </w:rPr>
              <w:t>1816537</w:t>
            </w:r>
            <w:r>
              <w:rPr>
                <w:b/>
                <w:color w:val="auto"/>
                <w:sz w:val="32"/>
              </w:rPr>
              <w:t>__________________</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Decision making, discretion</w:t>
      </w:r>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6D07498F" w14:textId="7F700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How should the workbook be presented?</w:t>
      </w:r>
    </w:p>
    <w:p w14:paraId="63361E89" w14:textId="214B6C1C" w:rsidR="7560A895" w:rsidRDefault="7560A895" w:rsidP="7560A895">
      <w:pPr>
        <w:jc w:val="both"/>
        <w:rPr>
          <w:rFonts w:eastAsia="Arial"/>
          <w:color w:val="000000" w:themeColor="text1"/>
          <w:sz w:val="24"/>
          <w:szCs w:val="24"/>
        </w:rPr>
      </w:pPr>
    </w:p>
    <w:p w14:paraId="7BA76956" w14:textId="08C7E69A"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3AEF4E50" w14:textId="2FCA60E7" w:rsidR="7560A895" w:rsidRDefault="7560A895" w:rsidP="7560A895">
      <w:pPr>
        <w:jc w:val="both"/>
        <w:rPr>
          <w:rFonts w:eastAsia="Arial"/>
          <w:color w:val="000000" w:themeColor="text1"/>
          <w:sz w:val="24"/>
          <w:szCs w:val="24"/>
        </w:rPr>
      </w:pPr>
    </w:p>
    <w:p w14:paraId="35550DBE" w14:textId="4922F10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How is the workbook assessed?</w:t>
      </w:r>
    </w:p>
    <w:p w14:paraId="35B42145" w14:textId="04653DA4" w:rsidR="7560A895" w:rsidRDefault="7560A895" w:rsidP="7560A895">
      <w:pPr>
        <w:jc w:val="both"/>
        <w:rPr>
          <w:rFonts w:eastAsia="Arial"/>
          <w:color w:val="000000" w:themeColor="text1"/>
          <w:sz w:val="24"/>
          <w:szCs w:val="24"/>
        </w:rPr>
      </w:pPr>
    </w:p>
    <w:p w14:paraId="03297B8F" w14:textId="6FF156B8"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3EAA6A6A" w14:textId="437F9D62" w:rsidR="7560A895" w:rsidRDefault="7560A895" w:rsidP="7560A895">
      <w:pPr>
        <w:jc w:val="both"/>
        <w:rPr>
          <w:rFonts w:eastAsia="Arial"/>
          <w:color w:val="000000" w:themeColor="text1"/>
          <w:sz w:val="24"/>
          <w:szCs w:val="24"/>
        </w:rPr>
      </w:pPr>
    </w:p>
    <w:p w14:paraId="14BAE7F5" w14:textId="4532D1D0"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Dates of workbook submission will be made available during the initial training day and posted on Moodle.</w:t>
      </w:r>
    </w:p>
    <w:p w14:paraId="0D7558B4" w14:textId="5D1C8643" w:rsidR="7560A895" w:rsidRDefault="7560A895" w:rsidP="7560A895">
      <w:pPr>
        <w:jc w:val="both"/>
        <w:rPr>
          <w:rFonts w:eastAsia="Arial"/>
          <w:color w:val="000000" w:themeColor="text1"/>
          <w:sz w:val="24"/>
          <w:szCs w:val="24"/>
        </w:rPr>
      </w:pPr>
    </w:p>
    <w:p w14:paraId="0BB500A1" w14:textId="184B9FA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Once submitted your workbook will be assessed and marked independently.</w:t>
      </w: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7CDD71B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7560A895">
      <w:pPr>
        <w:pStyle w:val="ListParagraph"/>
        <w:numPr>
          <w:ilvl w:val="0"/>
          <w:numId w:val="2"/>
        </w:numPr>
        <w:jc w:val="both"/>
        <w:rPr>
          <w:color w:val="000000" w:themeColor="text1"/>
          <w:sz w:val="24"/>
          <w:szCs w:val="24"/>
        </w:rPr>
      </w:pPr>
      <w:r w:rsidRPr="7560A895">
        <w:rPr>
          <w:rFonts w:eastAsia="Arial"/>
          <w:color w:val="000000" w:themeColor="text1"/>
          <w:sz w:val="24"/>
          <w:szCs w:val="24"/>
        </w:rPr>
        <w:t>not include any dates of any incidents or anything that specifically identifies an actual incident.</w:t>
      </w: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45446442"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 should use this particular document to insert your text / answer within each section of this workbook;</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28A9B94D">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28A9B94D">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3973B87C" w:rsidR="00AD6ECE" w:rsidRPr="003C4D7B" w:rsidRDefault="28A9B94D" w:rsidP="28A9B94D">
            <w:pPr>
              <w:rPr>
                <w:b/>
                <w:bCs/>
              </w:rPr>
            </w:pPr>
            <w:r w:rsidRPr="28A9B94D">
              <w:rPr>
                <w:b/>
                <w:bCs/>
              </w:rPr>
              <w:t>1500</w:t>
            </w:r>
          </w:p>
        </w:tc>
      </w:tr>
      <w:tr w:rsidR="00AD6ECE" w:rsidRPr="00270EEB" w14:paraId="1D9DBC90" w14:textId="77777777" w:rsidTr="28A9B94D">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05D2C7B" w:rsidR="00AD6ECE" w:rsidRPr="003C4D7B" w:rsidRDefault="28A9B94D" w:rsidP="28A9B94D">
            <w:pPr>
              <w:ind w:right="107"/>
              <w:jc w:val="both"/>
              <w:rPr>
                <w:b/>
                <w:bCs/>
                <w:color w:val="auto"/>
                <w:sz w:val="24"/>
                <w:szCs w:val="24"/>
              </w:rPr>
            </w:pPr>
            <w:r w:rsidRPr="28A9B94D">
              <w:rPr>
                <w:b/>
                <w:bCs/>
                <w:color w:val="auto"/>
                <w:sz w:val="24"/>
                <w:szCs w:val="24"/>
              </w:rPr>
              <w:t>2500</w:t>
            </w:r>
          </w:p>
        </w:tc>
      </w:tr>
      <w:tr w:rsidR="00AD6ECE" w:rsidRPr="00270EEB" w14:paraId="50CA0CBE" w14:textId="77777777" w:rsidTr="28A9B94D">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625888C3"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CD7F499" w14:textId="77777777" w:rsidTr="28A9B94D">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6399D89"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4A9A52C" w14:textId="77777777" w:rsidTr="28A9B94D">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28A9B94D">
        <w:trPr>
          <w:trHeight w:val="81"/>
        </w:trPr>
        <w:tc>
          <w:tcPr>
            <w:tcW w:w="1497" w:type="dxa"/>
            <w:shd w:val="clear" w:color="auto" w:fill="auto"/>
          </w:tcPr>
          <w:p w14:paraId="321FBB7F" w14:textId="4214E04A" w:rsidR="28A9B94D" w:rsidRDefault="28A9B94D" w:rsidP="28A9B94D">
            <w:pPr>
              <w:jc w:val="both"/>
              <w:rPr>
                <w:color w:val="auto"/>
                <w:sz w:val="24"/>
                <w:szCs w:val="24"/>
              </w:rPr>
            </w:pP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57A3EA19" w:rsidR="28A9B94D" w:rsidRDefault="28A9B94D" w:rsidP="28A9B94D">
            <w:pPr>
              <w:spacing w:line="360" w:lineRule="auto"/>
              <w:rPr>
                <w:b/>
                <w:bCs/>
                <w:color w:val="auto"/>
                <w:sz w:val="24"/>
                <w:szCs w:val="24"/>
              </w:rPr>
            </w:pPr>
            <w:r w:rsidRPr="28A9B94D">
              <w:rPr>
                <w:b/>
                <w:bCs/>
                <w:color w:val="auto"/>
                <w:sz w:val="24"/>
                <w:szCs w:val="24"/>
              </w:rPr>
              <w:t>Equivalent to 1000 words</w:t>
            </w:r>
          </w:p>
        </w:tc>
      </w:tr>
      <w:tr w:rsidR="28A9B94D" w14:paraId="6218F446" w14:textId="77777777" w:rsidTr="28A9B94D">
        <w:trPr>
          <w:trHeight w:val="81"/>
        </w:trPr>
        <w:tc>
          <w:tcPr>
            <w:tcW w:w="1497" w:type="dxa"/>
            <w:shd w:val="clear" w:color="auto" w:fill="auto"/>
          </w:tcPr>
          <w:p w14:paraId="4A2B378C" w14:textId="2FC1B306" w:rsidR="28A9B94D" w:rsidRDefault="28A9B94D" w:rsidP="28A9B94D">
            <w:pPr>
              <w:jc w:val="both"/>
              <w:rPr>
                <w:color w:val="auto"/>
                <w:sz w:val="24"/>
                <w:szCs w:val="24"/>
              </w:rPr>
            </w:pPr>
          </w:p>
        </w:tc>
        <w:tc>
          <w:tcPr>
            <w:tcW w:w="6015" w:type="dxa"/>
            <w:shd w:val="clear" w:color="auto" w:fill="auto"/>
          </w:tcPr>
          <w:p w14:paraId="7434DA80" w14:textId="792A1BE5" w:rsidR="28A9B94D" w:rsidRDefault="28A9B94D" w:rsidP="28A9B94D">
            <w:pPr>
              <w:spacing w:line="360" w:lineRule="auto"/>
              <w:jc w:val="both"/>
              <w:rPr>
                <w:b/>
                <w:bCs/>
                <w:color w:val="auto"/>
                <w:sz w:val="24"/>
                <w:szCs w:val="24"/>
              </w:rPr>
            </w:pPr>
            <w:r w:rsidRPr="28A9B94D">
              <w:rPr>
                <w:b/>
                <w:bCs/>
                <w:color w:val="auto"/>
                <w:sz w:val="24"/>
                <w:szCs w:val="24"/>
              </w:rPr>
              <w:t>Confirmation of the completion of your Occupational Competency Portfolio (OCP)</w:t>
            </w:r>
          </w:p>
        </w:tc>
        <w:tc>
          <w:tcPr>
            <w:tcW w:w="1602" w:type="dxa"/>
          </w:tcPr>
          <w:p w14:paraId="2F66BBDD" w14:textId="7980195D" w:rsidR="28A9B94D" w:rsidRDefault="28A9B94D" w:rsidP="28A9B94D">
            <w:pPr>
              <w:spacing w:line="360" w:lineRule="auto"/>
              <w:jc w:val="both"/>
              <w:rPr>
                <w:b/>
                <w:bCs/>
                <w:color w:val="auto"/>
                <w:sz w:val="24"/>
                <w:szCs w:val="24"/>
              </w:rPr>
            </w:pPr>
          </w:p>
        </w:tc>
      </w:tr>
      <w:tr w:rsidR="28A9B94D" w14:paraId="4119AF4A" w14:textId="77777777" w:rsidTr="28A9B94D">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4DD328B3" w14:textId="7659EAC8" w:rsidR="28A9B94D" w:rsidRDefault="28A9B94D" w:rsidP="28A9B94D">
            <w:pPr>
              <w:spacing w:line="360" w:lineRule="auto"/>
              <w:jc w:val="both"/>
              <w:rPr>
                <w:b/>
                <w:bCs/>
                <w:color w:val="auto"/>
                <w:sz w:val="24"/>
                <w:szCs w:val="24"/>
              </w:rPr>
            </w:pPr>
            <w:r w:rsidRPr="28A9B94D">
              <w:rPr>
                <w:b/>
                <w:bCs/>
                <w:color w:val="auto"/>
                <w:sz w:val="24"/>
                <w:szCs w:val="24"/>
              </w:rPr>
              <w:t>Confirmation of Confidentiality and Plagiarism</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C1932FE" w:rsidR="001C0E74" w:rsidRPr="00270EEB" w:rsidRDefault="004B69F6" w:rsidP="00E6298B">
      <w:pPr>
        <w:ind w:right="107"/>
        <w:jc w:val="both"/>
        <w:rPr>
          <w:b/>
          <w:sz w:val="24"/>
          <w:szCs w:val="24"/>
        </w:rPr>
      </w:pPr>
      <w:r w:rsidRPr="00270EEB">
        <w:rPr>
          <w:b/>
          <w:sz w:val="24"/>
          <w:szCs w:val="24"/>
        </w:rPr>
        <w:t>Develop</w:t>
      </w:r>
      <w:r w:rsidR="00092BC7">
        <w:rPr>
          <w:b/>
          <w:sz w:val="24"/>
          <w:szCs w:val="24"/>
        </w:rPr>
        <w:t>ing Resilience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28A9B94D">
        <w:tc>
          <w:tcPr>
            <w:tcW w:w="10278" w:type="dxa"/>
            <w:shd w:val="clear" w:color="auto" w:fill="auto"/>
          </w:tcPr>
          <w:p w14:paraId="3D7E7D79" w14:textId="7E0D67F2" w:rsidR="00CB143A" w:rsidRPr="00003990" w:rsidRDefault="28A9B94D" w:rsidP="28A9B94D">
            <w:pPr>
              <w:ind w:right="107"/>
              <w:jc w:val="both"/>
              <w:rPr>
                <w:b/>
                <w:bCs/>
                <w:sz w:val="24"/>
                <w:szCs w:val="24"/>
              </w:rPr>
            </w:pPr>
            <w:r w:rsidRPr="28A9B94D">
              <w:rPr>
                <w:sz w:val="24"/>
                <w:szCs w:val="24"/>
              </w:rPr>
              <w:t xml:space="preserve">Focussing on your initial 6 months of learning and since being attested as a Police Constable, </w:t>
            </w:r>
            <w:r w:rsidRPr="28A9B94D">
              <w:rPr>
                <w:b/>
                <w:bCs/>
                <w:sz w:val="24"/>
                <w:szCs w:val="24"/>
              </w:rPr>
              <w:t>discuss and compare</w:t>
            </w:r>
            <w:r w:rsidRPr="28A9B94D">
              <w:rPr>
                <w:sz w:val="24"/>
                <w:szCs w:val="24"/>
              </w:rPr>
              <w:t xml:space="preserve"> the coping strategies you have applied to develop resilience and minimise stress.</w:t>
            </w:r>
          </w:p>
          <w:p w14:paraId="39C108E1" w14:textId="77777777" w:rsidR="00CB143A" w:rsidRPr="00003990" w:rsidRDefault="00CB143A" w:rsidP="00E6298B">
            <w:pPr>
              <w:ind w:right="107"/>
              <w:jc w:val="both"/>
              <w:rPr>
                <w:b/>
                <w:sz w:val="24"/>
                <w:szCs w:val="24"/>
              </w:rPr>
            </w:pPr>
          </w:p>
          <w:p w14:paraId="4EE28371" w14:textId="674617F2" w:rsidR="004F1E21" w:rsidRPr="00270EEB" w:rsidRDefault="28A9B94D" w:rsidP="28A9B94D">
            <w:pPr>
              <w:ind w:right="107"/>
              <w:jc w:val="both"/>
              <w:rPr>
                <w:i/>
                <w:iCs/>
                <w:sz w:val="24"/>
                <w:szCs w:val="24"/>
              </w:rPr>
            </w:pPr>
            <w:r w:rsidRPr="28A9B94D">
              <w:rPr>
                <w:i/>
                <w:iCs/>
                <w:sz w:val="24"/>
                <w:szCs w:val="24"/>
              </w:rPr>
              <w:t>1500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Pr="00270EEB" w:rsidRDefault="00FF7784" w:rsidP="00E6298B">
      <w:pPr>
        <w:ind w:right="107"/>
        <w:jc w:val="both"/>
        <w:rPr>
          <w:sz w:val="24"/>
          <w:szCs w:val="24"/>
        </w:rPr>
      </w:pPr>
    </w:p>
    <w:p w14:paraId="1A92CA2F" w14:textId="1BF0A8E1" w:rsidR="00F409EB" w:rsidRPr="00521DE0" w:rsidRDefault="00F409EB" w:rsidP="00F409EB">
      <w:pPr>
        <w:rPr>
          <w:sz w:val="22"/>
          <w:szCs w:val="22"/>
        </w:rPr>
      </w:pPr>
      <w:r>
        <w:t xml:space="preserve">   </w:t>
      </w:r>
      <w:r w:rsidRPr="00521DE0">
        <w:rPr>
          <w:sz w:val="22"/>
          <w:szCs w:val="22"/>
        </w:rPr>
        <w:t>This essay will look at stress and discuss the positive and negative impacts of coping strategies. These strategies have been implemented in order to try and minimise stress during initial police training and the period immediately after. The essay will also discuss how not all stress is negative and is sometimes essential in all forms of life, especially a policing environment.</w:t>
      </w:r>
      <w:r w:rsidRPr="00521DE0">
        <w:rPr>
          <w:sz w:val="22"/>
          <w:szCs w:val="22"/>
        </w:rPr>
        <w:br/>
        <w:t xml:space="preserve">   The National Health Service defines stress as a change in the body that can affect an individual mentally, emotionally, physically and impact their everyday behaviour, (NHS, 2017). Constant exposure to stress can lead to mental health issues such as depression or anxiety, (Hammen, 2005) or a deterioration in physical heath; for example, heart disease, (Schneiderman et al, 2005).</w:t>
      </w:r>
      <w:r w:rsidRPr="00521DE0">
        <w:rPr>
          <w:sz w:val="22"/>
          <w:szCs w:val="22"/>
        </w:rPr>
        <w:br/>
        <w:t xml:space="preserve">   In order to minimise stress that affects you negatively, coping strategies need to be implemented. This is particularly important when conducting duties as a Police Constable as “</w:t>
      </w:r>
      <w:r w:rsidRPr="00521DE0">
        <w:rPr>
          <w:color w:val="000000" w:themeColor="text1"/>
          <w:sz w:val="22"/>
          <w:szCs w:val="22"/>
        </w:rPr>
        <w:t xml:space="preserve">stress, depression or anxiety is more prevalent in public service industries”, (HSE, 2018). Combining workplace stress with personal stresses such as financial worries or social and family problems can be overwhelming, so strategies to cope and manage are essential. </w:t>
      </w:r>
      <w:r w:rsidRPr="00521DE0">
        <w:rPr>
          <w:color w:val="000000" w:themeColor="text1"/>
          <w:sz w:val="22"/>
          <w:szCs w:val="22"/>
        </w:rPr>
        <w:br/>
        <w:t xml:space="preserve">   </w:t>
      </w:r>
      <w:r w:rsidRPr="00521DE0">
        <w:rPr>
          <w:sz w:val="22"/>
          <w:szCs w:val="22"/>
        </w:rPr>
        <w:t xml:space="preserve">One of the coping strategies that I have continuously relied upon is exercise. </w:t>
      </w:r>
      <w:r w:rsidRPr="00521DE0">
        <w:rPr>
          <w:color w:val="000000" w:themeColor="text1"/>
          <w:sz w:val="22"/>
          <w:szCs w:val="22"/>
        </w:rPr>
        <w:t>Regular exercise not only benefits individuals physically but it has positive impacts on social and mental well-being – studies consistently show that physical exercise can reduce depression, (</w:t>
      </w:r>
      <w:r w:rsidRPr="00521DE0">
        <w:rPr>
          <w:color w:val="000000" w:themeColor="text1"/>
          <w:sz w:val="22"/>
          <w:szCs w:val="22"/>
          <w:shd w:val="clear" w:color="auto" w:fill="FFFFFF"/>
        </w:rPr>
        <w:t>Mammen and Faulkner, 2013).</w:t>
      </w:r>
      <w:r w:rsidRPr="00521DE0">
        <w:rPr>
          <w:color w:val="FF0000"/>
          <w:sz w:val="22"/>
          <w:szCs w:val="22"/>
        </w:rPr>
        <w:br/>
      </w:r>
      <w:r w:rsidRPr="00521DE0">
        <w:rPr>
          <w:sz w:val="22"/>
          <w:szCs w:val="22"/>
        </w:rPr>
        <w:t xml:space="preserve">  However, there needs to be a balance - too much exercise can have a negative effect; for example, it can become an unhealthy obsession. This can lead to exercisers being unable to recognise their limits and exercising constantly. This could lead to strain on social and working relationships (Landolfi, 2013) which would inevitably contribute to stress.</w:t>
      </w:r>
      <w:r w:rsidRPr="00521DE0">
        <w:rPr>
          <w:sz w:val="22"/>
          <w:szCs w:val="22"/>
        </w:rPr>
        <w:br/>
        <w:t xml:space="preserve">   Planning to exercise and then missing it due to stress-related circumstances can also cause more stress and frustration, (</w:t>
      </w:r>
      <w:r w:rsidRPr="00521DE0">
        <w:rPr>
          <w:rStyle w:val="element-citation"/>
          <w:sz w:val="22"/>
          <w:szCs w:val="22"/>
          <w:shd w:val="clear" w:color="auto" w:fill="FFFFFF"/>
        </w:rPr>
        <w:t xml:space="preserve">Sherwood &amp; Jeffery, 2000 cited in </w:t>
      </w:r>
      <w:r w:rsidRPr="00521DE0">
        <w:rPr>
          <w:sz w:val="22"/>
          <w:szCs w:val="22"/>
          <w:shd w:val="clear" w:color="auto" w:fill="FFFFFF"/>
        </w:rPr>
        <w:t>Stults-Kolehmainen &amp; Sinha, 2014).</w:t>
      </w:r>
      <w:r w:rsidRPr="00521DE0">
        <w:rPr>
          <w:sz w:val="22"/>
          <w:szCs w:val="22"/>
        </w:rPr>
        <w:t xml:space="preserve"> I have ensured that I maintain a healthy balance, using exercise as a stress reliever and for general fitness and wellbeing. </w:t>
      </w:r>
      <w:r w:rsidRPr="00521DE0">
        <w:rPr>
          <w:sz w:val="22"/>
          <w:szCs w:val="22"/>
        </w:rPr>
        <w:br/>
        <w:t xml:space="preserve">   A good healthy diet goes hand in hand with an exercise regime. Depending on what foods you eat, your diet has the potential to either cause stress or aggravate the existing stress (Stress Management Society, 2019). I have kept this in mind throughout this period and have ensured to maintain a healthy diet, eating foods that are proven to be ‘superfoods’, such as salmon and a variety of fruit and vegetables. </w:t>
      </w:r>
      <w:r w:rsidRPr="00521DE0">
        <w:rPr>
          <w:sz w:val="22"/>
          <w:szCs w:val="22"/>
        </w:rPr>
        <w:br/>
        <w:t xml:space="preserve">   Another coping strategy that I ensured was a priority during this potentially stressful period was a good sleeping pattern. This helps when confronting stressful situations as it allows me to focus and remain more alert throughout the day. During my initial training, this has been beneficial when constantly exposed to new skills and enhancing existing academic skills.</w:t>
      </w:r>
      <w:r w:rsidRPr="00521DE0">
        <w:rPr>
          <w:sz w:val="22"/>
          <w:szCs w:val="22"/>
        </w:rPr>
        <w:br/>
        <w:t xml:space="preserve"> In a policing environment with a lack of sleep, rushed or impulsive decisions could be made without thinking which could create a dangerous situation – this would ultimately cause stress. A study conducted in 2015 supports the correlation between sleep and stress, with findings showing that, “low quality sleep was associated with an increase in work-related stress over time”, (Laethem et al, </w:t>
      </w:r>
      <w:r w:rsidRPr="00521DE0">
        <w:rPr>
          <w:sz w:val="22"/>
          <w:szCs w:val="22"/>
        </w:rPr>
        <w:lastRenderedPageBreak/>
        <w:t>2015).</w:t>
      </w:r>
      <w:r w:rsidRPr="00521DE0">
        <w:rPr>
          <w:sz w:val="22"/>
          <w:szCs w:val="22"/>
        </w:rPr>
        <w:br/>
        <w:t xml:space="preserve">   Another strategy that was implemented during this period that focuses on personal wellbeing is meditation. Meditation involves sitting silently and focusing on your breathing, in order to relax. Studies have shown that focusing attention through meditation can reduce stress, (Snyder, 1994 cited in Munoz et al, 2016). While meditation might not work for everyone, deep breathing techniques are now widely recommended by health professionals as a way of relieving stress, (Benson, 2000 cited in Ahmed et al, 2016). </w:t>
      </w:r>
      <w:r w:rsidRPr="00521DE0">
        <w:rPr>
          <w:sz w:val="22"/>
          <w:szCs w:val="22"/>
        </w:rPr>
        <w:br/>
        <w:t xml:space="preserve">   As well as allowing myself this time to implement personal coping strategies, I have also ensured that I make time for family and friends. When working in an environment that is stressful and intense, it can be easy to allow yourself to be consumed by it. I have recognised this and ensured that I have a ‘switch-off’ button by not dwelling on work and avoiding talking about work when at home as much as possible. </w:t>
      </w:r>
      <w:r w:rsidRPr="00521DE0">
        <w:rPr>
          <w:sz w:val="22"/>
          <w:szCs w:val="22"/>
        </w:rPr>
        <w:br/>
        <w:t xml:space="preserve">   Nonetheless, I am aware that I need to talk about something that is particularly traumatic and has affected me. I know that it is important not to suffer in silence and take advantage of the support offered to me, such as counselling following traumatic incidents. Seeking this support applies to my work colleagues as well as my support network outside of work.</w:t>
      </w:r>
      <w:r w:rsidRPr="00521DE0">
        <w:rPr>
          <w:sz w:val="22"/>
          <w:szCs w:val="22"/>
        </w:rPr>
        <w:br/>
        <w:t xml:space="preserve">   In addition to talking about negative or upsetting experiences, it is important to discuss any topics or scenarios that are confusing or overwhelming when learning such a new and fast paced role. I am consistently clarifying and asking questions to fully understand the sometimes intense situations I am dealing with on a regular basis. This is a strategy that was implemented during training and again while on tutorship to confirm learning. </w:t>
      </w:r>
      <w:r w:rsidRPr="00521DE0">
        <w:rPr>
          <w:sz w:val="22"/>
          <w:szCs w:val="22"/>
        </w:rPr>
        <w:br/>
        <w:t xml:space="preserve">   As mentioned, these scenarios can often be stressful and high-pressured, which require self-discipline and resilience. Resilience is the capacity to adapt when faced with challenging circumstances while maintaining a stable mental wellbeing, (Mind, 2017). Building this resilience is significant as individuals with this developed resilience perceive adverse situations as only minimally threatening due to their ability to adapt physiological and psychological responses, (Del Giudice et al, 2011).</w:t>
      </w:r>
      <w:r w:rsidRPr="00521DE0">
        <w:rPr>
          <w:sz w:val="22"/>
          <w:szCs w:val="22"/>
        </w:rPr>
        <w:br/>
        <w:t xml:space="preserve">   I have further developed resilience in my role as Class Leader within my 6 months initial police training. This role meant that I had to help my peers with day to day problems and act as a liaison between the class and the management team. This was in addition to coping with any problems of my own that might arise and minimise my own stresses. This could potentially cause me more stress as I would have to find solutions for others which could have left me neglecting myself and my own worries. However, implementing the coping strategies mentioned above helped significantly during this period and I was able to be resilient and recognise my own limits while still assisting my colleagues. </w:t>
      </w:r>
      <w:r w:rsidRPr="00521DE0">
        <w:rPr>
          <w:sz w:val="22"/>
          <w:szCs w:val="22"/>
        </w:rPr>
        <w:br/>
        <w:t xml:space="preserve">   Implementation of the coping strategies above has increased my resilience and tolerance towards stressful situations. I am able to recognise when I am becoming stressed and use strategies to adapt. This will assist me going forward when I am exposed to high pressured and potentially volatile incidents. </w:t>
      </w:r>
      <w:r w:rsidRPr="00521DE0">
        <w:rPr>
          <w:sz w:val="22"/>
          <w:szCs w:val="22"/>
        </w:rPr>
        <w:br/>
        <w:t xml:space="preserve">   However, it is important to note not that all stress is negative and harmful. Good stress or ‘eustress’ as it is sometimes known is the optimal level of stress, before the stress increases to such a level that is becomes ‘distress’, (Fevre et al, 2003). This good stress can include, for example, the feeling of a rush of adrenaline when on a rollercoaster or preparing for a job interview. </w:t>
      </w:r>
      <w:r w:rsidRPr="00521DE0">
        <w:rPr>
          <w:sz w:val="22"/>
          <w:szCs w:val="22"/>
        </w:rPr>
        <w:br/>
        <w:t xml:space="preserve">   This good stress can quickly become a negative stressor and it is a common theory that the perception of stress determines the effect it has on you (Cooper, 1988 cited in Fevre et al, 2003) – if someone has a positive perception of a stressor then it becomes manageable. This again shows why coping strategies are so important - to keep the stress as eustress and not a debilitating experience.  </w:t>
      </w:r>
      <w:r w:rsidRPr="00521DE0">
        <w:rPr>
          <w:sz w:val="22"/>
          <w:szCs w:val="22"/>
        </w:rPr>
        <w:br/>
        <w:t xml:space="preserve">   As well as eustress being a common part of everyday life, from an evolutionary perspective, some negative stressors are essential to meet demands in life and enable our survival through detecting threat and risk. Stress can trigger a defence mechanism in these circumstances, activating the ‘fight or flight’ mode we have in our brains, (Lundberg, 1999). This can help individuals to make decisions to maintain safety and eliminate any harm. Within a policing environment, this is vital for protection and minimising threat and risk.</w:t>
      </w:r>
      <w:r w:rsidRPr="00521DE0">
        <w:rPr>
          <w:sz w:val="22"/>
          <w:szCs w:val="22"/>
        </w:rPr>
        <w:br/>
      </w:r>
      <w:r w:rsidRPr="00521DE0">
        <w:rPr>
          <w:sz w:val="22"/>
          <w:szCs w:val="22"/>
        </w:rPr>
        <w:lastRenderedPageBreak/>
        <w:t xml:space="preserve">   In conclusion, while there are some benefits to stresses in life in terms of survival and protecting ourselves from danger, there are many negative consequences. Extreme levels of stress can have a serious effect on both physical and mental health and wellbeing. Therefore, it is essential that coping strategies are used to minimise the effects of stress. I have noticed this throughout my initial policing training and have recognised the importance of continuing this in a practical policing environment to manage stress and build resilience.</w:t>
      </w:r>
    </w:p>
    <w:p w14:paraId="3B855813" w14:textId="77777777" w:rsidR="00FF7784" w:rsidRPr="00521DE0" w:rsidRDefault="00FF7784" w:rsidP="00E6298B">
      <w:pPr>
        <w:ind w:right="107"/>
        <w:jc w:val="both"/>
        <w:rPr>
          <w:sz w:val="22"/>
          <w:szCs w:val="22"/>
        </w:rPr>
      </w:pPr>
    </w:p>
    <w:p w14:paraId="0590AAF8" w14:textId="573CC51D" w:rsidR="00FF7784" w:rsidRPr="00521DE0" w:rsidRDefault="00521DE0" w:rsidP="00E6298B">
      <w:pPr>
        <w:ind w:right="107"/>
        <w:jc w:val="both"/>
        <w:rPr>
          <w:sz w:val="24"/>
          <w:szCs w:val="24"/>
          <w:u w:val="single"/>
        </w:rPr>
      </w:pPr>
      <w:r w:rsidRPr="00521DE0">
        <w:rPr>
          <w:sz w:val="24"/>
          <w:szCs w:val="24"/>
          <w:u w:val="single"/>
        </w:rPr>
        <w:t>1351 words</w:t>
      </w:r>
    </w:p>
    <w:p w14:paraId="19FBAC4F" w14:textId="77777777" w:rsidR="00FF7784" w:rsidRPr="00270EEB" w:rsidRDefault="00FF7784" w:rsidP="00E6298B">
      <w:pPr>
        <w:ind w:right="107"/>
        <w:jc w:val="both"/>
        <w:rPr>
          <w:sz w:val="24"/>
          <w:szCs w:val="24"/>
        </w:rPr>
      </w:pPr>
    </w:p>
    <w:p w14:paraId="670E1FB9" w14:textId="77777777" w:rsidR="00FF7784" w:rsidRPr="00270EEB" w:rsidRDefault="00FF7784" w:rsidP="00E6298B">
      <w:pPr>
        <w:ind w:right="107"/>
        <w:jc w:val="both"/>
        <w:rPr>
          <w:sz w:val="24"/>
          <w:szCs w:val="24"/>
        </w:rPr>
      </w:pPr>
    </w:p>
    <w:p w14:paraId="23E3F1EC" w14:textId="77777777" w:rsidR="00FF7784" w:rsidRPr="00270EEB" w:rsidRDefault="00FF7784" w:rsidP="00E6298B">
      <w:pPr>
        <w:ind w:right="107"/>
        <w:jc w:val="both"/>
        <w:rPr>
          <w:sz w:val="24"/>
          <w:szCs w:val="24"/>
        </w:rPr>
      </w:pPr>
    </w:p>
    <w:p w14:paraId="7AC4ABEB" w14:textId="77777777" w:rsidR="00FF7784" w:rsidRPr="00270EEB" w:rsidRDefault="00FF7784" w:rsidP="00E6298B">
      <w:pPr>
        <w:ind w:right="107"/>
        <w:jc w:val="both"/>
        <w:rPr>
          <w:sz w:val="24"/>
          <w:szCs w:val="24"/>
        </w:rPr>
      </w:pPr>
    </w:p>
    <w:p w14:paraId="6604579F" w14:textId="77777777" w:rsidR="00FF7784" w:rsidRPr="00270EEB"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21B0B7A2" w14:textId="77777777" w:rsidR="00FF7784" w:rsidRPr="00270EEB" w:rsidRDefault="00FF7784"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3D4900DE" w14:textId="77777777" w:rsidR="000F7ECD" w:rsidRPr="00270EEB" w:rsidRDefault="000F7ECD" w:rsidP="00E6298B">
      <w:pPr>
        <w:ind w:right="107"/>
        <w:jc w:val="both"/>
        <w:rPr>
          <w:sz w:val="24"/>
          <w:szCs w:val="24"/>
        </w:rPr>
        <w:sectPr w:rsidR="000F7ECD" w:rsidRPr="00270EEB" w:rsidSect="00A87E15">
          <w:headerReference w:type="even" r:id="rId12"/>
          <w:headerReference w:type="default" r:id="rId13"/>
          <w:footerReference w:type="even" r:id="rId14"/>
          <w:footerReference w:type="default" r:id="rId15"/>
          <w:headerReference w:type="first" r:id="rId16"/>
          <w:footerReference w:type="first" r:id="rId17"/>
          <w:pgSz w:w="11906" w:h="16838" w:code="9"/>
          <w:pgMar w:top="1440" w:right="1080" w:bottom="1440" w:left="1080" w:header="720" w:footer="720" w:gutter="0"/>
          <w:cols w:space="720"/>
          <w:titlePg/>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8A9B94D">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the incident including social and legislative contexts and any relevant cultural, ethnicity and language issues. </w:t>
            </w:r>
          </w:p>
          <w:p w14:paraId="19D5ECA5" w14:textId="77777777" w:rsidR="003B2A14" w:rsidRDefault="003B2A14" w:rsidP="00E6298B">
            <w:pPr>
              <w:ind w:right="107"/>
              <w:rPr>
                <w:sz w:val="24"/>
                <w:szCs w:val="24"/>
              </w:rPr>
            </w:pPr>
          </w:p>
          <w:p w14:paraId="3EE44597" w14:textId="18F3A413" w:rsidR="003B2A14" w:rsidRDefault="28A9B94D" w:rsidP="28A9B94D">
            <w:pPr>
              <w:ind w:right="107"/>
              <w:jc w:val="both"/>
              <w:rPr>
                <w:sz w:val="24"/>
                <w:szCs w:val="24"/>
              </w:rPr>
            </w:pPr>
            <w:r w:rsidRPr="28A9B94D">
              <w:rPr>
                <w:b/>
                <w:bCs/>
                <w:sz w:val="24"/>
                <w:szCs w:val="24"/>
              </w:rPr>
              <w:t xml:space="preserve">Reflect on your application </w:t>
            </w:r>
            <w:r w:rsidRPr="28A9B94D">
              <w:rPr>
                <w:sz w:val="24"/>
                <w:szCs w:val="24"/>
              </w:rPr>
              <w:t>of</w:t>
            </w:r>
            <w:r w:rsidRPr="28A9B94D">
              <w:rPr>
                <w:b/>
                <w:bCs/>
                <w:sz w:val="24"/>
                <w:szCs w:val="24"/>
              </w:rPr>
              <w:t xml:space="preserve"> </w:t>
            </w:r>
            <w:r w:rsidRPr="28A9B94D">
              <w:rPr>
                <w:sz w:val="24"/>
                <w:szCs w:val="24"/>
              </w:rPr>
              <w:t>the fundamental elements of effective communication used (verbal, non-verbal, active listening skills, open and closed questions, building rapport and negotiation skills).</w:t>
            </w:r>
          </w:p>
          <w:p w14:paraId="564E8EEA" w14:textId="77777777" w:rsidR="003B2A14" w:rsidRDefault="003B2A14" w:rsidP="00E6298B">
            <w:pPr>
              <w:ind w:right="107"/>
              <w:jc w:val="both"/>
              <w:rPr>
                <w:sz w:val="24"/>
                <w:szCs w:val="24"/>
              </w:rPr>
            </w:pPr>
          </w:p>
          <w:p w14:paraId="1ECD97C7" w14:textId="5BE573F6" w:rsidR="003B2A14" w:rsidRDefault="28A9B94D" w:rsidP="28A9B94D">
            <w:pPr>
              <w:ind w:right="107"/>
              <w:jc w:val="both"/>
              <w:rPr>
                <w:sz w:val="24"/>
                <w:szCs w:val="24"/>
              </w:rPr>
            </w:pPr>
            <w:r w:rsidRPr="28A9B94D">
              <w:rPr>
                <w:b/>
                <w:bCs/>
                <w:sz w:val="24"/>
                <w:szCs w:val="24"/>
              </w:rPr>
              <w:t>Describe</w:t>
            </w:r>
            <w:r w:rsidRPr="28A9B94D">
              <w:rPr>
                <w:sz w:val="24"/>
                <w:szCs w:val="24"/>
              </w:rPr>
              <w:t xml:space="preserve"> the process for determining whether the use of force was necessary in a conflict situation (including a </w:t>
            </w:r>
            <w:r w:rsidRPr="28A9B94D">
              <w:rPr>
                <w:b/>
                <w:bCs/>
                <w:sz w:val="24"/>
                <w:szCs w:val="24"/>
              </w:rPr>
              <w:t>critical evaluation</w:t>
            </w:r>
            <w:r w:rsidRPr="28A9B94D">
              <w:rPr>
                <w:sz w:val="24"/>
                <w:szCs w:val="24"/>
              </w:rPr>
              <w:t xml:space="preserve"> of any theories or models underpinning the causes of conflict within policing interventions – e.g. Betari’s Box, The Drama triangle, Emotional versus rational brain) and provide a reflection on the outcome of the incident. </w:t>
            </w:r>
          </w:p>
          <w:p w14:paraId="50446EEE" w14:textId="77777777" w:rsidR="003B2A14" w:rsidRDefault="003B2A14" w:rsidP="00E6298B">
            <w:pPr>
              <w:ind w:right="107"/>
              <w:jc w:val="both"/>
              <w:rPr>
                <w:sz w:val="24"/>
                <w:szCs w:val="24"/>
              </w:rPr>
            </w:pPr>
          </w:p>
          <w:p w14:paraId="6C607ECB" w14:textId="77777777" w:rsidR="003B2A14" w:rsidRPr="00270EEB" w:rsidRDefault="003B2A14" w:rsidP="00E6298B">
            <w:pPr>
              <w:ind w:right="107"/>
              <w:jc w:val="both"/>
              <w:rPr>
                <w:sz w:val="24"/>
                <w:szCs w:val="24"/>
              </w:rPr>
            </w:pPr>
            <w:r>
              <w:rPr>
                <w:sz w:val="24"/>
                <w:szCs w:val="24"/>
              </w:rPr>
              <w:t>Your reflection must illustrate</w:t>
            </w:r>
            <w:r w:rsidRPr="00270EEB">
              <w:rPr>
                <w:sz w:val="24"/>
                <w:szCs w:val="24"/>
              </w:rPr>
              <w:t xml:space="preserve"> </w:t>
            </w:r>
            <w:r>
              <w:rPr>
                <w:sz w:val="24"/>
                <w:szCs w:val="24"/>
              </w:rPr>
              <w:t>your understanding and application of core principles of ethics, equality, diversity and human rights, as well as any</w:t>
            </w:r>
            <w:r w:rsidRPr="00270EEB">
              <w:rPr>
                <w:sz w:val="24"/>
                <w:szCs w:val="24"/>
              </w:rPr>
              <w:t xml:space="preserve"> </w:t>
            </w:r>
            <w:r>
              <w:rPr>
                <w:sz w:val="24"/>
                <w:szCs w:val="24"/>
              </w:rPr>
              <w:t xml:space="preserve">relevant </w:t>
            </w:r>
            <w:r w:rsidRPr="00270EEB">
              <w:rPr>
                <w:sz w:val="24"/>
                <w:szCs w:val="24"/>
              </w:rPr>
              <w:t xml:space="preserve">Code of Practice </w:t>
            </w:r>
            <w:r>
              <w:rPr>
                <w:sz w:val="24"/>
                <w:szCs w:val="24"/>
              </w:rPr>
              <w:t>considerations</w:t>
            </w:r>
            <w:r w:rsidRPr="00270EEB">
              <w:rPr>
                <w:sz w:val="24"/>
                <w:szCs w:val="24"/>
              </w:rPr>
              <w:t>, 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4CED25E2" w14:textId="77777777" w:rsidR="003B2A14" w:rsidRDefault="003B2A14" w:rsidP="00E6298B">
            <w:pPr>
              <w:ind w:right="107"/>
              <w:jc w:val="both"/>
              <w:rPr>
                <w:sz w:val="24"/>
                <w:szCs w:val="24"/>
              </w:rPr>
            </w:pPr>
          </w:p>
          <w:p w14:paraId="40D33DEC" w14:textId="77777777" w:rsidR="003B2A14" w:rsidRPr="00270EEB" w:rsidRDefault="003B2A14" w:rsidP="00E6298B">
            <w:pPr>
              <w:ind w:right="107"/>
              <w:jc w:val="both"/>
              <w:rPr>
                <w:sz w:val="24"/>
                <w:szCs w:val="24"/>
              </w:rPr>
            </w:pPr>
          </w:p>
          <w:p w14:paraId="02FB5304" w14:textId="7BF24312" w:rsidR="003B2A14"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Pr="00270EEB" w:rsidRDefault="00AA666E" w:rsidP="00E6298B">
      <w:pPr>
        <w:ind w:right="107"/>
        <w:jc w:val="both"/>
        <w:rPr>
          <w:sz w:val="24"/>
          <w:szCs w:val="24"/>
        </w:rPr>
      </w:pPr>
    </w:p>
    <w:p w14:paraId="6AC49E4B" w14:textId="77777777" w:rsidR="00F409EB" w:rsidRPr="00521DE0" w:rsidRDefault="00F409EB" w:rsidP="00F409EB">
      <w:pPr>
        <w:rPr>
          <w:sz w:val="22"/>
          <w:szCs w:val="24"/>
          <w:u w:val="single"/>
        </w:rPr>
      </w:pPr>
      <w:r w:rsidRPr="00521DE0">
        <w:rPr>
          <w:sz w:val="22"/>
          <w:szCs w:val="24"/>
        </w:rPr>
        <w:t>This essay will discuss police attendance at a domestic incident where the victims were identified and spoken to, subsequently leading to the arrest of the offender. It will discuss how the conflict that arose was dealt with and the justification behind the use of force. It will reflect on the decision making process throughout and the actions taken when dealing with this incident.</w:t>
      </w:r>
    </w:p>
    <w:p w14:paraId="13F9A566" w14:textId="77777777" w:rsidR="00F409EB" w:rsidRPr="00521DE0" w:rsidRDefault="00F409EB" w:rsidP="00F409EB">
      <w:pPr>
        <w:rPr>
          <w:sz w:val="22"/>
          <w:szCs w:val="24"/>
        </w:rPr>
      </w:pPr>
      <w:r w:rsidRPr="00521DE0">
        <w:rPr>
          <w:sz w:val="22"/>
          <w:szCs w:val="24"/>
        </w:rPr>
        <w:t xml:space="preserve">   A call was made to police stating that there was a domestic incident ongoing inside a dwelling. The address was within a deprived area inside of South Wales Police’s boundaries where the offender and the victims were family members. </w:t>
      </w:r>
    </w:p>
    <w:p w14:paraId="6B4B0129" w14:textId="77777777" w:rsidR="00F409EB" w:rsidRPr="00521DE0" w:rsidRDefault="00F409EB" w:rsidP="00F409EB">
      <w:pPr>
        <w:rPr>
          <w:sz w:val="22"/>
          <w:szCs w:val="24"/>
        </w:rPr>
      </w:pPr>
      <w:r w:rsidRPr="00521DE0">
        <w:rPr>
          <w:sz w:val="22"/>
          <w:szCs w:val="24"/>
        </w:rPr>
        <w:t xml:space="preserve">   Upon officers’ arrival, the individuals inside the address were separated and initial accounts were taken from them, which identified a male offender and two victims – an adult female and a male child. It was alleged that the offender had assaulted the two victims by pushing. From studying legislation during six months initial police training, it was acknowledged immediately that this was an offence according to Section 39 of the Criminal Justice Act 1988.</w:t>
      </w:r>
    </w:p>
    <w:p w14:paraId="37786A32" w14:textId="77777777" w:rsidR="00F409EB" w:rsidRPr="00521DE0" w:rsidRDefault="00F409EB" w:rsidP="00F409EB">
      <w:pPr>
        <w:rPr>
          <w:sz w:val="22"/>
          <w:szCs w:val="24"/>
        </w:rPr>
      </w:pPr>
      <w:r w:rsidRPr="00521DE0">
        <w:rPr>
          <w:sz w:val="22"/>
          <w:szCs w:val="24"/>
        </w:rPr>
        <w:t xml:space="preserve">   The initial focus was to safeguard any existing and potential victims or vulnerable persons within the address. Once the immediate threat and risk had been removed, building a rapport with the victims at the scene was essential in order to gain an initial account. This worked well upon attendance at this incident, it was ensured that a calm and reassuring tone was used to put the victims at ease from the start. Open questions were used to gain as much information as possible about the incident without leading the victims in a certain way. </w:t>
      </w:r>
    </w:p>
    <w:p w14:paraId="218ED403" w14:textId="77777777" w:rsidR="00F409EB" w:rsidRPr="00521DE0" w:rsidRDefault="00F409EB" w:rsidP="00F409EB">
      <w:pPr>
        <w:rPr>
          <w:sz w:val="22"/>
          <w:szCs w:val="24"/>
        </w:rPr>
      </w:pPr>
      <w:r w:rsidRPr="00521DE0">
        <w:rPr>
          <w:sz w:val="22"/>
          <w:szCs w:val="24"/>
        </w:rPr>
        <w:lastRenderedPageBreak/>
        <w:t xml:space="preserve">   Appropriate language was needed here so that the child victim would understand the questions but this then had to be adapted to speak to the adult female victim to explain what would happen next. Also, a constant reflection of body language and how officers presented themselves to the victims was essential. Phutela (2015) states that our body language and the way we present ourselves can send a strong message either confirming or contradicting what we are actually saying. Therefore, open hand gestures and reassuring head gestures were used to emphasise what was said and show listening skills.</w:t>
      </w:r>
      <w:r w:rsidRPr="00521DE0">
        <w:rPr>
          <w:b/>
          <w:sz w:val="22"/>
          <w:szCs w:val="24"/>
        </w:rPr>
        <w:br/>
      </w:r>
      <w:r w:rsidRPr="00521DE0">
        <w:rPr>
          <w:sz w:val="22"/>
          <w:szCs w:val="24"/>
        </w:rPr>
        <w:t xml:space="preserve">   In order to build trust, the reality of the situation was outlined and clarified to prepare them and to manage their expectations. The victims were informed that the offender would be arrested and taken in to custody for their safeguarding and for investigation of the offence. It was important to keep the victims fully informed for them to feel their needs were being met. The treatment of the victims present at the scene was compassionate and understanding, while making it clear that officers were now in charge of the situation and there to make them safe. This was important in terms of victim satisfaction as victims who feel that their welfare is being considered and that they are being listened to are more likely to be satisfied with police action as a result (Robinson &amp; Stroshine, 2005).</w:t>
      </w:r>
      <w:r w:rsidRPr="00521DE0">
        <w:rPr>
          <w:sz w:val="22"/>
          <w:szCs w:val="24"/>
        </w:rPr>
        <w:br/>
        <w:t xml:space="preserve">   This extended to attendance following the arrest of the offender, when officers later returned to the address to progress the investigation. The victim decided that she did not wish to make a complaint and provided a negative statement. She did not wish for her child to be spoken to in relation to the incident. To show understanding and remain impartial was essential here - whether or not the officers present personally agreed with her decision was irrelevant. Professionalism and integrity were displayed here while explaining to the victim that South Wales Police are victim led and we would act in hers and her child’s best interests.</w:t>
      </w:r>
      <w:r w:rsidRPr="00521DE0">
        <w:rPr>
          <w:sz w:val="22"/>
          <w:szCs w:val="24"/>
        </w:rPr>
        <w:br/>
        <w:t xml:space="preserve">   This empathetic and thorough approach was particularly important in this situation as domestic incidents are one of South Wales Police’s focal points, as outlined in the Police and Crime Plan 2019-2023. Within a 24 hour period inside the South Wales Police boundaries, officers deal with 97 domestic incidents, (South Wales Police, 2019).</w:t>
      </w:r>
    </w:p>
    <w:p w14:paraId="7F683461" w14:textId="77777777" w:rsidR="00F409EB" w:rsidRPr="00521DE0" w:rsidRDefault="00F409EB" w:rsidP="00F409EB">
      <w:pPr>
        <w:rPr>
          <w:sz w:val="22"/>
          <w:szCs w:val="24"/>
        </w:rPr>
      </w:pPr>
      <w:r w:rsidRPr="00521DE0">
        <w:rPr>
          <w:sz w:val="22"/>
          <w:szCs w:val="24"/>
        </w:rPr>
        <w:t xml:space="preserve">   However, while this is a substantial figure, it is likely that this is not a full and accurate picture in relation to the prevalence of domestic violence. The Crime Survey for England and Wales collated statistics regarding under-reporting of domestic and found that 79% of victims who suffer abuse from their partner do not report to the police, (Office for National Statistics, 2017). Therefore, it is highly likely that within the South Wales Police area, a high number of domestic violence incidents are not reported. </w:t>
      </w:r>
      <w:r w:rsidRPr="00521DE0">
        <w:rPr>
          <w:sz w:val="22"/>
          <w:szCs w:val="24"/>
        </w:rPr>
        <w:br/>
        <w:t xml:space="preserve">   Taking this in to account, all safeguarding measures were thought of and put in place starting with the arrest and removal of the offender right up to the necessary referrals for support being submitted thereafter.</w:t>
      </w:r>
    </w:p>
    <w:p w14:paraId="5BAE5D68" w14:textId="77777777" w:rsidR="00F409EB" w:rsidRPr="00521DE0" w:rsidRDefault="00F409EB" w:rsidP="00F409EB">
      <w:pPr>
        <w:rPr>
          <w:sz w:val="22"/>
          <w:szCs w:val="24"/>
        </w:rPr>
      </w:pPr>
      <w:r w:rsidRPr="00521DE0">
        <w:rPr>
          <w:sz w:val="22"/>
          <w:szCs w:val="24"/>
        </w:rPr>
        <w:t xml:space="preserve">   As well as effective communication with the victim, use of excellent communication skills was essential when dealing with the offender in order to explain the allegations made and why an arrest was therefore necessary. It was important to take control of the offender at this point to effect the arrest and gain control of the situation.</w:t>
      </w:r>
    </w:p>
    <w:p w14:paraId="4B423579" w14:textId="77777777" w:rsidR="00F409EB" w:rsidRPr="00521DE0" w:rsidRDefault="00F409EB" w:rsidP="00F409EB">
      <w:pPr>
        <w:rPr>
          <w:sz w:val="22"/>
          <w:szCs w:val="24"/>
        </w:rPr>
      </w:pPr>
      <w:r w:rsidRPr="00521DE0">
        <w:rPr>
          <w:sz w:val="22"/>
          <w:szCs w:val="24"/>
        </w:rPr>
        <w:t xml:space="preserve">   During the arrest, the offender began to actively resist by moving his arms and pushing back against the officers restraining him. Tactical communication was used to give instructions to the offender in order to get him to comply. This was combined with negotiation skills, which upon reflection, were firm but fair. This was to ensure that the offender knew that police were in control of the situation and that he would be arrested but to also make sure that he fully understood why.</w:t>
      </w:r>
    </w:p>
    <w:p w14:paraId="460A42DD" w14:textId="77777777" w:rsidR="00F409EB" w:rsidRPr="00521DE0" w:rsidRDefault="00F409EB" w:rsidP="00F409EB">
      <w:pPr>
        <w:rPr>
          <w:sz w:val="22"/>
          <w:szCs w:val="24"/>
        </w:rPr>
      </w:pPr>
      <w:r w:rsidRPr="00521DE0">
        <w:rPr>
          <w:sz w:val="22"/>
          <w:szCs w:val="24"/>
        </w:rPr>
        <w:t xml:space="preserve">   Throughout the altercation with the offender, Betari’s Box theory was kept in mind. This theory describes how an individuals’ actions and attitude can influence those of the people around them, (Clements &amp; Jones, 2008). This theory suggests that if someone has an aggressive attitude and set of behaviours, then this will influence others to conduct themselves in the same way. The police presence at the scene was calming and conducted with impartiality while showing authority and maintaining control at the same time. </w:t>
      </w:r>
      <w:r w:rsidRPr="00521DE0">
        <w:rPr>
          <w:sz w:val="22"/>
          <w:szCs w:val="24"/>
        </w:rPr>
        <w:br/>
        <w:t xml:space="preserve">   However, while Clements and Jones (2008) give praise to Betari’s Box theory for its simplicity, this can also be a negative aspect when trying to implement this as conflict management. It would be naive to think that this approach will always be easy to carry out, especially when dealing with </w:t>
      </w:r>
      <w:r w:rsidRPr="00521DE0">
        <w:rPr>
          <w:sz w:val="22"/>
          <w:szCs w:val="24"/>
        </w:rPr>
        <w:lastRenderedPageBreak/>
        <w:t>conflict in high-pressured situations. There needs to be a balance between authority and assertiveness and the de-escalation of a situation.</w:t>
      </w:r>
    </w:p>
    <w:p w14:paraId="12B4054F" w14:textId="45E43377" w:rsidR="00F409EB" w:rsidRPr="00521DE0" w:rsidRDefault="00F409EB" w:rsidP="00F409EB">
      <w:pPr>
        <w:rPr>
          <w:sz w:val="22"/>
          <w:szCs w:val="24"/>
        </w:rPr>
      </w:pPr>
      <w:r w:rsidRPr="00521DE0">
        <w:rPr>
          <w:sz w:val="22"/>
          <w:szCs w:val="24"/>
        </w:rPr>
        <w:t xml:space="preserve">   After gaining control of the offender, the nature of the allegation and the offender’s non-compliant behaviour was taken in to account and it was decided that it was proportionate to handcuff him. He was handcuffed to the rear in a safe and controlled manner. These handcuffs were double-locked to prevent tightening during movement – this protects the offender’s human rights, namely Article 3 of the Human Rights Act which states that no one should be subjected to torture or inhumane and degrading punishment, (Human Rights Act 1988). The offender was cautioned and his rights were explained to him, as stated in Code C of the Codes of Practice, extracted from the Police and Criminal Evidence Act 1984 (Home Office, 2019</w:t>
      </w:r>
      <w:r w:rsidR="00770902">
        <w:rPr>
          <w:sz w:val="22"/>
          <w:szCs w:val="24"/>
        </w:rPr>
        <w:t>a</w:t>
      </w:r>
      <w:r w:rsidRPr="00521DE0">
        <w:rPr>
          <w:sz w:val="22"/>
          <w:szCs w:val="24"/>
        </w:rPr>
        <w:t>).</w:t>
      </w:r>
    </w:p>
    <w:p w14:paraId="1F3C6631" w14:textId="00286703" w:rsidR="00F409EB" w:rsidRPr="00521DE0" w:rsidRDefault="00F409EB" w:rsidP="00F409EB">
      <w:pPr>
        <w:rPr>
          <w:sz w:val="22"/>
          <w:szCs w:val="24"/>
        </w:rPr>
      </w:pPr>
      <w:r w:rsidRPr="00521DE0">
        <w:rPr>
          <w:sz w:val="22"/>
          <w:szCs w:val="24"/>
        </w:rPr>
        <w:t xml:space="preserve">   The use of force to effect the arrest of the offender was lawful under powers granted to police in the Criminal Law Act 1967. Section 3 of this Act states that a police constable can use reasonable force in the prevention of a crime or to effect or assist in the lawful arrest of an offender, (Criminal Law Act, 1967). The force used was reasonable in the circumstances and proportionate to the situation.</w:t>
      </w:r>
      <w:r w:rsidRPr="00521DE0">
        <w:rPr>
          <w:sz w:val="22"/>
          <w:szCs w:val="24"/>
        </w:rPr>
        <w:br/>
        <w:t xml:space="preserve">      Upon reflection, the arrest was absolutely necessary in terms of safeguarding vulnerable victims and to control, apprehend and prosecute the offender. Therefore, this arrest was lawful according to the Police and Criminal Evidence Act 1984 as it states officers can arrest without warrant any individual for the purpose of protecting a vulnerable person or a child and to allow for a prompt and effective investigation (Police and Criminal Evidence Act 1984).  </w:t>
      </w:r>
      <w:r w:rsidRPr="00521DE0">
        <w:rPr>
          <w:sz w:val="22"/>
          <w:szCs w:val="24"/>
        </w:rPr>
        <w:br/>
        <w:t xml:space="preserve">      This necessity and the custody process was explained to the offender to ensure transparency throughout and that the offender was aware of what would happen next. The treatment of the offender was ethical and honest which was evidenced through the activation of body worn camera throughout the incident and the arrest. This piece of technology can hold officers accountable for their actions at a scene and during this particular incident, the action taken and force used was justified and not excessive at any point.</w:t>
      </w:r>
      <w:r w:rsidRPr="00521DE0">
        <w:rPr>
          <w:sz w:val="22"/>
          <w:szCs w:val="24"/>
        </w:rPr>
        <w:br/>
        <w:t xml:space="preserve">   It was important to act ethically throughout my involvement in this incident. I acted with integrity and conducted my duties and responsibilities fairly and lawfully. As the incident unfolded and there was police involvement with both victim and offender at some point, it was vital to remain non-judgmental throughout and not let this affect the decision making process. </w:t>
      </w:r>
      <w:r w:rsidRPr="00521DE0">
        <w:rPr>
          <w:sz w:val="22"/>
          <w:szCs w:val="24"/>
        </w:rPr>
        <w:br/>
        <w:t xml:space="preserve">      Throughout this incident, it was imperative to use the College of Policing’s National Decision Making Model (NDM) to effectively collect the information available and use this to make decisions, (College of Policing, 2014</w:t>
      </w:r>
      <w:r w:rsidR="00770902">
        <w:rPr>
          <w:sz w:val="22"/>
          <w:szCs w:val="24"/>
        </w:rPr>
        <w:t>b</w:t>
      </w:r>
      <w:r w:rsidRPr="00521DE0">
        <w:rPr>
          <w:sz w:val="22"/>
          <w:szCs w:val="24"/>
        </w:rPr>
        <w:t>). This was a good way to continuously evaluate and reflect to take the best possible course of action.</w:t>
      </w:r>
      <w:r w:rsidRPr="00521DE0">
        <w:rPr>
          <w:sz w:val="22"/>
          <w:szCs w:val="24"/>
        </w:rPr>
        <w:br/>
        <w:t xml:space="preserve">  On the way to the address, the information and intelligence available was collated and evaluated to ask questions such as; what actions may need to be taken and what police powers may need to be used? It was noted that this was an incident involving family members so it could be a highly emotive situation. </w:t>
      </w:r>
      <w:r w:rsidRPr="00521DE0">
        <w:rPr>
          <w:sz w:val="22"/>
          <w:szCs w:val="24"/>
        </w:rPr>
        <w:br/>
        <w:t xml:space="preserve">   The importance of gathering such information has been highlighted, as the threat and risk can be assessed to develop the best possible strategy and this will be carried forward when dealing with future incidents. It is important to use this information to consider any impact factors that may increase the level of risk. These impact factors could include a difference in size and strength or substance use. </w:t>
      </w:r>
      <w:r w:rsidRPr="00521DE0">
        <w:rPr>
          <w:sz w:val="22"/>
          <w:szCs w:val="24"/>
        </w:rPr>
        <w:br/>
        <w:t xml:space="preserve">   In this circumstance, the offender was under the influence of alcohol which was taken in to account from the beginning. Upon reflection, this information was invaluable for safeguarding of attending officers, as well as those already at the scene. There was a need to continuously reflect and assess when more information was received from the police control room and also from the victims’ accounts. This way, the options available could be evaluated to decide the best course of action to take. </w:t>
      </w:r>
      <w:r w:rsidRPr="00521DE0">
        <w:rPr>
          <w:sz w:val="22"/>
          <w:szCs w:val="24"/>
        </w:rPr>
        <w:br/>
        <w:t xml:space="preserve">   The final stage of the NDM involves taking action and reviewing. In this particular incident, the action taken was the arrest of the offender, a statement from the victim and the safeguarding protocols after. </w:t>
      </w:r>
    </w:p>
    <w:p w14:paraId="6B292C02" w14:textId="77777777" w:rsidR="00F409EB" w:rsidRPr="00521DE0" w:rsidRDefault="00F409EB" w:rsidP="00F409EB">
      <w:pPr>
        <w:rPr>
          <w:sz w:val="22"/>
          <w:szCs w:val="24"/>
        </w:rPr>
      </w:pPr>
      <w:r w:rsidRPr="00521DE0">
        <w:rPr>
          <w:sz w:val="22"/>
          <w:szCs w:val="24"/>
        </w:rPr>
        <w:lastRenderedPageBreak/>
        <w:t xml:space="preserve">   Reviewing this incident and reflecting on my decisions happened at various stages. When presenting the offender to the Custody Sergeant and explaining the necessity of the arrest, the circumstances of the incident was explained and the use of force and arrest was justified. This required reflection on police action at the scene and to critically assess what happened. Similarly, the reviewing process took place when completing the relevant updates on police systems and submitting the necessary safeguarding referrals. When completing South Wales Police’s Use of Force form and the arresting officer’s statement, there was time for self-reflection to ask what worked well during the attendance at the scene and what would be better if done differently next time.</w:t>
      </w:r>
    </w:p>
    <w:p w14:paraId="258A2A23" w14:textId="77777777" w:rsidR="00F409EB" w:rsidRPr="00521DE0" w:rsidRDefault="00F409EB" w:rsidP="00F409EB">
      <w:pPr>
        <w:rPr>
          <w:sz w:val="22"/>
        </w:rPr>
      </w:pPr>
      <w:r w:rsidRPr="00521DE0">
        <w:rPr>
          <w:sz w:val="22"/>
        </w:rPr>
        <w:t xml:space="preserve">   Reflection of the whole incident from start to finish once police involvement had concluded was important. This took place in the form of a debrief session with another attending officer. This allowed reflection on actions taken and provided the opportunity to ask questions and use the answers to learn from this in the future.</w:t>
      </w:r>
      <w:r w:rsidRPr="00521DE0">
        <w:rPr>
          <w:sz w:val="22"/>
        </w:rPr>
        <w:br/>
        <w:t xml:space="preserve">   </w:t>
      </w:r>
      <w:r w:rsidRPr="00521DE0">
        <w:rPr>
          <w:sz w:val="22"/>
          <w:szCs w:val="24"/>
        </w:rPr>
        <w:t>This form of learning is supported by Kolb’s experiential learning theory developed in 1984 which proposed that reflection on an experience and its conclusion informs us and assists with exposure to a similar experience in the future (Christopher, 2015). This theory is certainly applicable in this case, with an inexperienced officer who is new in service, learning a completely new environment and skills.</w:t>
      </w:r>
      <w:r w:rsidRPr="00521DE0">
        <w:rPr>
          <w:sz w:val="22"/>
          <w:szCs w:val="24"/>
        </w:rPr>
        <w:br/>
        <w:t xml:space="preserve">   This debrief was important to discuss the incident and to also assess what could be done differently next time. While it was not applicable during this incident, it was noted that cultural and social aspects might have to be taken in to account in future incidents. For example, there could be a language barrier between officers and the people present at the address if English is not their first language. Culturally, the group consciousness theory states that minority groups who have a large group consciousness with strong political and social views are typically distrustful of the police (Wu et al, 2017) and may not be as willing to allow a police presence in their homes. </w:t>
      </w:r>
      <w:r w:rsidRPr="00521DE0">
        <w:rPr>
          <w:sz w:val="22"/>
          <w:szCs w:val="24"/>
        </w:rPr>
        <w:br/>
        <w:t xml:space="preserve">   However, upon reflection and discussion, this incident would not have been dealt with any differently and the outcome would have been the same. The victim and perpetrator would still be separated and positive action would be taken should any offences be disclosed. </w:t>
      </w:r>
      <w:r w:rsidRPr="00521DE0">
        <w:rPr>
          <w:sz w:val="22"/>
          <w:szCs w:val="24"/>
        </w:rPr>
        <w:br/>
        <w:t xml:space="preserve">   Additionally, when critically analysing the incident, it was discussed that the ‘golden model’ would have been for officers to deal with either the victim or the offender and not having dealings with both. This is for evidential purposes to avoid the risk of cross-contamination - as Locard’s exchange principle states, “Every contact leaves a trace”, (Gill, 2012). However, due to the nature of the incident and to effect the arrest of the non-compliant offender, this was not possible here. This was discussed at length and it was confirmed that officers acted appropriately and with consideration for the investigation.</w:t>
      </w:r>
    </w:p>
    <w:p w14:paraId="407F3949" w14:textId="77777777" w:rsidR="00F409EB" w:rsidRPr="00521DE0" w:rsidRDefault="00F409EB" w:rsidP="00F409EB">
      <w:pPr>
        <w:rPr>
          <w:sz w:val="22"/>
        </w:rPr>
      </w:pPr>
      <w:r w:rsidRPr="00521DE0">
        <w:rPr>
          <w:sz w:val="22"/>
        </w:rPr>
        <w:t xml:space="preserve">   To summarise, this incident was an emotive domestic disturbance between family members that resulted in an arrest. Officers took control of the situation immediately upon arrival and established and clarified the events prior to taking action. The action that was then taken was completely necessary and justified. </w:t>
      </w:r>
      <w:r w:rsidRPr="00521DE0">
        <w:rPr>
          <w:sz w:val="22"/>
        </w:rPr>
        <w:br/>
        <w:t xml:space="preserve">   The reflection process was ongoing and extensive to assist with learning. It was essential to reflect on the effectiveness of police presence at the scene, from initial communication with both victim and offender to the positive action taken in the form of an arrest. All actions and outcomes were critically assessed using established theories and feedback from other experienced officers.</w:t>
      </w:r>
    </w:p>
    <w:p w14:paraId="79C6F38B" w14:textId="77777777" w:rsidR="00AA666E" w:rsidRPr="00521DE0" w:rsidRDefault="00AA666E" w:rsidP="00E6298B">
      <w:pPr>
        <w:ind w:right="107"/>
        <w:jc w:val="both"/>
        <w:rPr>
          <w:sz w:val="22"/>
          <w:szCs w:val="24"/>
          <w:u w:val="single"/>
        </w:rPr>
      </w:pPr>
    </w:p>
    <w:p w14:paraId="607A0D29" w14:textId="4BA151D8" w:rsidR="00AA666E" w:rsidRPr="00521DE0" w:rsidRDefault="00521DE0" w:rsidP="00E6298B">
      <w:pPr>
        <w:ind w:right="107"/>
        <w:jc w:val="both"/>
        <w:rPr>
          <w:sz w:val="22"/>
          <w:szCs w:val="24"/>
          <w:u w:val="single"/>
        </w:rPr>
      </w:pPr>
      <w:r w:rsidRPr="00521DE0">
        <w:rPr>
          <w:sz w:val="22"/>
          <w:szCs w:val="24"/>
          <w:u w:val="single"/>
        </w:rPr>
        <w:t>2362 words</w:t>
      </w:r>
    </w:p>
    <w:p w14:paraId="4557CCDD" w14:textId="77777777" w:rsidR="008B28E7" w:rsidRPr="00270EEB" w:rsidRDefault="008B28E7" w:rsidP="00E6298B">
      <w:pPr>
        <w:ind w:right="107"/>
        <w:jc w:val="both"/>
        <w:rPr>
          <w:sz w:val="24"/>
          <w:szCs w:val="24"/>
        </w:rPr>
      </w:pPr>
    </w:p>
    <w:p w14:paraId="545B147F" w14:textId="77777777" w:rsidR="008B28E7" w:rsidRPr="00270EEB" w:rsidRDefault="008B28E7" w:rsidP="00E6298B">
      <w:pPr>
        <w:ind w:right="107"/>
        <w:jc w:val="both"/>
        <w:rPr>
          <w:sz w:val="24"/>
          <w:szCs w:val="24"/>
        </w:rPr>
      </w:pPr>
    </w:p>
    <w:p w14:paraId="452E40A6" w14:textId="77777777" w:rsidR="008B28E7" w:rsidRPr="00270EEB" w:rsidRDefault="008B28E7" w:rsidP="00E6298B">
      <w:pPr>
        <w:ind w:right="107"/>
        <w:jc w:val="both"/>
        <w:rPr>
          <w:sz w:val="24"/>
          <w:szCs w:val="24"/>
        </w:rPr>
      </w:pPr>
    </w:p>
    <w:p w14:paraId="1A730B74" w14:textId="77777777" w:rsidR="008B28E7" w:rsidRPr="00270EEB" w:rsidRDefault="008B28E7"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13F4B7E0" w14:textId="312727D6" w:rsidR="00082668" w:rsidRPr="00270EEB" w:rsidRDefault="00025650" w:rsidP="00521DE0">
      <w:pPr>
        <w:ind w:right="107"/>
        <w:rPr>
          <w:b/>
          <w:bCs/>
          <w:sz w:val="24"/>
          <w:szCs w:val="24"/>
        </w:rPr>
      </w:pPr>
      <w:r>
        <w:br w:type="page"/>
      </w:r>
      <w:r w:rsidR="28A9B94D" w:rsidRPr="28A9B94D">
        <w:rPr>
          <w:b/>
          <w:bCs/>
          <w:color w:val="auto"/>
          <w:sz w:val="24"/>
          <w:szCs w:val="24"/>
        </w:rPr>
        <w:lastRenderedPageBreak/>
        <w:t xml:space="preserve">Task </w:t>
      </w:r>
      <w:r w:rsidR="28A9B94D"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77777777" w:rsidR="00112751" w:rsidRPr="00270EEB" w:rsidRDefault="00112751"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8A9B94D">
        <w:tc>
          <w:tcPr>
            <w:tcW w:w="10188" w:type="dxa"/>
            <w:shd w:val="clear" w:color="auto" w:fill="auto"/>
          </w:tcPr>
          <w:p w14:paraId="5B4026D3" w14:textId="77777777" w:rsidR="00112751" w:rsidRPr="00025650" w:rsidRDefault="00112751" w:rsidP="00E6298B">
            <w:pPr>
              <w:ind w:right="107"/>
              <w:rPr>
                <w:b/>
                <w:sz w:val="24"/>
                <w:szCs w:val="24"/>
              </w:rPr>
            </w:pPr>
            <w:r w:rsidRPr="00025650">
              <w:rPr>
                <w:b/>
                <w:sz w:val="24"/>
                <w:szCs w:val="24"/>
              </w:rPr>
              <w:t xml:space="preserve"> </w:t>
            </w:r>
          </w:p>
          <w:p w14:paraId="471E58C6" w14:textId="77777777" w:rsidR="00112751" w:rsidRDefault="00112751" w:rsidP="00E6298B">
            <w:pPr>
              <w:ind w:right="107"/>
              <w:rPr>
                <w:sz w:val="24"/>
                <w:szCs w:val="24"/>
              </w:rPr>
            </w:pPr>
          </w:p>
          <w:p w14:paraId="724081E3" w14:textId="57486811" w:rsidR="00112751"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a relevant incident including social and legislative contexts and any relevant cultural, ethnicity and language issues. </w:t>
            </w:r>
          </w:p>
          <w:p w14:paraId="2FC3D920" w14:textId="77777777" w:rsidR="00112751" w:rsidRDefault="00112751" w:rsidP="00E6298B">
            <w:pPr>
              <w:ind w:right="107"/>
              <w:rPr>
                <w:sz w:val="24"/>
                <w:szCs w:val="24"/>
              </w:rPr>
            </w:pPr>
          </w:p>
          <w:p w14:paraId="076D7D9D" w14:textId="77777777" w:rsidR="00112751" w:rsidRDefault="00112751" w:rsidP="28A9B94D">
            <w:pPr>
              <w:ind w:right="107"/>
              <w:rPr>
                <w:sz w:val="24"/>
                <w:szCs w:val="24"/>
              </w:rPr>
            </w:pPr>
          </w:p>
          <w:p w14:paraId="0E78B379" w14:textId="7D8EC007" w:rsidR="00112751" w:rsidRDefault="28A9B94D" w:rsidP="28A9B94D">
            <w:pPr>
              <w:ind w:right="107"/>
              <w:rPr>
                <w:sz w:val="24"/>
                <w:szCs w:val="24"/>
              </w:rPr>
            </w:pPr>
            <w:r w:rsidRPr="28A9B94D">
              <w:rPr>
                <w:b/>
                <w:bCs/>
                <w:sz w:val="24"/>
                <w:szCs w:val="24"/>
              </w:rPr>
              <w:t>Consider and reflect</w:t>
            </w:r>
            <w:r w:rsidRPr="28A9B94D">
              <w:rPr>
                <w:sz w:val="24"/>
                <w:szCs w:val="24"/>
              </w:rPr>
              <w:t xml:space="preserve"> on your responsibilities and procedures in line with the relevant Codes of Practice to support victims and witnesses through the criminal justice system. </w:t>
            </w:r>
          </w:p>
          <w:p w14:paraId="4789EEB7" w14:textId="77777777" w:rsidR="00112751" w:rsidRDefault="00112751" w:rsidP="00E6298B">
            <w:pPr>
              <w:ind w:right="107"/>
              <w:rPr>
                <w:sz w:val="24"/>
                <w:szCs w:val="24"/>
              </w:rPr>
            </w:pPr>
          </w:p>
          <w:p w14:paraId="1197C072" w14:textId="77777777" w:rsidR="00112751" w:rsidRDefault="00112751" w:rsidP="00E6298B">
            <w:pPr>
              <w:ind w:right="107"/>
              <w:jc w:val="both"/>
              <w:rPr>
                <w:sz w:val="24"/>
                <w:szCs w:val="24"/>
              </w:rPr>
            </w:pPr>
          </w:p>
          <w:p w14:paraId="05BE805A" w14:textId="77777777" w:rsidR="00112751" w:rsidRPr="00270EEB" w:rsidRDefault="00112751" w:rsidP="00E6298B">
            <w:pPr>
              <w:ind w:right="107"/>
              <w:jc w:val="both"/>
              <w:rPr>
                <w:sz w:val="24"/>
                <w:szCs w:val="24"/>
              </w:rPr>
            </w:pPr>
            <w:r w:rsidRPr="00D7018A">
              <w:rPr>
                <w:b/>
                <w:sz w:val="24"/>
                <w:szCs w:val="24"/>
              </w:rPr>
              <w:t>Illustrate</w:t>
            </w:r>
            <w:r w:rsidRPr="00270EEB">
              <w:rPr>
                <w:sz w:val="24"/>
                <w:szCs w:val="24"/>
              </w:rPr>
              <w:t xml:space="preserve"> how </w:t>
            </w:r>
            <w:r>
              <w:rPr>
                <w:sz w:val="24"/>
                <w:szCs w:val="24"/>
              </w:rPr>
              <w:t>policing</w:t>
            </w:r>
            <w:r w:rsidRPr="00270EEB">
              <w:rPr>
                <w:sz w:val="24"/>
                <w:szCs w:val="24"/>
              </w:rPr>
              <w:t xml:space="preserve"> values</w:t>
            </w:r>
            <w:r>
              <w:rPr>
                <w:sz w:val="24"/>
                <w:szCs w:val="24"/>
              </w:rPr>
              <w:t xml:space="preserve"> were engaged</w:t>
            </w:r>
            <w:r w:rsidRPr="00270EEB">
              <w:rPr>
                <w:sz w:val="24"/>
                <w:szCs w:val="24"/>
              </w:rPr>
              <w:t>,</w:t>
            </w:r>
            <w:r>
              <w:rPr>
                <w:sz w:val="24"/>
                <w:szCs w:val="24"/>
              </w:rPr>
              <w:t xml:space="preserve"> as well as any</w:t>
            </w:r>
            <w:r w:rsidRPr="00270EEB">
              <w:rPr>
                <w:sz w:val="24"/>
                <w:szCs w:val="24"/>
              </w:rPr>
              <w:t xml:space="preserve"> </w:t>
            </w:r>
            <w:r>
              <w:rPr>
                <w:sz w:val="24"/>
                <w:szCs w:val="24"/>
              </w:rPr>
              <w:t xml:space="preserve">other considerations including </w:t>
            </w:r>
            <w:r w:rsidRPr="00270EEB">
              <w:rPr>
                <w:sz w:val="24"/>
                <w:szCs w:val="24"/>
              </w:rPr>
              <w:t>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784EB33D" w14:textId="77777777" w:rsidR="00112751" w:rsidRPr="00270EEB" w:rsidRDefault="00112751" w:rsidP="00E6298B">
            <w:pPr>
              <w:ind w:right="107"/>
              <w:rPr>
                <w:sz w:val="24"/>
                <w:szCs w:val="24"/>
              </w:rPr>
            </w:pPr>
          </w:p>
          <w:p w14:paraId="7E3F345A" w14:textId="77777777" w:rsidR="00112751" w:rsidRPr="00270EEB" w:rsidRDefault="00112751" w:rsidP="00E6298B">
            <w:pPr>
              <w:ind w:right="107"/>
              <w:jc w:val="both"/>
              <w:rPr>
                <w:sz w:val="24"/>
                <w:szCs w:val="24"/>
              </w:rPr>
            </w:pPr>
          </w:p>
          <w:p w14:paraId="2A9F5202" w14:textId="52529DDF" w:rsidR="00112751" w:rsidRDefault="28A9B94D" w:rsidP="28A9B94D">
            <w:pPr>
              <w:ind w:right="107"/>
              <w:jc w:val="both"/>
              <w:rPr>
                <w:i/>
                <w:iCs/>
                <w:sz w:val="24"/>
                <w:szCs w:val="24"/>
              </w:rPr>
            </w:pPr>
            <w:r w:rsidRPr="28A9B94D">
              <w:rPr>
                <w:sz w:val="24"/>
                <w:szCs w:val="24"/>
              </w:rPr>
              <w:t xml:space="preserve">2500 words </w:t>
            </w:r>
            <w:r w:rsidRPr="28A9B94D">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314366AD" w14:textId="77777777" w:rsidR="00F409EB" w:rsidRPr="00521DE0" w:rsidRDefault="00F409EB" w:rsidP="00F409EB">
      <w:pPr>
        <w:rPr>
          <w:sz w:val="22"/>
        </w:rPr>
      </w:pPr>
      <w:r w:rsidRPr="00521DE0">
        <w:rPr>
          <w:sz w:val="22"/>
        </w:rPr>
        <w:t>This essay will discuss the investigation of a hate crime in the form of a racially aggravated assault. It will assess the potential difficulties</w:t>
      </w:r>
      <w:r w:rsidRPr="00521DE0">
        <w:rPr>
          <w:color w:val="FF0000"/>
          <w:sz w:val="22"/>
        </w:rPr>
        <w:t xml:space="preserve"> </w:t>
      </w:r>
      <w:r w:rsidRPr="00521DE0">
        <w:rPr>
          <w:color w:val="auto"/>
          <w:sz w:val="22"/>
        </w:rPr>
        <w:t>that</w:t>
      </w:r>
      <w:r w:rsidRPr="00521DE0">
        <w:rPr>
          <w:color w:val="FF0000"/>
          <w:sz w:val="22"/>
        </w:rPr>
        <w:t xml:space="preserve"> </w:t>
      </w:r>
      <w:r w:rsidRPr="00521DE0">
        <w:rPr>
          <w:sz w:val="22"/>
        </w:rPr>
        <w:t xml:space="preserve">officers could have faced in terms of cultural differences and language barriers and how these were dealt with. The essay will also include a reflection </w:t>
      </w:r>
      <w:r w:rsidRPr="00521DE0">
        <w:rPr>
          <w:color w:val="auto"/>
          <w:sz w:val="22"/>
        </w:rPr>
        <w:t xml:space="preserve">and analysis </w:t>
      </w:r>
      <w:r w:rsidRPr="00521DE0">
        <w:rPr>
          <w:sz w:val="22"/>
        </w:rPr>
        <w:t>of the support given to the victim in this case and the importance of this support. It will demonstrate how the appropriate policing values were engaged and why this was imperative when dealing with the victim.</w:t>
      </w:r>
    </w:p>
    <w:p w14:paraId="01C6C9D4" w14:textId="1029E4D0" w:rsidR="00F409EB" w:rsidRPr="00521DE0" w:rsidRDefault="00F409EB" w:rsidP="00F409EB">
      <w:pPr>
        <w:rPr>
          <w:color w:val="auto"/>
          <w:sz w:val="22"/>
          <w:szCs w:val="24"/>
          <w:shd w:val="clear" w:color="auto" w:fill="FFFFFF"/>
        </w:rPr>
      </w:pPr>
      <w:r w:rsidRPr="00521DE0">
        <w:rPr>
          <w:color w:val="auto"/>
          <w:sz w:val="22"/>
          <w:szCs w:val="24"/>
        </w:rPr>
        <w:t xml:space="preserve">   The police and the Crown Prosecution Service (CPS) define a hate crime as: “</w:t>
      </w:r>
      <w:r w:rsidRPr="00521DE0">
        <w:rPr>
          <w:color w:val="auto"/>
          <w:sz w:val="22"/>
          <w:szCs w:val="24"/>
          <w:shd w:val="clear" w:color="auto" w:fill="FFFFFF"/>
        </w:rPr>
        <w:t>Any criminal offence which is perceived by the victim or any other person, to be motivated by hostility or prejudice”, (CPS, 2017). This hostility or prejudice can be aimed towards a person’s race, disability, religion, sexual orientation or transgender identity. Crimes motivated by these personal characteristics are included in two pieces of legislation, (Crime and Disorder Act 1998; Criminal Justice Act 2003) to allow for an uplift in sentencing (CPS, 2017).</w:t>
      </w:r>
      <w:r w:rsidRPr="00521DE0">
        <w:rPr>
          <w:color w:val="FF0000"/>
          <w:sz w:val="22"/>
          <w:szCs w:val="24"/>
          <w:shd w:val="clear" w:color="auto" w:fill="FFFFFF"/>
        </w:rPr>
        <w:br/>
      </w:r>
      <w:r w:rsidRPr="00521DE0">
        <w:rPr>
          <w:color w:val="auto"/>
          <w:sz w:val="22"/>
          <w:szCs w:val="24"/>
          <w:shd w:val="clear" w:color="auto" w:fill="FFFFFF"/>
        </w:rPr>
        <w:t xml:space="preserve">   Between 2018 and 2019, the amount of hate crimes reported to the police has increased by 10%, (Home Office, 2019</w:t>
      </w:r>
      <w:r w:rsidR="00770902">
        <w:rPr>
          <w:color w:val="auto"/>
          <w:sz w:val="22"/>
          <w:szCs w:val="24"/>
          <w:shd w:val="clear" w:color="auto" w:fill="FFFFFF"/>
        </w:rPr>
        <w:t>b</w:t>
      </w:r>
      <w:r w:rsidRPr="00521DE0">
        <w:rPr>
          <w:color w:val="auto"/>
          <w:sz w:val="22"/>
          <w:szCs w:val="24"/>
          <w:shd w:val="clear" w:color="auto" w:fill="FFFFFF"/>
        </w:rPr>
        <w:t xml:space="preserve">). This statistic could either suggest that victims are more comfortable with reporting crimes to police or unfortunately, this could mean that the number of hate crimes being committed are on the rise. Whichever fact lies behind this statistic, an increase in the number of hate crime reports meant that it was essential to act with professionalism and compassion when dealing with the incident discussed in this essay. </w:t>
      </w:r>
    </w:p>
    <w:p w14:paraId="4239685D" w14:textId="77777777" w:rsidR="00F409EB" w:rsidRPr="00521DE0" w:rsidRDefault="00F409EB" w:rsidP="00F409EB">
      <w:pPr>
        <w:rPr>
          <w:color w:val="auto"/>
          <w:sz w:val="22"/>
          <w:szCs w:val="24"/>
          <w:shd w:val="clear" w:color="auto" w:fill="FFFFFF"/>
        </w:rPr>
      </w:pPr>
      <w:r w:rsidRPr="00521DE0">
        <w:rPr>
          <w:color w:val="auto"/>
          <w:sz w:val="22"/>
          <w:szCs w:val="24"/>
          <w:shd w:val="clear" w:color="auto" w:fill="FFFFFF"/>
        </w:rPr>
        <w:t xml:space="preserve">   This incident relates to a crime committed that was perceived by the victim to be motivated by his race. The</w:t>
      </w:r>
      <w:r w:rsidRPr="00521DE0">
        <w:rPr>
          <w:color w:val="FF0000"/>
          <w:sz w:val="22"/>
          <w:szCs w:val="24"/>
          <w:shd w:val="clear" w:color="auto" w:fill="FFFFFF"/>
        </w:rPr>
        <w:t xml:space="preserve"> </w:t>
      </w:r>
      <w:r w:rsidRPr="00521DE0">
        <w:rPr>
          <w:color w:val="auto"/>
          <w:sz w:val="22"/>
          <w:szCs w:val="24"/>
          <w:shd w:val="clear" w:color="auto" w:fill="FFFFFF"/>
        </w:rPr>
        <w:t>incident</w:t>
      </w:r>
      <w:r w:rsidRPr="00521DE0">
        <w:rPr>
          <w:color w:val="FF0000"/>
          <w:sz w:val="22"/>
          <w:szCs w:val="24"/>
          <w:shd w:val="clear" w:color="auto" w:fill="FFFFFF"/>
        </w:rPr>
        <w:t xml:space="preserve"> </w:t>
      </w:r>
      <w:r w:rsidRPr="00521DE0">
        <w:rPr>
          <w:color w:val="auto"/>
          <w:sz w:val="22"/>
          <w:szCs w:val="24"/>
          <w:shd w:val="clear" w:color="auto" w:fill="FFFFFF"/>
        </w:rPr>
        <w:t xml:space="preserve">took place in a public house bathroom, where a male of Asian ethnicity reported he was followed in the bathroom by an unknown perpetrator and was racially verbally abused. </w:t>
      </w:r>
      <w:r w:rsidRPr="00521DE0">
        <w:rPr>
          <w:color w:val="auto"/>
          <w:sz w:val="22"/>
          <w:szCs w:val="24"/>
          <w:shd w:val="clear" w:color="auto" w:fill="FFFFFF"/>
        </w:rPr>
        <w:lastRenderedPageBreak/>
        <w:t xml:space="preserve">Following this abuse, the perpetrator hit the victim to the face causing the victim to sustain a broken jaw. </w:t>
      </w:r>
    </w:p>
    <w:p w14:paraId="2F6580EB" w14:textId="77777777" w:rsidR="00F409EB" w:rsidRPr="00521DE0" w:rsidRDefault="00F409EB" w:rsidP="00F409EB">
      <w:pPr>
        <w:rPr>
          <w:color w:val="auto"/>
          <w:sz w:val="22"/>
          <w:szCs w:val="24"/>
          <w:shd w:val="clear" w:color="auto" w:fill="FFFFFF"/>
        </w:rPr>
      </w:pPr>
      <w:r w:rsidRPr="00521DE0">
        <w:rPr>
          <w:color w:val="auto"/>
          <w:sz w:val="22"/>
          <w:szCs w:val="24"/>
          <w:shd w:val="clear" w:color="auto" w:fill="FFFFFF"/>
        </w:rPr>
        <w:t xml:space="preserve">   The victim stated that this assault was completely unprovoked. This assault was</w:t>
      </w:r>
      <w:r w:rsidRPr="00521DE0">
        <w:rPr>
          <w:color w:val="FF0000"/>
          <w:sz w:val="22"/>
          <w:szCs w:val="24"/>
          <w:shd w:val="clear" w:color="auto" w:fill="FFFFFF"/>
        </w:rPr>
        <w:t xml:space="preserve"> </w:t>
      </w:r>
      <w:r w:rsidRPr="00521DE0">
        <w:rPr>
          <w:color w:val="auto"/>
          <w:sz w:val="22"/>
          <w:szCs w:val="24"/>
          <w:shd w:val="clear" w:color="auto" w:fill="FFFFFF"/>
        </w:rPr>
        <w:t xml:space="preserve">deemed an offence according to Section 18 of the Offences against the Person Act 1861 due to the extent of the injury caused. </w:t>
      </w:r>
    </w:p>
    <w:p w14:paraId="640F8CA3" w14:textId="77777777" w:rsidR="00F409EB" w:rsidRPr="00521DE0" w:rsidRDefault="00F409EB" w:rsidP="00F409EB">
      <w:pPr>
        <w:rPr>
          <w:color w:val="auto"/>
          <w:sz w:val="22"/>
          <w:szCs w:val="24"/>
          <w:shd w:val="clear" w:color="auto" w:fill="FFFFFF"/>
        </w:rPr>
      </w:pPr>
      <w:r w:rsidRPr="00521DE0">
        <w:rPr>
          <w:color w:val="auto"/>
          <w:sz w:val="22"/>
          <w:szCs w:val="24"/>
          <w:shd w:val="clear" w:color="auto" w:fill="FFFFFF"/>
        </w:rPr>
        <w:t xml:space="preserve">   Due to the victim being in hospital following the injury sustained during this assault, this incident wasn’t reported to police until 3-4 days after the alleged assault took place. Officers contacted the victim as soon as possible to provide the initial contact and support. When officers spoke to the victim, it was important to appreciate that the victim’s memory could be affected, due to the time lapse combined with the traumatic experience. Following a traumatic event there can be difficulties in memory recall, such as remembering the order of the events or even accessing the memory in the first place (Sachschal et al, 2019).</w:t>
      </w:r>
    </w:p>
    <w:p w14:paraId="43933E2E" w14:textId="77777777" w:rsidR="00F409EB" w:rsidRPr="00521DE0" w:rsidRDefault="00F409EB" w:rsidP="00F409EB">
      <w:pPr>
        <w:rPr>
          <w:color w:val="auto"/>
          <w:sz w:val="22"/>
          <w:szCs w:val="24"/>
          <w:shd w:val="clear" w:color="auto" w:fill="FFFFFF"/>
        </w:rPr>
      </w:pPr>
      <w:r w:rsidRPr="00521DE0">
        <w:rPr>
          <w:color w:val="auto"/>
          <w:sz w:val="22"/>
          <w:szCs w:val="24"/>
          <w:shd w:val="clear" w:color="auto" w:fill="FFFFFF"/>
        </w:rPr>
        <w:t xml:space="preserve">   Officers at the scene were understanding of this fact and allowed the victim as much time as necessary to recall the events of the crime.</w:t>
      </w:r>
      <w:r w:rsidRPr="00521DE0">
        <w:rPr>
          <w:color w:val="auto"/>
          <w:sz w:val="22"/>
          <w:szCs w:val="24"/>
          <w:shd w:val="clear" w:color="auto" w:fill="FFFFFF"/>
        </w:rPr>
        <w:br/>
        <w:t xml:space="preserve">   Additionally, due to the time lapse, the clothes that the victim had been wearing at the time that the crime occurred had been washed so there were no forensic opportunities available. It was essential to be transparent and honest with this fact so that the victim was fully informed of how the investigation was likely to progress.</w:t>
      </w:r>
    </w:p>
    <w:p w14:paraId="02C532F2" w14:textId="046A5351" w:rsidR="00F409EB" w:rsidRPr="00521DE0" w:rsidRDefault="00F409EB" w:rsidP="00F409EB">
      <w:pPr>
        <w:rPr>
          <w:color w:val="auto"/>
          <w:sz w:val="22"/>
          <w:szCs w:val="24"/>
          <w:shd w:val="clear" w:color="auto" w:fill="FFFFFF"/>
        </w:rPr>
      </w:pPr>
      <w:r w:rsidRPr="00521DE0">
        <w:rPr>
          <w:color w:val="FF0000"/>
          <w:sz w:val="22"/>
          <w:szCs w:val="24"/>
          <w:shd w:val="clear" w:color="auto" w:fill="FFFFFF"/>
        </w:rPr>
        <w:t xml:space="preserve">   </w:t>
      </w:r>
      <w:r w:rsidRPr="00521DE0">
        <w:rPr>
          <w:color w:val="auto"/>
          <w:sz w:val="22"/>
          <w:szCs w:val="24"/>
          <w:shd w:val="clear" w:color="auto" w:fill="FFFFFF"/>
        </w:rPr>
        <w:t>Updating the victim throughout the process was essential to ensure that the victim was satisfied with police action as in the last three years, victims who reported that they were “not satisfied” with their experience with police has slightly increased each year (Office for National Statistics, 2019).</w:t>
      </w:r>
      <w:r w:rsidRPr="00521DE0">
        <w:rPr>
          <w:color w:val="auto"/>
          <w:sz w:val="22"/>
          <w:szCs w:val="24"/>
          <w:shd w:val="clear" w:color="auto" w:fill="FFFFFF"/>
        </w:rPr>
        <w:br/>
        <w:t xml:space="preserve">   Focusing on statistics from hate crime victims, the latest statistics show hate crime victims are more likely to report that they were feeling very dissatisfied with the way that police handled the case overall when compared to other victims of crime, (Home Office, 2018</w:t>
      </w:r>
      <w:r w:rsidR="0021651C">
        <w:rPr>
          <w:color w:val="auto"/>
          <w:sz w:val="22"/>
          <w:szCs w:val="24"/>
          <w:shd w:val="clear" w:color="auto" w:fill="FFFFFF"/>
        </w:rPr>
        <w:t>a</w:t>
      </w:r>
      <w:r w:rsidRPr="00521DE0">
        <w:rPr>
          <w:color w:val="auto"/>
          <w:sz w:val="22"/>
          <w:szCs w:val="24"/>
          <w:shd w:val="clear" w:color="auto" w:fill="FFFFFF"/>
        </w:rPr>
        <w:t>). This incident was progressed with the professionalism of any other investigation, only with further consideration for the victim’s individual needs, the cultural differences and management of expectations to increase victim satisfaction.</w:t>
      </w:r>
    </w:p>
    <w:p w14:paraId="62402549" w14:textId="77777777" w:rsidR="00F409EB" w:rsidRPr="00521DE0" w:rsidRDefault="00F409EB" w:rsidP="00F409EB">
      <w:pPr>
        <w:rPr>
          <w:color w:val="auto"/>
          <w:sz w:val="22"/>
          <w:szCs w:val="24"/>
          <w:shd w:val="clear" w:color="auto" w:fill="FFFFFF"/>
        </w:rPr>
      </w:pPr>
      <w:r w:rsidRPr="00521DE0">
        <w:rPr>
          <w:color w:val="auto"/>
          <w:sz w:val="22"/>
          <w:szCs w:val="24"/>
          <w:shd w:val="clear" w:color="auto" w:fill="FFFFFF"/>
        </w:rPr>
        <w:t xml:space="preserve">   With regards to the cultural differences, during the first interaction with the victim, it was important to establish the victim’s first language in order to obtain a witness statement fairly and to act in conjunction with the Codes of Practice for Victims of Crime (Ministry of Justice, 2015). These Codes state that victims are entitled to request interpretation or translation services when reporting a crime. In this case, the victim’s first language was English and requested for the statement to be taken in this language. If the victim had requested an interpretation of his statement from the translation services that are available, then an interpreter would be contacted to attend to fully fulfil the victims’ needs. </w:t>
      </w:r>
    </w:p>
    <w:p w14:paraId="51E34447" w14:textId="77777777" w:rsidR="00F409EB" w:rsidRPr="00521DE0" w:rsidRDefault="00F409EB" w:rsidP="00F409EB">
      <w:pPr>
        <w:rPr>
          <w:color w:val="auto"/>
          <w:sz w:val="22"/>
          <w:szCs w:val="24"/>
          <w:shd w:val="clear" w:color="auto" w:fill="FFFFFF"/>
        </w:rPr>
      </w:pPr>
      <w:r w:rsidRPr="00521DE0">
        <w:rPr>
          <w:color w:val="auto"/>
          <w:sz w:val="22"/>
          <w:szCs w:val="24"/>
          <w:shd w:val="clear" w:color="auto" w:fill="FFFFFF"/>
        </w:rPr>
        <w:t xml:space="preserve">   The Codes of Practice for Victims of Crime, also known as the Victim’s Code, was introduced in the Domestic Violence, Crime and Victims Act 2004. This Code also states that in addition to the witness statement, a Victim Personal Statement (VPS) can be obtained from the victim to explain the impact of the crime (Ministry of Justice, 2015). It was explained to the victim that this can be read aloud in court, either by the victim himself or by the prosecution and the victim could be questioned on this statement if necessary. The VPS was offered and accepted by the victim in this case, who was able to voice that this incident had affected him greatly on a personal level. Officers fulfilled their responsibility to the victim here and adhered to the Victim’s Code. </w:t>
      </w:r>
      <w:r w:rsidRPr="00521DE0">
        <w:rPr>
          <w:color w:val="auto"/>
          <w:sz w:val="22"/>
          <w:szCs w:val="24"/>
          <w:shd w:val="clear" w:color="auto" w:fill="FFFFFF"/>
        </w:rPr>
        <w:br/>
        <w:t xml:space="preserve">   Special measures that can be applied for in court were also explained to the victim. This was explained in order to obtain the best possible evidence from the victim and to make him feel as comfortable as possible if the case progressed to court. Section 17 of the Youth Justice and Criminal Evidence Act (1999) states that witnesses are eligible for special measures if intimidation or fear would affect their testimony in court. These special measures include but are not limited to a screen being used in court to prevent the victim seeing the perpetrator or the victim giving evidence from a different room via video link. </w:t>
      </w:r>
    </w:p>
    <w:p w14:paraId="16BF31B6" w14:textId="77777777" w:rsidR="00F409EB" w:rsidRPr="00521DE0" w:rsidRDefault="00F409EB" w:rsidP="00F409EB">
      <w:pPr>
        <w:rPr>
          <w:color w:val="auto"/>
          <w:sz w:val="22"/>
          <w:szCs w:val="24"/>
          <w:shd w:val="clear" w:color="auto" w:fill="FFFFFF"/>
        </w:rPr>
      </w:pPr>
      <w:r w:rsidRPr="00521DE0">
        <w:rPr>
          <w:color w:val="auto"/>
          <w:sz w:val="22"/>
          <w:szCs w:val="24"/>
          <w:shd w:val="clear" w:color="auto" w:fill="FFFFFF"/>
        </w:rPr>
        <w:t xml:space="preserve">   Section 17 of this Act also states that a witness’ social and cultural background and their ethnic origin should be taken in to account – this was particularly relevant here with the victim of a racially aggravated hate crime. While the victim refused special measures initially, he was informed that he could change his mind at any time. </w:t>
      </w:r>
    </w:p>
    <w:p w14:paraId="3FE2C565" w14:textId="77777777" w:rsidR="00F409EB" w:rsidRPr="00521DE0" w:rsidRDefault="00F409EB" w:rsidP="00F409EB">
      <w:pPr>
        <w:rPr>
          <w:color w:val="FF0000"/>
          <w:sz w:val="22"/>
          <w:szCs w:val="24"/>
        </w:rPr>
      </w:pPr>
      <w:r w:rsidRPr="00521DE0">
        <w:rPr>
          <w:color w:val="auto"/>
          <w:sz w:val="22"/>
          <w:szCs w:val="24"/>
        </w:rPr>
        <w:lastRenderedPageBreak/>
        <w:t xml:space="preserve">  The initial meeting with the victim took place at the victim’s home address. It was important here to establish whether the victim was happy for police to attend and if so, for police to adhere to the cultural values of the household. For example, some traditional Asian households do not allow shoes in the house and expect guests to adhere to this. Prior to officers entering the house, this was clarified with the victim in order to show respect and understanding for the cultural differences.    </w:t>
      </w:r>
    </w:p>
    <w:p w14:paraId="79BB88F5" w14:textId="77777777" w:rsidR="00F409EB" w:rsidRPr="00521DE0" w:rsidRDefault="00F409EB" w:rsidP="00F409EB">
      <w:pPr>
        <w:rPr>
          <w:color w:val="auto"/>
          <w:sz w:val="22"/>
          <w:szCs w:val="24"/>
        </w:rPr>
      </w:pPr>
      <w:r w:rsidRPr="00521DE0">
        <w:rPr>
          <w:color w:val="auto"/>
          <w:sz w:val="22"/>
          <w:szCs w:val="24"/>
        </w:rPr>
        <w:t xml:space="preserve">   While obtaining the statement from the victim and asking the victim to go over the events of the incident, it was important to acknowledge the unique effects that a hate crime has on a victim. A previous study has shown that harm caused to hate crime victims is heightened due to the targeted aspect of the crime, (Benier, 2017). Benier’s study also states that individuals who are victims of hate crime can withdraw from society so officers had to be compassionate and ensure that the victim had all of the necessary support in place to move forward and cope with what had happened. The Victim’s Code states that victims’ details should be passed on to victim support services, such as Victim Support, to offer ongoing support unless refused by the victim. In this case, the victim refused support from victim services at the time but was reminded that this support could be given in the future. </w:t>
      </w:r>
    </w:p>
    <w:p w14:paraId="2A8213F8" w14:textId="77777777" w:rsidR="00F409EB" w:rsidRPr="00521DE0" w:rsidRDefault="00F409EB" w:rsidP="00F409EB">
      <w:pPr>
        <w:rPr>
          <w:color w:val="auto"/>
          <w:sz w:val="22"/>
          <w:szCs w:val="24"/>
        </w:rPr>
      </w:pPr>
      <w:r w:rsidRPr="00521DE0">
        <w:rPr>
          <w:color w:val="auto"/>
          <w:sz w:val="22"/>
          <w:szCs w:val="24"/>
        </w:rPr>
        <w:t xml:space="preserve">   In the process of giving his account, the victim highlighted a witness that may be able to provide additional evidence. This witness was also of ethnic minority origin and upon contact from officers, described how he had witnessed the racial abuse and the assault. Officers were aware that hate crime can have a lasting effect on individuals other than the victim, particularly those who are also of an ethnic minority group as they could fear becoming a victim themselves (Perry &amp; Alvi, 2012). In addition to providing support to the victim, it was imperative to ensure that the witness was emotionally supported after this encounter to avoid any further harm. Confidentiality remained at the forefront of officer’s minds when obtaining a statement from the witness to protect the victim’s privacy. </w:t>
      </w:r>
    </w:p>
    <w:p w14:paraId="5B44D966" w14:textId="77777777" w:rsidR="00F409EB" w:rsidRPr="00521DE0" w:rsidRDefault="00F409EB" w:rsidP="00F409EB">
      <w:pPr>
        <w:rPr>
          <w:color w:val="auto"/>
          <w:sz w:val="22"/>
          <w:szCs w:val="24"/>
        </w:rPr>
      </w:pPr>
      <w:r w:rsidRPr="00521DE0">
        <w:rPr>
          <w:color w:val="auto"/>
          <w:sz w:val="22"/>
          <w:szCs w:val="24"/>
        </w:rPr>
        <w:t xml:space="preserve">   As per the aforementioned Victim’s Code, the victim was informed at each stage following the identification of the perpetrator – the victim was updated when the suspect was arrested, interviewed under caution and subsequently remanded in prison for this offence.</w:t>
      </w:r>
    </w:p>
    <w:p w14:paraId="7B5502C1" w14:textId="78181B07" w:rsidR="00F409EB" w:rsidRPr="00521DE0" w:rsidRDefault="00F409EB" w:rsidP="00F409EB">
      <w:pPr>
        <w:rPr>
          <w:color w:val="auto"/>
          <w:sz w:val="22"/>
          <w:szCs w:val="24"/>
        </w:rPr>
      </w:pPr>
      <w:r w:rsidRPr="00521DE0">
        <w:rPr>
          <w:color w:val="auto"/>
          <w:sz w:val="22"/>
          <w:szCs w:val="24"/>
        </w:rPr>
        <w:t xml:space="preserve">   Upon reflection, it is fair to say that throughout the ongoing investigation, officers regularly engaged with the core policing values in order to conduct themselves appropriately. These fundamental values are known as the Code of Ethics and were initially introduced as a result of the Police Act 1996 but were later amended by the </w:t>
      </w:r>
      <w:r w:rsidRPr="00521DE0">
        <w:rPr>
          <w:sz w:val="22"/>
          <w:szCs w:val="24"/>
        </w:rPr>
        <w:t>Anti-Social Behaviour, Crime and Policing Act 2014 (College of Policing, 2014</w:t>
      </w:r>
      <w:r w:rsidR="00770902">
        <w:rPr>
          <w:sz w:val="22"/>
          <w:szCs w:val="24"/>
        </w:rPr>
        <w:t>a</w:t>
      </w:r>
      <w:r w:rsidRPr="00521DE0">
        <w:rPr>
          <w:sz w:val="22"/>
          <w:szCs w:val="24"/>
        </w:rPr>
        <w:t xml:space="preserve">). These values include equality and diversity and challenging and reporting improper conduct. </w:t>
      </w:r>
      <w:r w:rsidRPr="00521DE0">
        <w:rPr>
          <w:sz w:val="22"/>
          <w:szCs w:val="24"/>
        </w:rPr>
        <w:br/>
        <w:t xml:space="preserve">   </w:t>
      </w:r>
      <w:r w:rsidRPr="00521DE0">
        <w:rPr>
          <w:color w:val="auto"/>
          <w:sz w:val="22"/>
          <w:szCs w:val="24"/>
        </w:rPr>
        <w:t xml:space="preserve">During this investigation, </w:t>
      </w:r>
      <w:r w:rsidRPr="00521DE0">
        <w:rPr>
          <w:sz w:val="22"/>
          <w:szCs w:val="24"/>
        </w:rPr>
        <w:t xml:space="preserve">officers acted with the values of </w:t>
      </w:r>
      <w:r w:rsidRPr="00521DE0">
        <w:rPr>
          <w:color w:val="auto"/>
          <w:sz w:val="22"/>
          <w:szCs w:val="24"/>
        </w:rPr>
        <w:t>integrity, equality and diversity in mind. As well as considering all of the victimisation differences associated with hate crime, officers still had to treat the victim the same as any other victim. The investigation was conducted in the same manner, where officers followed the same procedures and placed the same emphasis on the victim and minimising harm.</w:t>
      </w:r>
      <w:r w:rsidRPr="00521DE0">
        <w:rPr>
          <w:color w:val="auto"/>
          <w:sz w:val="22"/>
          <w:szCs w:val="24"/>
        </w:rPr>
        <w:br/>
        <w:t xml:space="preserve">   Additionally, another core value instigated here was authority, respect and courtesy. Officers acted with the upmost respect for the victim and his culture.  </w:t>
      </w:r>
    </w:p>
    <w:p w14:paraId="0757AB1D" w14:textId="77777777" w:rsidR="00F409EB" w:rsidRPr="00521DE0" w:rsidRDefault="00F409EB" w:rsidP="00F409EB">
      <w:pPr>
        <w:rPr>
          <w:color w:val="auto"/>
          <w:sz w:val="22"/>
          <w:szCs w:val="24"/>
        </w:rPr>
      </w:pPr>
      <w:r w:rsidRPr="00521DE0">
        <w:rPr>
          <w:color w:val="auto"/>
          <w:sz w:val="22"/>
          <w:szCs w:val="24"/>
        </w:rPr>
        <w:t>Previous studies have shown that there can be a higher level of distrust in the police from those of an ethnic minority group (Peck, 2015). This distrust could be because historically the police have had a bad reputation for their treatment of racially aggravated crimes and the victims, for example during the Stephen Lawrence investigation (Collier, 1999).</w:t>
      </w:r>
      <w:r w:rsidRPr="00521DE0">
        <w:rPr>
          <w:color w:val="FF0000"/>
          <w:sz w:val="22"/>
          <w:szCs w:val="24"/>
        </w:rPr>
        <w:br/>
      </w:r>
      <w:r w:rsidRPr="00521DE0">
        <w:rPr>
          <w:color w:val="auto"/>
          <w:sz w:val="22"/>
          <w:szCs w:val="24"/>
        </w:rPr>
        <w:t xml:space="preserve">   The racism of police officers and police forces as a whole continues to be in the media to this day. One newspaper article published in 2019 states that institutional racism is still an issue within the Metropolitan police (Maxwell, 2019). It is fair to say that a victim of a hate crime who reads this article could refrain from reporting this crime out of fear of not being taken seriously. </w:t>
      </w:r>
      <w:r w:rsidRPr="00521DE0">
        <w:rPr>
          <w:color w:val="auto"/>
          <w:sz w:val="22"/>
          <w:szCs w:val="24"/>
        </w:rPr>
        <w:br/>
        <w:t xml:space="preserve">   Some statistics support this - despite figures showing that the reporting of hate crimes has increased earlier in this essay, the reporting of </w:t>
      </w:r>
      <w:r w:rsidRPr="00521DE0">
        <w:rPr>
          <w:color w:val="auto"/>
          <w:sz w:val="22"/>
          <w:szCs w:val="24"/>
          <w:shd w:val="clear" w:color="auto" w:fill="FFFFFF"/>
        </w:rPr>
        <w:t xml:space="preserve">racially and religiously aggravated crimes specifically has decreased significantly by 17.2% (CPS, 2019). </w:t>
      </w:r>
      <w:r w:rsidRPr="00521DE0">
        <w:rPr>
          <w:color w:val="auto"/>
          <w:sz w:val="22"/>
          <w:szCs w:val="24"/>
        </w:rPr>
        <w:t>It should not be ignored that the lack of trust in the police could be a factor in this decrease, rather than the fact that the crime is reducing.</w:t>
      </w:r>
    </w:p>
    <w:p w14:paraId="494C3AE5" w14:textId="77777777" w:rsidR="00F409EB" w:rsidRPr="00521DE0" w:rsidRDefault="00F409EB" w:rsidP="00F409EB">
      <w:pPr>
        <w:rPr>
          <w:color w:val="auto"/>
          <w:sz w:val="22"/>
          <w:szCs w:val="24"/>
        </w:rPr>
      </w:pPr>
      <w:r w:rsidRPr="00521DE0">
        <w:rPr>
          <w:color w:val="auto"/>
          <w:sz w:val="22"/>
          <w:szCs w:val="24"/>
        </w:rPr>
        <w:lastRenderedPageBreak/>
        <w:t xml:space="preserve">   However, in contrast, findings from surveys conducted from 2013 to 2018 show that in 2018, 80% of people of Asian ethnicity aged 16 years old and above had confidence in their local police (Office for National Statistics, 2018). This has been a steady percentage since the survey began in 2013.</w:t>
      </w:r>
      <w:r w:rsidRPr="00521DE0">
        <w:rPr>
          <w:color w:val="auto"/>
          <w:sz w:val="22"/>
          <w:szCs w:val="24"/>
        </w:rPr>
        <w:br/>
        <w:t xml:space="preserve">   Therefore, it was important to fully support the victim and be accountable and transparent during this investigation to maintain confidence levels in the police. Reflecting on the investigation was a useful tool for accountability and has assisted the overall learning experience by highlighting what works for the future. </w:t>
      </w:r>
      <w:r w:rsidRPr="00521DE0">
        <w:rPr>
          <w:color w:val="auto"/>
          <w:sz w:val="22"/>
          <w:szCs w:val="24"/>
        </w:rPr>
        <w:br/>
        <w:t xml:space="preserve">   Borton’s reflective tool asks the questions; “What? So What? Now What?” (Stonehouse, 2011). This tool states that the events should be analysed to establish what took place from the information gained during the initial encounter with the victim. This allowed officers to establish what offences had been committed and what further enquiries could be made – in this case, it was the identification of the witness. </w:t>
      </w:r>
      <w:r w:rsidRPr="00521DE0">
        <w:rPr>
          <w:color w:val="auto"/>
          <w:sz w:val="22"/>
          <w:szCs w:val="24"/>
        </w:rPr>
        <w:br/>
        <w:t xml:space="preserve">   The next stage of this reflective cycle focuses on the significance of what has happened – the impact of harm on the victim as well as other members of the ethnic minority group. Offering the available support to the victim and the witness was imperative.</w:t>
      </w:r>
      <w:r w:rsidRPr="00521DE0">
        <w:rPr>
          <w:color w:val="auto"/>
          <w:sz w:val="22"/>
          <w:szCs w:val="24"/>
        </w:rPr>
        <w:br/>
        <w:t xml:space="preserve">   The last stage of the process reflects on how the learning process throughout Borton’s cycle will inform future practices. In this circumstance, the potential long-term impact of the crime on the victim and the considerate and empathetic treatment of the victim by officers has informed how future hate crime investigations should progress. In particular, the forethought given to the victim with regards to their culture and language preference was important and will certainly be a focal point in future investigations with a hate element. This treatment would also be important going forward with regards to eliminating any potential future under-reporting of hate crimes.</w:t>
      </w:r>
    </w:p>
    <w:p w14:paraId="0C7C4859" w14:textId="77777777" w:rsidR="00F409EB" w:rsidRPr="00521DE0" w:rsidRDefault="00F409EB" w:rsidP="00F409EB">
      <w:pPr>
        <w:rPr>
          <w:color w:val="auto"/>
          <w:sz w:val="22"/>
          <w:szCs w:val="24"/>
        </w:rPr>
      </w:pPr>
      <w:r w:rsidRPr="00521DE0">
        <w:rPr>
          <w:color w:val="auto"/>
          <w:sz w:val="22"/>
          <w:szCs w:val="24"/>
        </w:rPr>
        <w:t xml:space="preserve">   In conclusion, this incident relates to a racially aggravated assault against a victim of Asian ethnicity. Officers who attended acted with respect and compassion for the victim by engaging core policing values regarding victim support. It was imperative that officers adhered to the Victim’s Code when engaging with the victim. </w:t>
      </w:r>
      <w:r w:rsidRPr="00521DE0">
        <w:rPr>
          <w:color w:val="auto"/>
          <w:sz w:val="22"/>
          <w:szCs w:val="24"/>
        </w:rPr>
        <w:br/>
        <w:t xml:space="preserve">   When dealing with such an emotive incident, a reflection of officers’ behaviours and responsibilities and the impact of the treatment of the victim was continuous to prevent causing further harm. Officers acted with impartiality in order to fairly and effectively conduct the investigation. </w:t>
      </w:r>
    </w:p>
    <w:p w14:paraId="53D8D511" w14:textId="77777777" w:rsidR="00112751" w:rsidRPr="00521DE0" w:rsidRDefault="00112751" w:rsidP="00E6298B">
      <w:pPr>
        <w:ind w:right="107"/>
        <w:jc w:val="both"/>
        <w:rPr>
          <w:sz w:val="32"/>
          <w:szCs w:val="24"/>
          <w:u w:val="single"/>
        </w:rPr>
      </w:pPr>
    </w:p>
    <w:p w14:paraId="32933C98" w14:textId="6FF23D3E" w:rsidR="00AA666E" w:rsidRPr="000B1E96" w:rsidRDefault="00521DE0" w:rsidP="00E6298B">
      <w:pPr>
        <w:ind w:right="107"/>
      </w:pPr>
      <w:r w:rsidRPr="00521DE0">
        <w:rPr>
          <w:sz w:val="24"/>
          <w:u w:val="single"/>
        </w:rPr>
        <w:t>2256 words</w:t>
      </w:r>
      <w:r w:rsidR="00025650">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8A9B94D">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389B9345" w14:textId="6CE5EB88" w:rsidR="006C7CA5" w:rsidRDefault="28A9B94D" w:rsidP="28A9B94D">
            <w:pPr>
              <w:ind w:right="107"/>
              <w:jc w:val="both"/>
              <w:rPr>
                <w:sz w:val="24"/>
                <w:szCs w:val="24"/>
              </w:rPr>
            </w:pPr>
            <w:r w:rsidRPr="28A9B94D">
              <w:rPr>
                <w:b/>
                <w:bCs/>
                <w:sz w:val="24"/>
                <w:szCs w:val="24"/>
              </w:rPr>
              <w:t>Critically assess</w:t>
            </w:r>
            <w:r w:rsidRPr="28A9B94D">
              <w:rPr>
                <w:sz w:val="24"/>
                <w:szCs w:val="24"/>
              </w:rPr>
              <w:t xml:space="preserve"> the situation including social and legislative contexts and any relevant cultural, ethnicity and language issues. </w:t>
            </w:r>
            <w:r w:rsidRPr="28A9B94D">
              <w:rPr>
                <w:b/>
                <w:bCs/>
                <w:sz w:val="24"/>
                <w:szCs w:val="24"/>
              </w:rPr>
              <w:t>Reflect</w:t>
            </w:r>
            <w:r w:rsidRPr="28A9B94D">
              <w:rPr>
                <w:sz w:val="24"/>
                <w:szCs w:val="24"/>
              </w:rPr>
              <w:t xml:space="preserve"> on how you applied the National Decision Model (NDM) to assist in resolving this incident. </w:t>
            </w:r>
            <w:r w:rsidRPr="28A9B94D">
              <w:rPr>
                <w:b/>
                <w:bCs/>
                <w:sz w:val="24"/>
                <w:szCs w:val="24"/>
              </w:rPr>
              <w:t>Evaluate</w:t>
            </w:r>
            <w:r w:rsidRPr="28A9B94D">
              <w:rPr>
                <w:sz w:val="24"/>
                <w:szCs w:val="24"/>
              </w:rPr>
              <w:t xml:space="preserve"> the role of discretion in the decision-making process. </w:t>
            </w:r>
          </w:p>
          <w:p w14:paraId="436D81BA" w14:textId="77777777" w:rsidR="006C7CA5" w:rsidRDefault="006C7CA5" w:rsidP="00E6298B">
            <w:pPr>
              <w:ind w:right="107"/>
              <w:jc w:val="both"/>
              <w:rPr>
                <w:sz w:val="24"/>
                <w:szCs w:val="24"/>
              </w:rPr>
            </w:pPr>
          </w:p>
          <w:p w14:paraId="5B16973B" w14:textId="27FFABCF" w:rsidR="006C7CA5" w:rsidRDefault="28A9B94D" w:rsidP="28A9B94D">
            <w:pPr>
              <w:ind w:right="107"/>
              <w:jc w:val="both"/>
              <w:rPr>
                <w:sz w:val="24"/>
                <w:szCs w:val="24"/>
              </w:rPr>
            </w:pPr>
            <w:r w:rsidRPr="28A9B94D">
              <w:rPr>
                <w:b/>
                <w:bCs/>
                <w:sz w:val="24"/>
                <w:szCs w:val="24"/>
              </w:rPr>
              <w:t>Determine</w:t>
            </w:r>
            <w:r w:rsidRPr="28A9B94D">
              <w:rPr>
                <w:sz w:val="24"/>
                <w:szCs w:val="24"/>
              </w:rPr>
              <w:t xml:space="preserve"> your responsibilities with regards to the provision of the CPIA when conducting this investigation including when managing the offender and suspects and recording and retaining significant information.</w:t>
            </w:r>
          </w:p>
          <w:p w14:paraId="0CB4AA66" w14:textId="77777777" w:rsidR="006C7CA5" w:rsidRDefault="006C7CA5" w:rsidP="00E6298B">
            <w:pPr>
              <w:ind w:right="107"/>
              <w:jc w:val="both"/>
              <w:rPr>
                <w:sz w:val="24"/>
                <w:szCs w:val="24"/>
              </w:rPr>
            </w:pPr>
          </w:p>
          <w:p w14:paraId="09F9B71E" w14:textId="229B3D18" w:rsidR="006C7CA5" w:rsidRPr="00270EEB" w:rsidRDefault="28A9B94D" w:rsidP="28A9B94D">
            <w:pPr>
              <w:ind w:right="107"/>
              <w:jc w:val="both"/>
              <w:rPr>
                <w:sz w:val="24"/>
                <w:szCs w:val="24"/>
              </w:rPr>
            </w:pPr>
            <w:r w:rsidRPr="28A9B94D">
              <w:rPr>
                <w:b/>
                <w:bCs/>
                <w:sz w:val="24"/>
                <w:szCs w:val="24"/>
              </w:rPr>
              <w:t>Illustrate</w:t>
            </w:r>
            <w:r w:rsidRPr="28A9B94D">
              <w:rPr>
                <w:sz w:val="24"/>
                <w:szCs w:val="24"/>
              </w:rPr>
              <w:t xml:space="preserve"> how policing values were engaged particularly through </w:t>
            </w:r>
            <w:r w:rsidRPr="28A9B94D">
              <w:rPr>
                <w:b/>
                <w:bCs/>
                <w:sz w:val="24"/>
                <w:szCs w:val="24"/>
              </w:rPr>
              <w:t>an assessment</w:t>
            </w:r>
            <w:r w:rsidRPr="28A9B94D">
              <w:rPr>
                <w:sz w:val="24"/>
                <w:szCs w:val="24"/>
              </w:rPr>
              <w:t xml:space="preserve"> of the potential impact of bias on the decision-making process.</w:t>
            </w:r>
          </w:p>
          <w:p w14:paraId="4BF2A5E2" w14:textId="77777777" w:rsidR="006C7CA5" w:rsidRPr="00270EEB" w:rsidRDefault="006C7CA5" w:rsidP="00E6298B">
            <w:pPr>
              <w:ind w:right="107"/>
              <w:rPr>
                <w:sz w:val="24"/>
                <w:szCs w:val="24"/>
              </w:rPr>
            </w:pPr>
          </w:p>
          <w:p w14:paraId="36D29A7B" w14:textId="77777777" w:rsidR="006C7CA5" w:rsidRPr="00270EEB" w:rsidRDefault="006C7CA5" w:rsidP="00E6298B">
            <w:pPr>
              <w:ind w:right="107"/>
              <w:jc w:val="both"/>
              <w:rPr>
                <w:sz w:val="24"/>
                <w:szCs w:val="24"/>
              </w:rPr>
            </w:pPr>
          </w:p>
          <w:p w14:paraId="487D302F" w14:textId="6A9C7337" w:rsidR="006C7CA5"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329987BF" w14:textId="77777777" w:rsidR="00521DE0" w:rsidRPr="00521DE0" w:rsidRDefault="00521DE0" w:rsidP="00521DE0">
      <w:pPr>
        <w:rPr>
          <w:color w:val="2A2A2A"/>
          <w:sz w:val="22"/>
          <w:szCs w:val="23"/>
          <w:shd w:val="clear" w:color="auto" w:fill="FFFFFF"/>
        </w:rPr>
      </w:pPr>
      <w:r>
        <w:rPr>
          <w:color w:val="2A2A2A"/>
          <w:sz w:val="23"/>
          <w:szCs w:val="23"/>
          <w:shd w:val="clear" w:color="auto" w:fill="FFFFFF"/>
        </w:rPr>
        <w:t xml:space="preserve">   </w:t>
      </w:r>
      <w:r w:rsidRPr="00521DE0">
        <w:rPr>
          <w:color w:val="2A2A2A"/>
          <w:sz w:val="22"/>
          <w:szCs w:val="23"/>
          <w:shd w:val="clear" w:color="auto" w:fill="FFFFFF"/>
        </w:rPr>
        <w:t xml:space="preserve">This essay will look at a prolific offender who was interviewed by police in relation to six counts of theft from a store. It will explore how social contexts contributed to this reoffending behaviour. The essay will also describe how the National Decision Model was implemented to make the decision on how to progress the investigation appropriately and how this has provided learning outcomes for future investigations. It will also look at the importance of managing and retaining information according to the Criminal Procedure and Investigations Act 1996 (CPIA) when dealing with offenders. </w:t>
      </w:r>
    </w:p>
    <w:p w14:paraId="46F985A6" w14:textId="77777777" w:rsidR="00521DE0" w:rsidRPr="00521DE0" w:rsidRDefault="00521DE0" w:rsidP="00521DE0">
      <w:pPr>
        <w:rPr>
          <w:color w:val="2A2A2A"/>
          <w:sz w:val="22"/>
          <w:szCs w:val="23"/>
          <w:shd w:val="clear" w:color="auto" w:fill="FFFFFF"/>
        </w:rPr>
      </w:pPr>
      <w:r w:rsidRPr="00521DE0">
        <w:rPr>
          <w:color w:val="2A2A2A"/>
          <w:sz w:val="22"/>
          <w:szCs w:val="23"/>
          <w:shd w:val="clear" w:color="auto" w:fill="FFFFFF"/>
        </w:rPr>
        <w:t xml:space="preserve">   This investigation relates to a female offender who was brought in for a voluntary attendee interview concerning six counts of theft. These thefts involved shoplifting from various stores in her hometown and took place over a four month period. </w:t>
      </w:r>
    </w:p>
    <w:p w14:paraId="6D891448" w14:textId="60BF99EA" w:rsidR="00521DE0" w:rsidRPr="00521DE0" w:rsidRDefault="00521DE0" w:rsidP="00521DE0">
      <w:pPr>
        <w:rPr>
          <w:color w:val="2A2A2A"/>
          <w:sz w:val="22"/>
          <w:szCs w:val="23"/>
          <w:shd w:val="clear" w:color="auto" w:fill="FFFFFF"/>
        </w:rPr>
      </w:pPr>
      <w:r w:rsidRPr="00521DE0">
        <w:rPr>
          <w:color w:val="2A2A2A"/>
          <w:sz w:val="22"/>
          <w:szCs w:val="23"/>
          <w:shd w:val="clear" w:color="auto" w:fill="FFFFFF"/>
        </w:rPr>
        <w:t xml:space="preserve">   Due to the prolific offending, it was important to ask the offender why she felt the need to continuously offend. It was disclosed that shoplifting was a means of funding her previous drug habit, for which she was in recovery at the time. Kopak conducted a study along with other researchers and found that this a common route that drug users take in to offending – committing crimes for economic gain in order to pay for their drug habits (Kopak et al 2013). </w:t>
      </w:r>
      <w:r w:rsidRPr="00521DE0">
        <w:rPr>
          <w:color w:val="2A2A2A"/>
          <w:sz w:val="22"/>
          <w:szCs w:val="23"/>
          <w:shd w:val="clear" w:color="auto" w:fill="FFFFFF"/>
        </w:rPr>
        <w:br/>
        <w:t xml:space="preserve">   Exploring the social aspects of this offence meant that any contributing factors could be established and the necessary support could be offered to the offender. In this case, the offender was already in recovery from a drug habit and felt sufficiently supported. </w:t>
      </w:r>
      <w:r w:rsidRPr="00521DE0">
        <w:rPr>
          <w:color w:val="2A2A2A"/>
          <w:sz w:val="22"/>
          <w:szCs w:val="23"/>
          <w:shd w:val="clear" w:color="auto" w:fill="FFFFFF"/>
        </w:rPr>
        <w:br/>
        <w:t xml:space="preserve">   From this, officers could help to support and potentially stop the individual from reoffending so this is an aspect of the interviewing process that officers will certainly use in future cases. While the social element and the disclosure by the offender was taken in to the account, the offence was dealt as would any other case relating to a theft. </w:t>
      </w:r>
      <w:r w:rsidRPr="00521DE0">
        <w:rPr>
          <w:color w:val="2A2A2A"/>
          <w:sz w:val="22"/>
          <w:szCs w:val="23"/>
          <w:shd w:val="clear" w:color="auto" w:fill="FFFFFF"/>
        </w:rPr>
        <w:br/>
      </w:r>
      <w:r w:rsidRPr="00521DE0">
        <w:rPr>
          <w:color w:val="2A2A2A"/>
          <w:sz w:val="22"/>
          <w:szCs w:val="23"/>
          <w:shd w:val="clear" w:color="auto" w:fill="FFFFFF"/>
        </w:rPr>
        <w:lastRenderedPageBreak/>
        <w:t xml:space="preserve">   The National Decision Model, introduced by the College of Policing in order to analyse the decision-making process (College of Policing, 2014</w:t>
      </w:r>
      <w:r w:rsidR="00770902">
        <w:rPr>
          <w:color w:val="2A2A2A"/>
          <w:sz w:val="22"/>
          <w:szCs w:val="23"/>
          <w:shd w:val="clear" w:color="auto" w:fill="FFFFFF"/>
        </w:rPr>
        <w:t>b</w:t>
      </w:r>
      <w:r w:rsidRPr="00521DE0">
        <w:rPr>
          <w:color w:val="2A2A2A"/>
          <w:sz w:val="22"/>
          <w:szCs w:val="23"/>
          <w:shd w:val="clear" w:color="auto" w:fill="FFFFFF"/>
        </w:rPr>
        <w:t xml:space="preserve">) was used in this investigation to assist with resolving this incident. </w:t>
      </w:r>
      <w:r w:rsidRPr="00521DE0">
        <w:rPr>
          <w:color w:val="2A2A2A"/>
          <w:sz w:val="22"/>
          <w:szCs w:val="23"/>
          <w:shd w:val="clear" w:color="auto" w:fill="FFFFFF"/>
        </w:rPr>
        <w:br/>
        <w:t xml:space="preserve">   The relevant incidents were reviewed in great detail to gather the available information and intelligence. This initially involved gathering the evidence available which allowed officers to identify the female offender. The CCTV footage that showed the offender committing the thefts was seized and a statement was completed by the seizing officer. Witness statements were obtained from the shop managers working in the stores where the offender stole items to give evidence on behalf of the company. </w:t>
      </w:r>
    </w:p>
    <w:p w14:paraId="3EDC0C56" w14:textId="7F3BD6D6" w:rsidR="00521DE0" w:rsidRPr="00521DE0" w:rsidRDefault="00521DE0" w:rsidP="00521DE0">
      <w:pPr>
        <w:rPr>
          <w:color w:val="2A2A2A"/>
          <w:sz w:val="22"/>
          <w:szCs w:val="23"/>
          <w:shd w:val="clear" w:color="auto" w:fill="FFFFFF"/>
        </w:rPr>
      </w:pPr>
      <w:r w:rsidRPr="00521DE0">
        <w:rPr>
          <w:color w:val="2A2A2A"/>
          <w:sz w:val="22"/>
          <w:szCs w:val="23"/>
          <w:shd w:val="clear" w:color="auto" w:fill="FFFFFF"/>
        </w:rPr>
        <w:t xml:space="preserve">   The legislation relating to these six offences was reviewed and it was confirmed that the female offender had committed offences contrary to Section 1 of the Theft Act 1968. The points to prove for the offence established in the legislation were looked at and used to form a plan for the interview questions.</w:t>
      </w:r>
      <w:r w:rsidRPr="00521DE0">
        <w:rPr>
          <w:color w:val="2A2A2A"/>
          <w:sz w:val="22"/>
          <w:szCs w:val="23"/>
          <w:shd w:val="clear" w:color="auto" w:fill="FFFFFF"/>
        </w:rPr>
        <w:br/>
        <w:t xml:space="preserve">    Once the female had been identified, her warning markers held on police systems were reviewed for officer’s safety during an ongoing risk assessment. For example, it would be important for officers to note whether the female offender had any warning markers for assaults on police. Her previous offending history was looked at to determine whether this was a pattern of behaviour for the offender. </w:t>
      </w:r>
      <w:r w:rsidRPr="00521DE0">
        <w:rPr>
          <w:color w:val="2A2A2A"/>
          <w:sz w:val="22"/>
          <w:szCs w:val="23"/>
          <w:shd w:val="clear" w:color="auto" w:fill="FFFFFF"/>
        </w:rPr>
        <w:br/>
        <w:t xml:space="preserve">      This risk assessment was necessary to establish any potential threat or risk of harm to both the interviewing officers and the female being interviewed. For example, the distance of the interviewing officers from the exit door in the interview room was taken in to account to ensure that officers were near the door should a quick escape become necessary. </w:t>
      </w:r>
      <w:r w:rsidRPr="00521DE0">
        <w:rPr>
          <w:color w:val="2A2A2A"/>
          <w:sz w:val="22"/>
          <w:szCs w:val="23"/>
          <w:shd w:val="clear" w:color="auto" w:fill="FFFFFF"/>
        </w:rPr>
        <w:br/>
        <w:t xml:space="preserve">   The next stage of the NDM involves considering police powers and policies. This involved implementing police policies to gather the relevant information. In this circumstance, the voluntary attendance interview policies were implemented to conduct a fair and lawful interview according to the Police and Criminal Evidence Act 1984. This included providing the interviewee with a copy of their rights during the interview and thereafter (Home Office, 2018</w:t>
      </w:r>
      <w:r w:rsidR="0021651C">
        <w:rPr>
          <w:color w:val="2A2A2A"/>
          <w:sz w:val="22"/>
          <w:szCs w:val="23"/>
          <w:shd w:val="clear" w:color="auto" w:fill="FFFFFF"/>
        </w:rPr>
        <w:t>b</w:t>
      </w:r>
      <w:r w:rsidRPr="00521DE0">
        <w:rPr>
          <w:color w:val="2A2A2A"/>
          <w:sz w:val="22"/>
          <w:szCs w:val="23"/>
          <w:shd w:val="clear" w:color="auto" w:fill="FFFFFF"/>
        </w:rPr>
        <w:t xml:space="preserve">). As per Section 29 of the Police and Criminal Evidence Act 1984, the offender was informed that she was entitled to leave at any time and would be informed immediately if she was to be placed under arrest to keep her there to assist with the investigation. </w:t>
      </w:r>
      <w:r w:rsidRPr="00521DE0">
        <w:rPr>
          <w:color w:val="2A2A2A"/>
          <w:sz w:val="22"/>
          <w:szCs w:val="23"/>
          <w:shd w:val="clear" w:color="auto" w:fill="FFFFFF"/>
        </w:rPr>
        <w:br/>
        <w:t xml:space="preserve">   The interview was recorded on body worn camera and the footage was retained as stated in Codes E and F of the Police and Criminal Evidence Act 1984. This involved the footage being uploaded to a secure database to which the relevant bodies would have access to it, such as the Crown Prosecution Service. </w:t>
      </w:r>
    </w:p>
    <w:p w14:paraId="1AD21497" w14:textId="77777777" w:rsidR="00521DE0" w:rsidRPr="00521DE0" w:rsidRDefault="00521DE0" w:rsidP="00521DE0">
      <w:pPr>
        <w:rPr>
          <w:color w:val="2A2A2A"/>
          <w:sz w:val="22"/>
          <w:szCs w:val="23"/>
          <w:shd w:val="clear" w:color="auto" w:fill="FFFFFF"/>
        </w:rPr>
      </w:pPr>
      <w:r w:rsidRPr="00521DE0">
        <w:rPr>
          <w:color w:val="2A2A2A"/>
          <w:sz w:val="22"/>
          <w:szCs w:val="23"/>
          <w:shd w:val="clear" w:color="auto" w:fill="FFFFFF"/>
        </w:rPr>
        <w:t xml:space="preserve">   The powers and policies that were implemented depended on what options were identified going forward. This leads on to the fourth stage of the NDM which involves identifying the options and contingencies. Many options were available to the officers dealing with the investigation, for example, a contemporaneous interview which is an interview under caution that is recorded but can be conducted a place other than a police station. </w:t>
      </w:r>
      <w:r w:rsidRPr="00521DE0">
        <w:rPr>
          <w:color w:val="auto"/>
          <w:sz w:val="22"/>
          <w:szCs w:val="23"/>
          <w:shd w:val="clear" w:color="auto" w:fill="FFFFFF"/>
        </w:rPr>
        <w:t xml:space="preserve">This was discussed and was deemed as insufficient due to the number and type of offences and total value of loss to the companies. </w:t>
      </w:r>
      <w:r w:rsidRPr="00521DE0">
        <w:rPr>
          <w:color w:val="auto"/>
          <w:sz w:val="22"/>
          <w:szCs w:val="23"/>
          <w:shd w:val="clear" w:color="auto" w:fill="FFFFFF"/>
        </w:rPr>
        <w:br/>
        <w:t xml:space="preserve">   Additionally, officers explored another option available to them which involved arresting the female for these offences. Officers could have used the power of arrest given to a constable under </w:t>
      </w:r>
      <w:r w:rsidRPr="00521DE0">
        <w:rPr>
          <w:color w:val="2A2A2A"/>
          <w:sz w:val="22"/>
          <w:szCs w:val="23"/>
          <w:shd w:val="clear" w:color="auto" w:fill="FFFFFF"/>
        </w:rPr>
        <w:t xml:space="preserve">Section 24 of the Police and Criminal Evidence Act 1984. </w:t>
      </w:r>
    </w:p>
    <w:p w14:paraId="086C9410" w14:textId="77777777" w:rsidR="00521DE0" w:rsidRPr="00521DE0" w:rsidRDefault="00521DE0" w:rsidP="00521DE0">
      <w:pPr>
        <w:rPr>
          <w:color w:val="2A2A2A"/>
          <w:sz w:val="22"/>
          <w:szCs w:val="23"/>
          <w:shd w:val="clear" w:color="auto" w:fill="FFFFFF"/>
        </w:rPr>
      </w:pPr>
      <w:r w:rsidRPr="00521DE0">
        <w:rPr>
          <w:color w:val="2A2A2A"/>
          <w:sz w:val="22"/>
          <w:szCs w:val="23"/>
          <w:shd w:val="clear" w:color="auto" w:fill="FFFFFF"/>
        </w:rPr>
        <w:t xml:space="preserve">However, for this arrest to be effected, the crime and the offender would have to pass the ‘necessity test’. This is the common term used by police officers to determine whether an arrest is necessary and lawful. The necessities for arrest are also outlined in Section 24 of the Police and Criminal Evidence Act 1984 and state that a constable can arrest if they have reasonable grounds for believing that the arrest will, among others, prevent the person arrested from causing harm to another or to prevent any loss or damage to property. The latter was discussed as a matter of progressing this investigation with regards to the potential losses to further businesses in the vicinity. While weighing up the various methods available, officers used their discretion to make the final decision. It was determined that due to the time lapse between the offences being committed and the female offender being identified and contacted, a voluntary attendee interview would be the most appropriate. </w:t>
      </w:r>
      <w:r w:rsidRPr="00521DE0">
        <w:rPr>
          <w:color w:val="2A2A2A"/>
          <w:sz w:val="22"/>
          <w:szCs w:val="23"/>
          <w:shd w:val="clear" w:color="auto" w:fill="FFFFFF"/>
        </w:rPr>
        <w:br/>
      </w:r>
      <w:r w:rsidRPr="00521DE0">
        <w:rPr>
          <w:color w:val="2A2A2A"/>
          <w:sz w:val="22"/>
          <w:szCs w:val="23"/>
          <w:shd w:val="clear" w:color="auto" w:fill="FFFFFF"/>
        </w:rPr>
        <w:lastRenderedPageBreak/>
        <w:t xml:space="preserve">   In addition to this, it was identified that the female offender had contact with her children on a regular basis. Therefore, conducting a voluntary attendee interview was considered as causing the least harm to the children involved and the offender herself. </w:t>
      </w:r>
      <w:r w:rsidRPr="00521DE0">
        <w:rPr>
          <w:color w:val="2A2A2A"/>
          <w:sz w:val="22"/>
          <w:szCs w:val="23"/>
          <w:shd w:val="clear" w:color="auto" w:fill="FFFFFF"/>
        </w:rPr>
        <w:br/>
        <w:t xml:space="preserve">  The use of discretion displayed here has been described as essential to restore confidence in modern day policing (Christopher, 2015). Going forward, it is possible that the female offender would see that the officers involved put hers and her children’s best interests first while efficiently progressing the investigation. </w:t>
      </w:r>
    </w:p>
    <w:p w14:paraId="4878EDEC" w14:textId="77777777" w:rsidR="00521DE0" w:rsidRPr="00521DE0" w:rsidRDefault="00521DE0" w:rsidP="00521DE0">
      <w:pPr>
        <w:rPr>
          <w:color w:val="2A2A2A"/>
          <w:sz w:val="22"/>
          <w:szCs w:val="23"/>
          <w:shd w:val="clear" w:color="auto" w:fill="FFFFFF"/>
        </w:rPr>
      </w:pPr>
      <w:r w:rsidRPr="00521DE0">
        <w:rPr>
          <w:color w:val="2A2A2A"/>
          <w:sz w:val="22"/>
          <w:szCs w:val="23"/>
          <w:shd w:val="clear" w:color="auto" w:fill="FFFFFF"/>
        </w:rPr>
        <w:t xml:space="preserve"> While police use of discretion is described as an integral part of the criminal justice system, it can be problematic and leave officers open to scrutiny (Abdullah &amp; Wells, 2011). Police officers and prosecutors are trusted with their ability to make decisions that are not wasting the time and resources of the criminal justice system while progressing investigations sufficiently. </w:t>
      </w:r>
    </w:p>
    <w:p w14:paraId="624C54D8" w14:textId="77777777" w:rsidR="00521DE0" w:rsidRPr="00521DE0" w:rsidRDefault="00521DE0" w:rsidP="00521DE0">
      <w:pPr>
        <w:rPr>
          <w:color w:val="2A2A2A"/>
          <w:sz w:val="22"/>
          <w:szCs w:val="23"/>
          <w:shd w:val="clear" w:color="auto" w:fill="FFFFFF"/>
        </w:rPr>
      </w:pPr>
      <w:r w:rsidRPr="00521DE0">
        <w:rPr>
          <w:color w:val="2A2A2A"/>
          <w:sz w:val="22"/>
          <w:szCs w:val="23"/>
          <w:shd w:val="clear" w:color="auto" w:fill="FFFFFF"/>
        </w:rPr>
        <w:t xml:space="preserve">   While it was not applicable in this circumstance, officers were aware that should the offence be one of a more serious nature, for example a series of violent crimes and the children were residing with the offender, then a welfare check should be conducted on the children to ensure their safety. If the children were deemed at risk and in need of an emergency placement elsewhere, then officers have the option to remove the children to a place of safety. This power is granted to police officers under Section 46 of the Children’s Act 1989. </w:t>
      </w:r>
    </w:p>
    <w:p w14:paraId="255FC1B4" w14:textId="77777777" w:rsidR="00521DE0" w:rsidRPr="00521DE0" w:rsidRDefault="00521DE0" w:rsidP="00521DE0">
      <w:pPr>
        <w:rPr>
          <w:color w:val="2A2A2A"/>
          <w:sz w:val="22"/>
          <w:szCs w:val="23"/>
          <w:shd w:val="clear" w:color="auto" w:fill="FFFFFF"/>
        </w:rPr>
      </w:pPr>
      <w:r w:rsidRPr="00521DE0">
        <w:rPr>
          <w:color w:val="2A2A2A"/>
          <w:sz w:val="22"/>
          <w:szCs w:val="23"/>
          <w:shd w:val="clear" w:color="auto" w:fill="FFFFFF"/>
        </w:rPr>
        <w:t xml:space="preserve">   Instead, officers decided that the more appropriate option was to identify and note the vulnerabilities in the household as previously stated and complete the South Wales Police Public Protection Notification Report. This report allows officers to highlight vulnerabilities and issues involving individuals that come in to contact with police. The report collates and disseminates this information to a multitude of agencies including Social Services and Education. </w:t>
      </w:r>
      <w:r w:rsidRPr="00521DE0">
        <w:rPr>
          <w:color w:val="2A2A2A"/>
          <w:sz w:val="22"/>
          <w:szCs w:val="23"/>
          <w:shd w:val="clear" w:color="auto" w:fill="FFFFFF"/>
        </w:rPr>
        <w:br/>
        <w:t xml:space="preserve">   The final stage of the NDM involves taking action from the number of options identified throughout the NDM cycle and then reviewing what has happened at its conclusion. As previously mentioned, the female offender was brought in for a voluntary interview in which all six offences were presented to her in the presence of her solicitor. The CCTV retained from the stores involved were exhibited and presented during the interview. The interview questions surround the points to prove were put to the offender and she was asked for her account. The offender gave a full admission to all six offences. </w:t>
      </w:r>
      <w:r w:rsidRPr="00521DE0">
        <w:rPr>
          <w:color w:val="2A2A2A"/>
          <w:sz w:val="22"/>
          <w:szCs w:val="23"/>
          <w:shd w:val="clear" w:color="auto" w:fill="FFFFFF"/>
        </w:rPr>
        <w:br/>
        <w:t xml:space="preserve">    The relevant custody Sergeant was informed that a voluntary attendee interview would be taking place and when it was concluded. The Sergeant was able to clarify that the offender was aware of her rights to ensure that the interview had been conducted ethically and lawfully. The summary of the interview was documented and recorded on the police system.</w:t>
      </w:r>
      <w:r w:rsidRPr="00521DE0">
        <w:rPr>
          <w:color w:val="2A2A2A"/>
          <w:sz w:val="22"/>
          <w:szCs w:val="23"/>
          <w:shd w:val="clear" w:color="auto" w:fill="FFFFFF"/>
        </w:rPr>
        <w:br/>
        <w:t xml:space="preserve">   The review stage of the NDM was particularly important here as it allowed officers to identify any issues that arose and learn from these or look at what worked well for next time. For example, it was established that the presentation of the CCTV and all of the exhibits when they were loaded on to a laptop computer was beneficial for ease of access and to compliment the flow of the interview. </w:t>
      </w:r>
      <w:r w:rsidRPr="00521DE0">
        <w:rPr>
          <w:color w:val="2A2A2A"/>
          <w:sz w:val="22"/>
          <w:szCs w:val="23"/>
          <w:shd w:val="clear" w:color="auto" w:fill="FFFFFF"/>
        </w:rPr>
        <w:br/>
        <w:t xml:space="preserve">   The learning process allowed officers to realise that there was a need for more planning next time. For example, for the next interview, a series of questions will be prepared rather than focusing solely on the points to prove and the offender’s account to lead the interview. This process has identified that that course of action would work better in the future. </w:t>
      </w:r>
    </w:p>
    <w:p w14:paraId="6596EB0F" w14:textId="31C750F8" w:rsidR="00521DE0" w:rsidRPr="00521DE0" w:rsidRDefault="00521DE0" w:rsidP="00521DE0">
      <w:pPr>
        <w:rPr>
          <w:color w:val="2A2A2A"/>
          <w:sz w:val="22"/>
          <w:szCs w:val="23"/>
          <w:shd w:val="clear" w:color="auto" w:fill="FFFFFF"/>
        </w:rPr>
      </w:pPr>
      <w:r w:rsidRPr="00521DE0">
        <w:rPr>
          <w:color w:val="2A2A2A"/>
          <w:sz w:val="22"/>
          <w:szCs w:val="23"/>
          <w:shd w:val="clear" w:color="auto" w:fill="FFFFFF"/>
        </w:rPr>
        <w:t xml:space="preserve">   At the centre of the National Decision Model lies the policing Code of Ethics. This reminds officers that all decision-making must be done in accordance with this Code. The Code of Ethics sets out standards and values that officers should adhere to including authority, respect and courtesy and equality and diver</w:t>
      </w:r>
      <w:r w:rsidR="00770902">
        <w:rPr>
          <w:color w:val="2A2A2A"/>
          <w:sz w:val="22"/>
          <w:szCs w:val="23"/>
          <w:shd w:val="clear" w:color="auto" w:fill="FFFFFF"/>
        </w:rPr>
        <w:t>sity (College of Policing, 2014c</w:t>
      </w:r>
      <w:r w:rsidRPr="00521DE0">
        <w:rPr>
          <w:color w:val="2A2A2A"/>
          <w:sz w:val="22"/>
          <w:szCs w:val="23"/>
          <w:shd w:val="clear" w:color="auto" w:fill="FFFFFF"/>
        </w:rPr>
        <w:t xml:space="preserve">). </w:t>
      </w:r>
      <w:r w:rsidRPr="00521DE0">
        <w:rPr>
          <w:color w:val="2A2A2A"/>
          <w:sz w:val="22"/>
          <w:szCs w:val="23"/>
          <w:shd w:val="clear" w:color="auto" w:fill="FFFFFF"/>
        </w:rPr>
        <w:br/>
        <w:t xml:space="preserve">   Throughout this investigation and during all contact with the offender, officers acted with professionalism and integrity at all times complying with the Code of Ethics. It would be fair to say that bias could have influenced officers’ decision making due to the offender’s prolific offending history in order to fund an illegal drug habit. It would also be fair to say that the offender herself could have the preconception that officers would be judgemental and biased towards her. This could stem from the fact that the effect of bias on policing has been the focal point of several journal articles, such </w:t>
      </w:r>
      <w:r w:rsidRPr="00521DE0">
        <w:rPr>
          <w:color w:val="2A2A2A"/>
          <w:sz w:val="22"/>
          <w:szCs w:val="22"/>
          <w:shd w:val="clear" w:color="auto" w:fill="FFFFFF"/>
        </w:rPr>
        <w:t xml:space="preserve">as </w:t>
      </w:r>
      <w:r w:rsidRPr="00521DE0">
        <w:rPr>
          <w:color w:val="333333"/>
          <w:sz w:val="22"/>
          <w:szCs w:val="22"/>
          <w:shd w:val="clear" w:color="auto" w:fill="FFFFFF"/>
        </w:rPr>
        <w:t xml:space="preserve">Briones-Robinson et al’s (2016) </w:t>
      </w:r>
      <w:r w:rsidRPr="00521DE0">
        <w:rPr>
          <w:color w:val="2A2A2A"/>
          <w:sz w:val="22"/>
          <w:szCs w:val="23"/>
          <w:shd w:val="clear" w:color="auto" w:fill="FFFFFF"/>
        </w:rPr>
        <w:t xml:space="preserve">on police bias towards sexual orientation. Police bias has also been consistent in the media - one example being Dodd’s article in The Guardian on </w:t>
      </w:r>
      <w:r w:rsidRPr="00521DE0">
        <w:rPr>
          <w:color w:val="2A2A2A"/>
          <w:sz w:val="22"/>
          <w:szCs w:val="23"/>
          <w:shd w:val="clear" w:color="auto" w:fill="FFFFFF"/>
        </w:rPr>
        <w:lastRenderedPageBreak/>
        <w:t xml:space="preserve">bias involving stop searches (2016). </w:t>
      </w:r>
      <w:r w:rsidRPr="00521DE0">
        <w:rPr>
          <w:color w:val="2A2A2A"/>
          <w:sz w:val="22"/>
          <w:szCs w:val="23"/>
          <w:shd w:val="clear" w:color="auto" w:fill="FFFFFF"/>
        </w:rPr>
        <w:br/>
        <w:t xml:space="preserve">   Officers maintained a non-judgemental attitude towards the prolific offending and did not allow bias to influence any decision-making. This is a personal quality that will be used time and time again in future investigations as it has been acknowledged that it is important to build a rapport with the offender. It is also necessary in order to comply with the Code of Ethics and the expected policing standards.</w:t>
      </w:r>
    </w:p>
    <w:p w14:paraId="69C48207" w14:textId="1CB875AA" w:rsidR="00521DE0" w:rsidRPr="00521DE0" w:rsidRDefault="00521DE0" w:rsidP="00521DE0">
      <w:pPr>
        <w:rPr>
          <w:color w:val="2A2A2A"/>
          <w:sz w:val="22"/>
          <w:szCs w:val="23"/>
          <w:shd w:val="clear" w:color="auto" w:fill="FFFFFF"/>
        </w:rPr>
      </w:pPr>
      <w:r w:rsidRPr="00521DE0">
        <w:rPr>
          <w:color w:val="2A2A2A"/>
          <w:sz w:val="22"/>
          <w:szCs w:val="23"/>
          <w:shd w:val="clear" w:color="auto" w:fill="FFFFFF"/>
        </w:rPr>
        <w:t xml:space="preserve">   As well as the treatment of the offender, this investigation has highlighted the importance of recording and retaining information relating to offenders. The CPIA states any relevant information identified during an investigation should be recorded (Ministry of Justice, 2015</w:t>
      </w:r>
      <w:r>
        <w:rPr>
          <w:color w:val="2A2A2A"/>
          <w:sz w:val="22"/>
          <w:szCs w:val="23"/>
          <w:shd w:val="clear" w:color="auto" w:fill="FFFFFF"/>
        </w:rPr>
        <w:t>a</w:t>
      </w:r>
      <w:r w:rsidRPr="00521DE0">
        <w:rPr>
          <w:color w:val="2A2A2A"/>
          <w:sz w:val="22"/>
          <w:szCs w:val="23"/>
          <w:shd w:val="clear" w:color="auto" w:fill="FFFFFF"/>
        </w:rPr>
        <w:t xml:space="preserve">). It defines relevant information as anything that has an impact on the case, whether this is in relation to the offender or the offence. The recording of information given to officers was instigated here with the completion of the interview summary following the interview. </w:t>
      </w:r>
      <w:r w:rsidRPr="00521DE0">
        <w:rPr>
          <w:color w:val="2A2A2A"/>
          <w:sz w:val="22"/>
          <w:szCs w:val="23"/>
          <w:shd w:val="clear" w:color="auto" w:fill="FFFFFF"/>
        </w:rPr>
        <w:br/>
        <w:t xml:space="preserve">   These Codes of Practice outlined by the CPIA also state that it an officer’s duty to retain any relevant information and the length of time that this information should be kept. This was particularly relevant for the CCTV and other exhibits identified. Officers were aware that they should keep any material relating to the case, including notes taken in interview, unless told otherwise by the prosecution. </w:t>
      </w:r>
      <w:r w:rsidRPr="00521DE0">
        <w:rPr>
          <w:color w:val="2A2A2A"/>
          <w:sz w:val="22"/>
          <w:szCs w:val="23"/>
          <w:shd w:val="clear" w:color="auto" w:fill="FFFFFF"/>
        </w:rPr>
        <w:br/>
        <w:t xml:space="preserve">   The CPIA also highlights that any information that might undermine the case against the offender should be recorded and submitted in the same manner. This was complied with during this investigation as the offender’s disclosure that she used to steal to fund her drug habit was recorded and collated for the case file before it was submitted to Crown Prosecution Service. This will be carried forward and utilised in future investigations to ensure that significant information relating to the offender is handled appropriately and lawfully.</w:t>
      </w:r>
    </w:p>
    <w:p w14:paraId="32BD2FBE" w14:textId="77777777" w:rsidR="00521DE0" w:rsidRPr="00521DE0" w:rsidRDefault="00521DE0" w:rsidP="00521DE0">
      <w:pPr>
        <w:rPr>
          <w:color w:val="2A2A2A"/>
          <w:sz w:val="22"/>
          <w:szCs w:val="23"/>
          <w:shd w:val="clear" w:color="auto" w:fill="FFFFFF"/>
        </w:rPr>
      </w:pPr>
      <w:r w:rsidRPr="00521DE0">
        <w:rPr>
          <w:color w:val="2A2A2A"/>
          <w:sz w:val="22"/>
          <w:szCs w:val="23"/>
          <w:shd w:val="clear" w:color="auto" w:fill="FFFFFF"/>
        </w:rPr>
        <w:t xml:space="preserve">   In conclusion, a prolific female offender was questioned about six offences of theft in the form of a voluntary attendee interview. The NDM was highly beneficial for officers to arrive at the decision to conduct the investigation this way as it allowed officers to make a fully informed decision while maintaining core policing values throughout.</w:t>
      </w:r>
    </w:p>
    <w:p w14:paraId="1EDD66C4" w14:textId="78F9B25F" w:rsidR="00521DE0" w:rsidRPr="00521DE0" w:rsidRDefault="00521DE0" w:rsidP="00521DE0">
      <w:pPr>
        <w:rPr>
          <w:color w:val="2A2A2A"/>
          <w:sz w:val="22"/>
          <w:szCs w:val="23"/>
          <w:shd w:val="clear" w:color="auto" w:fill="FFFFFF"/>
        </w:rPr>
      </w:pPr>
      <w:r w:rsidRPr="00521DE0">
        <w:rPr>
          <w:color w:val="2A2A2A"/>
          <w:sz w:val="22"/>
          <w:szCs w:val="23"/>
          <w:shd w:val="clear" w:color="auto" w:fill="FFFFFF"/>
        </w:rPr>
        <w:t xml:space="preserve">   Officers fully complied with policies and procedures set out in the CPIA 1996 to lawfully record, retain and reveal any relevant information to the Crown Prosecution Service. This included any information that may undermine the case and officers did so with impartiality and without bias.</w:t>
      </w:r>
    </w:p>
    <w:p w14:paraId="363979F9" w14:textId="77777777" w:rsidR="006C7CA5" w:rsidRPr="00270EEB" w:rsidRDefault="006C7CA5" w:rsidP="00E6298B">
      <w:pPr>
        <w:ind w:right="107"/>
        <w:jc w:val="both"/>
        <w:rPr>
          <w:sz w:val="24"/>
          <w:szCs w:val="24"/>
        </w:rPr>
      </w:pPr>
    </w:p>
    <w:p w14:paraId="55E8513B" w14:textId="67CB1CF6" w:rsidR="00025650" w:rsidRPr="00521DE0" w:rsidRDefault="00521DE0" w:rsidP="00E6298B">
      <w:pPr>
        <w:ind w:right="107"/>
        <w:jc w:val="both"/>
        <w:rPr>
          <w:sz w:val="24"/>
          <w:szCs w:val="24"/>
          <w:u w:val="single"/>
        </w:rPr>
      </w:pPr>
      <w:r>
        <w:rPr>
          <w:sz w:val="24"/>
          <w:szCs w:val="24"/>
          <w:u w:val="single"/>
        </w:rPr>
        <w:t>2256 words</w:t>
      </w:r>
    </w:p>
    <w:p w14:paraId="4C811AD3" w14:textId="77777777" w:rsidR="00025650" w:rsidRPr="00270EEB" w:rsidRDefault="00025650" w:rsidP="00E6298B">
      <w:pPr>
        <w:ind w:right="107"/>
        <w:jc w:val="both"/>
        <w:rPr>
          <w:sz w:val="24"/>
          <w:szCs w:val="24"/>
        </w:rPr>
      </w:pPr>
    </w:p>
    <w:p w14:paraId="0FEEFB0E" w14:textId="77777777" w:rsidR="00025650" w:rsidRPr="00270EEB" w:rsidRDefault="00025650"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A87E15">
          <w:headerReference w:type="even" r:id="rId18"/>
          <w:headerReference w:type="default" r:id="rId19"/>
          <w:footerReference w:type="even" r:id="rId20"/>
          <w:footerReference w:type="default" r:id="rId21"/>
          <w:headerReference w:type="first" r:id="rId22"/>
          <w:footerReference w:type="first" r:id="rId23"/>
          <w:pgSz w:w="11906" w:h="16838" w:code="9"/>
          <w:pgMar w:top="1440" w:right="1080" w:bottom="1440" w:left="1080" w:header="720" w:footer="720" w:gutter="0"/>
          <w:cols w:space="720"/>
          <w:titlePg/>
          <w:docGrid w:linePitch="272"/>
        </w:sectPr>
      </w:pPr>
    </w:p>
    <w:p w14:paraId="2237FD0C" w14:textId="77777777" w:rsidR="008B28E7" w:rsidRPr="00270EEB" w:rsidRDefault="008B28E7" w:rsidP="00E6298B">
      <w:pPr>
        <w:ind w:right="107"/>
        <w:jc w:val="both"/>
        <w:rPr>
          <w:b/>
          <w:sz w:val="24"/>
          <w:szCs w:val="24"/>
        </w:rPr>
      </w:pPr>
    </w:p>
    <w:p w14:paraId="1E89FF4C" w14:textId="77777777" w:rsidR="00575A8F" w:rsidRDefault="00575A8F" w:rsidP="00E6298B">
      <w:pPr>
        <w:ind w:right="107"/>
        <w:jc w:val="both"/>
        <w:rPr>
          <w:b/>
          <w:sz w:val="24"/>
          <w:szCs w:val="24"/>
        </w:rPr>
      </w:pPr>
      <w:r>
        <w:rPr>
          <w:b/>
          <w:sz w:val="24"/>
          <w:szCs w:val="24"/>
        </w:rPr>
        <w:t>Development Plan</w:t>
      </w:r>
    </w:p>
    <w:p w14:paraId="2F13DBE1" w14:textId="77777777" w:rsidR="00575A8F" w:rsidRDefault="00575A8F" w:rsidP="00E6298B">
      <w:pPr>
        <w:ind w:right="107"/>
        <w:jc w:val="both"/>
        <w:rPr>
          <w:b/>
          <w:sz w:val="24"/>
          <w:szCs w:val="24"/>
        </w:rPr>
      </w:pPr>
    </w:p>
    <w:p w14:paraId="27E71557" w14:textId="505BA3ED" w:rsidR="00575A8F" w:rsidRPr="00270EEB" w:rsidRDefault="00575A8F" w:rsidP="00E6298B">
      <w:pPr>
        <w:ind w:right="107"/>
        <w:jc w:val="both"/>
        <w:rPr>
          <w:b/>
          <w:sz w:val="24"/>
          <w:szCs w:val="24"/>
        </w:rPr>
      </w:pPr>
      <w:r>
        <w:rPr>
          <w:b/>
          <w:sz w:val="24"/>
          <w:szCs w:val="24"/>
        </w:rPr>
        <w:t xml:space="preserve">As part of your reflective process, please use this table to aid you in identifying the next steps for development. </w:t>
      </w:r>
      <w:r w:rsidRPr="00270EEB">
        <w:rPr>
          <w:b/>
          <w:sz w:val="24"/>
          <w:szCs w:val="24"/>
        </w:rPr>
        <w:t xml:space="preserve">(To be completed at the end of </w:t>
      </w:r>
      <w:r w:rsidR="00FB4993">
        <w:rPr>
          <w:b/>
          <w:sz w:val="24"/>
          <w:szCs w:val="24"/>
        </w:rPr>
        <w:t>workbook</w:t>
      </w:r>
      <w:r w:rsidRPr="00270EEB">
        <w:rPr>
          <w:b/>
          <w:sz w:val="24"/>
          <w:szCs w:val="24"/>
        </w:rPr>
        <w:t xml:space="preserve"> completion) </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28A9B94D">
        <w:tc>
          <w:tcPr>
            <w:tcW w:w="2462" w:type="dxa"/>
            <w:shd w:val="clear" w:color="auto" w:fill="auto"/>
          </w:tcPr>
          <w:p w14:paraId="4A28DC7E" w14:textId="19B0882D" w:rsidR="00575A8F" w:rsidRPr="00270EEB" w:rsidRDefault="00F8475C" w:rsidP="00E6298B">
            <w:pPr>
              <w:ind w:right="107"/>
              <w:jc w:val="both"/>
              <w:rPr>
                <w:sz w:val="24"/>
                <w:szCs w:val="24"/>
              </w:rPr>
            </w:pPr>
            <w:r>
              <w:rPr>
                <w:sz w:val="24"/>
                <w:szCs w:val="24"/>
              </w:rPr>
              <w:t>Interview planning</w:t>
            </w:r>
          </w:p>
          <w:p w14:paraId="1C9FA00C" w14:textId="77777777" w:rsidR="00575A8F" w:rsidRPr="00270EEB" w:rsidRDefault="00575A8F" w:rsidP="00E6298B">
            <w:pPr>
              <w:ind w:right="107"/>
              <w:jc w:val="both"/>
              <w:rPr>
                <w:sz w:val="24"/>
                <w:szCs w:val="24"/>
              </w:rPr>
            </w:pPr>
          </w:p>
          <w:p w14:paraId="32CBB0C5" w14:textId="77777777" w:rsidR="00575A8F" w:rsidRPr="00270EEB" w:rsidRDefault="00575A8F" w:rsidP="00E6298B">
            <w:pPr>
              <w:ind w:right="107"/>
              <w:jc w:val="both"/>
              <w:rPr>
                <w:sz w:val="24"/>
                <w:szCs w:val="24"/>
              </w:rPr>
            </w:pPr>
          </w:p>
          <w:p w14:paraId="4B494930" w14:textId="77777777" w:rsidR="00575A8F" w:rsidRPr="00270EEB" w:rsidRDefault="00575A8F" w:rsidP="00E6298B">
            <w:pPr>
              <w:ind w:right="107"/>
              <w:jc w:val="both"/>
              <w:rPr>
                <w:sz w:val="24"/>
                <w:szCs w:val="24"/>
              </w:rPr>
            </w:pPr>
          </w:p>
          <w:p w14:paraId="55898530" w14:textId="77777777" w:rsidR="00575A8F" w:rsidRPr="00270EEB" w:rsidRDefault="00575A8F" w:rsidP="00E6298B">
            <w:pPr>
              <w:ind w:right="107"/>
              <w:jc w:val="both"/>
              <w:rPr>
                <w:sz w:val="24"/>
                <w:szCs w:val="24"/>
              </w:rPr>
            </w:pPr>
          </w:p>
          <w:p w14:paraId="17C7589C" w14:textId="77777777" w:rsidR="00575A8F" w:rsidRPr="00270EEB" w:rsidRDefault="00575A8F" w:rsidP="00E6298B">
            <w:pPr>
              <w:ind w:right="107"/>
              <w:jc w:val="both"/>
              <w:rPr>
                <w:sz w:val="24"/>
                <w:szCs w:val="24"/>
              </w:rPr>
            </w:pPr>
          </w:p>
          <w:p w14:paraId="559F07CD" w14:textId="77777777" w:rsidR="00575A8F" w:rsidRPr="00270EEB" w:rsidRDefault="00575A8F" w:rsidP="00E6298B">
            <w:pPr>
              <w:ind w:right="107"/>
              <w:jc w:val="both"/>
              <w:rPr>
                <w:sz w:val="24"/>
                <w:szCs w:val="24"/>
              </w:rPr>
            </w:pPr>
          </w:p>
          <w:p w14:paraId="50FB26FA" w14:textId="77777777" w:rsidR="00575A8F" w:rsidRPr="00270EEB" w:rsidRDefault="00575A8F" w:rsidP="00E6298B">
            <w:pPr>
              <w:ind w:right="107"/>
              <w:jc w:val="both"/>
              <w:rPr>
                <w:sz w:val="24"/>
                <w:szCs w:val="24"/>
              </w:rPr>
            </w:pPr>
          </w:p>
          <w:p w14:paraId="4E13270D" w14:textId="77777777" w:rsidR="00575A8F" w:rsidRPr="00270EEB" w:rsidRDefault="00575A8F" w:rsidP="00E6298B">
            <w:pPr>
              <w:ind w:right="107"/>
              <w:jc w:val="both"/>
              <w:rPr>
                <w:sz w:val="24"/>
                <w:szCs w:val="24"/>
              </w:rPr>
            </w:pPr>
          </w:p>
          <w:p w14:paraId="4FCDFC95" w14:textId="77777777" w:rsidR="00575A8F" w:rsidRPr="00270EEB" w:rsidRDefault="00575A8F" w:rsidP="00E6298B">
            <w:pPr>
              <w:ind w:right="107"/>
              <w:jc w:val="both"/>
              <w:rPr>
                <w:sz w:val="24"/>
                <w:szCs w:val="24"/>
              </w:rPr>
            </w:pPr>
          </w:p>
        </w:tc>
        <w:tc>
          <w:tcPr>
            <w:tcW w:w="2433" w:type="dxa"/>
            <w:shd w:val="clear" w:color="auto" w:fill="auto"/>
          </w:tcPr>
          <w:p w14:paraId="2C5FB852" w14:textId="2DC00BBF" w:rsidR="00575A8F" w:rsidRPr="00270EEB" w:rsidRDefault="00F8475C" w:rsidP="00E6298B">
            <w:pPr>
              <w:ind w:right="107"/>
              <w:jc w:val="both"/>
              <w:rPr>
                <w:sz w:val="24"/>
                <w:szCs w:val="24"/>
              </w:rPr>
            </w:pPr>
            <w:r>
              <w:rPr>
                <w:sz w:val="24"/>
                <w:szCs w:val="24"/>
              </w:rPr>
              <w:t>Create interview plans for offences that includes detailed questions as w</w:t>
            </w:r>
            <w:bookmarkStart w:id="12" w:name="_GoBack"/>
            <w:bookmarkEnd w:id="12"/>
            <w:r>
              <w:rPr>
                <w:sz w:val="24"/>
                <w:szCs w:val="24"/>
              </w:rPr>
              <w:t>ell as the legislation points to prove.</w:t>
            </w:r>
          </w:p>
        </w:tc>
        <w:tc>
          <w:tcPr>
            <w:tcW w:w="2426" w:type="dxa"/>
            <w:shd w:val="clear" w:color="auto" w:fill="auto"/>
          </w:tcPr>
          <w:p w14:paraId="4A18DF45" w14:textId="77777777" w:rsidR="00575A8F" w:rsidRDefault="00CA3BC5" w:rsidP="00E6298B">
            <w:pPr>
              <w:ind w:right="107"/>
              <w:jc w:val="both"/>
              <w:rPr>
                <w:sz w:val="24"/>
                <w:szCs w:val="24"/>
              </w:rPr>
            </w:pPr>
            <w:r>
              <w:rPr>
                <w:sz w:val="24"/>
                <w:szCs w:val="24"/>
              </w:rPr>
              <w:t>Supervisor</w:t>
            </w:r>
            <w:r w:rsidR="00F8475C">
              <w:rPr>
                <w:sz w:val="24"/>
                <w:szCs w:val="24"/>
              </w:rPr>
              <w:t xml:space="preserve"> can provide support with interview.</w:t>
            </w:r>
          </w:p>
          <w:p w14:paraId="6F2EF39C" w14:textId="45F4881E" w:rsidR="00F8475C" w:rsidRPr="00270EEB" w:rsidRDefault="00F8475C" w:rsidP="00E6298B">
            <w:pPr>
              <w:ind w:right="107"/>
              <w:jc w:val="both"/>
              <w:rPr>
                <w:sz w:val="24"/>
                <w:szCs w:val="24"/>
              </w:rPr>
            </w:pPr>
            <w:r>
              <w:rPr>
                <w:sz w:val="24"/>
                <w:szCs w:val="24"/>
              </w:rPr>
              <w:t>Second interviewing officer if available.</w:t>
            </w:r>
          </w:p>
        </w:tc>
        <w:tc>
          <w:tcPr>
            <w:tcW w:w="2426" w:type="dxa"/>
            <w:shd w:val="clear" w:color="auto" w:fill="auto"/>
          </w:tcPr>
          <w:p w14:paraId="3851D535" w14:textId="10645158" w:rsidR="28A9B94D" w:rsidRDefault="00F8475C" w:rsidP="28A9B94D">
            <w:pPr>
              <w:jc w:val="both"/>
              <w:rPr>
                <w:sz w:val="24"/>
                <w:szCs w:val="24"/>
              </w:rPr>
            </w:pPr>
            <w:r>
              <w:rPr>
                <w:sz w:val="24"/>
                <w:szCs w:val="24"/>
              </w:rPr>
              <w:t>Before next suspect interview is conducted.</w:t>
            </w:r>
          </w:p>
        </w:tc>
      </w:tr>
      <w:tr w:rsidR="00575A8F" w:rsidRPr="00270EEB" w14:paraId="67CEB11A" w14:textId="77777777" w:rsidTr="28A9B94D">
        <w:tc>
          <w:tcPr>
            <w:tcW w:w="2462" w:type="dxa"/>
            <w:shd w:val="clear" w:color="auto" w:fill="auto"/>
          </w:tcPr>
          <w:p w14:paraId="1C2EB90F" w14:textId="1DF3CDA0" w:rsidR="00575A8F" w:rsidRPr="00270EEB" w:rsidRDefault="00F8475C" w:rsidP="00E6298B">
            <w:pPr>
              <w:ind w:right="107"/>
              <w:jc w:val="both"/>
              <w:rPr>
                <w:sz w:val="24"/>
                <w:szCs w:val="24"/>
              </w:rPr>
            </w:pPr>
            <w:r>
              <w:rPr>
                <w:sz w:val="24"/>
                <w:szCs w:val="24"/>
              </w:rPr>
              <w:t>Time management</w:t>
            </w:r>
          </w:p>
          <w:p w14:paraId="477E47FE" w14:textId="77777777" w:rsidR="00575A8F" w:rsidRPr="00270EEB" w:rsidRDefault="00575A8F" w:rsidP="00E6298B">
            <w:pPr>
              <w:ind w:right="107"/>
              <w:jc w:val="both"/>
              <w:rPr>
                <w:sz w:val="24"/>
                <w:szCs w:val="24"/>
              </w:rPr>
            </w:pPr>
          </w:p>
          <w:p w14:paraId="529CC96B" w14:textId="77777777" w:rsidR="00575A8F" w:rsidRPr="00270EEB" w:rsidRDefault="00575A8F" w:rsidP="00E6298B">
            <w:pPr>
              <w:ind w:right="107"/>
              <w:jc w:val="both"/>
              <w:rPr>
                <w:sz w:val="24"/>
                <w:szCs w:val="24"/>
              </w:rPr>
            </w:pPr>
          </w:p>
          <w:p w14:paraId="63E7E828" w14:textId="77777777" w:rsidR="00575A8F" w:rsidRPr="00270EEB" w:rsidRDefault="00575A8F" w:rsidP="00E6298B">
            <w:pPr>
              <w:ind w:right="107"/>
              <w:jc w:val="both"/>
              <w:rPr>
                <w:sz w:val="24"/>
                <w:szCs w:val="24"/>
              </w:rPr>
            </w:pPr>
          </w:p>
          <w:p w14:paraId="52C24203" w14:textId="77777777" w:rsidR="00575A8F" w:rsidRPr="00270EEB" w:rsidRDefault="00575A8F" w:rsidP="00E6298B">
            <w:pPr>
              <w:ind w:right="107"/>
              <w:jc w:val="both"/>
              <w:rPr>
                <w:sz w:val="24"/>
                <w:szCs w:val="24"/>
              </w:rPr>
            </w:pPr>
          </w:p>
          <w:p w14:paraId="016B541F" w14:textId="77777777" w:rsidR="00575A8F" w:rsidRPr="00270EEB" w:rsidRDefault="00575A8F" w:rsidP="00E6298B">
            <w:pPr>
              <w:ind w:right="107"/>
              <w:jc w:val="both"/>
              <w:rPr>
                <w:sz w:val="24"/>
                <w:szCs w:val="24"/>
              </w:rPr>
            </w:pPr>
          </w:p>
          <w:p w14:paraId="0D86D360" w14:textId="77777777" w:rsidR="00575A8F" w:rsidRPr="00270EEB" w:rsidRDefault="00575A8F" w:rsidP="00E6298B">
            <w:pPr>
              <w:ind w:right="107"/>
              <w:jc w:val="both"/>
              <w:rPr>
                <w:sz w:val="24"/>
                <w:szCs w:val="24"/>
              </w:rPr>
            </w:pPr>
          </w:p>
          <w:p w14:paraId="0867C081" w14:textId="77777777" w:rsidR="00575A8F" w:rsidRPr="00270EEB" w:rsidRDefault="00575A8F" w:rsidP="00E6298B">
            <w:pPr>
              <w:ind w:right="107"/>
              <w:jc w:val="both"/>
              <w:rPr>
                <w:sz w:val="24"/>
                <w:szCs w:val="24"/>
              </w:rPr>
            </w:pPr>
          </w:p>
          <w:p w14:paraId="0F50BD71" w14:textId="77777777" w:rsidR="00575A8F" w:rsidRPr="00270EEB" w:rsidRDefault="00575A8F" w:rsidP="00E6298B">
            <w:pPr>
              <w:ind w:right="107"/>
              <w:jc w:val="both"/>
              <w:rPr>
                <w:sz w:val="24"/>
                <w:szCs w:val="24"/>
              </w:rPr>
            </w:pPr>
          </w:p>
          <w:p w14:paraId="27804619" w14:textId="77777777" w:rsidR="00575A8F" w:rsidRPr="00270EEB" w:rsidRDefault="00575A8F" w:rsidP="00E6298B">
            <w:pPr>
              <w:ind w:right="107"/>
              <w:jc w:val="both"/>
              <w:rPr>
                <w:sz w:val="24"/>
                <w:szCs w:val="24"/>
              </w:rPr>
            </w:pPr>
          </w:p>
          <w:p w14:paraId="7F0DE516" w14:textId="77777777" w:rsidR="00575A8F" w:rsidRPr="00270EEB" w:rsidRDefault="00575A8F" w:rsidP="00E6298B">
            <w:pPr>
              <w:ind w:right="107"/>
              <w:jc w:val="both"/>
              <w:rPr>
                <w:sz w:val="24"/>
                <w:szCs w:val="24"/>
              </w:rPr>
            </w:pPr>
          </w:p>
          <w:p w14:paraId="531A87CC" w14:textId="77777777" w:rsidR="00575A8F" w:rsidRPr="00270EEB" w:rsidRDefault="00575A8F" w:rsidP="00E6298B">
            <w:pPr>
              <w:ind w:right="107"/>
              <w:jc w:val="both"/>
              <w:rPr>
                <w:sz w:val="24"/>
                <w:szCs w:val="24"/>
              </w:rPr>
            </w:pPr>
          </w:p>
        </w:tc>
        <w:tc>
          <w:tcPr>
            <w:tcW w:w="2433" w:type="dxa"/>
            <w:shd w:val="clear" w:color="auto" w:fill="auto"/>
          </w:tcPr>
          <w:p w14:paraId="3BD876A6" w14:textId="0AB556A5" w:rsidR="00575A8F" w:rsidRPr="00270EEB" w:rsidRDefault="00F8475C" w:rsidP="00E6298B">
            <w:pPr>
              <w:ind w:right="107"/>
              <w:jc w:val="both"/>
              <w:rPr>
                <w:sz w:val="24"/>
                <w:szCs w:val="24"/>
              </w:rPr>
            </w:pPr>
            <w:r>
              <w:rPr>
                <w:sz w:val="24"/>
                <w:szCs w:val="24"/>
              </w:rPr>
              <w:t>Prioritising university workload to allow for PLT days to be used effectively.</w:t>
            </w:r>
          </w:p>
        </w:tc>
        <w:tc>
          <w:tcPr>
            <w:tcW w:w="2426" w:type="dxa"/>
            <w:shd w:val="clear" w:color="auto" w:fill="auto"/>
          </w:tcPr>
          <w:p w14:paraId="7A4C9A77" w14:textId="367A0D33" w:rsidR="00575A8F" w:rsidRPr="00270EEB" w:rsidRDefault="00F8475C" w:rsidP="00E6298B">
            <w:pPr>
              <w:ind w:right="107"/>
              <w:jc w:val="both"/>
              <w:rPr>
                <w:sz w:val="24"/>
                <w:szCs w:val="24"/>
              </w:rPr>
            </w:pPr>
            <w:r>
              <w:rPr>
                <w:sz w:val="24"/>
                <w:szCs w:val="24"/>
              </w:rPr>
              <w:t>University lecturers, my colleagues, police supervisor.</w:t>
            </w:r>
          </w:p>
        </w:tc>
        <w:tc>
          <w:tcPr>
            <w:tcW w:w="2426" w:type="dxa"/>
            <w:shd w:val="clear" w:color="auto" w:fill="auto"/>
          </w:tcPr>
          <w:p w14:paraId="003BC03B" w14:textId="0B2ABCEC" w:rsidR="28A9B94D" w:rsidRDefault="00F8475C" w:rsidP="28A9B94D">
            <w:pPr>
              <w:jc w:val="both"/>
              <w:rPr>
                <w:sz w:val="24"/>
                <w:szCs w:val="24"/>
              </w:rPr>
            </w:pPr>
            <w:r>
              <w:rPr>
                <w:sz w:val="24"/>
                <w:szCs w:val="24"/>
              </w:rPr>
              <w:t>Ongoing throughout completion of qualification</w:t>
            </w:r>
          </w:p>
        </w:tc>
      </w:tr>
      <w:tr w:rsidR="00575A8F" w:rsidRPr="00270EEB" w14:paraId="3EE957C7" w14:textId="77777777" w:rsidTr="28A9B94D">
        <w:tc>
          <w:tcPr>
            <w:tcW w:w="2462" w:type="dxa"/>
            <w:shd w:val="clear" w:color="auto" w:fill="auto"/>
          </w:tcPr>
          <w:p w14:paraId="7F6D259B" w14:textId="0D18B1F7" w:rsidR="00575A8F" w:rsidRPr="00270EEB" w:rsidRDefault="00F8475C" w:rsidP="00E6298B">
            <w:pPr>
              <w:ind w:right="107"/>
              <w:jc w:val="both"/>
              <w:rPr>
                <w:sz w:val="24"/>
                <w:szCs w:val="24"/>
              </w:rPr>
            </w:pPr>
            <w:r>
              <w:rPr>
                <w:sz w:val="24"/>
                <w:szCs w:val="24"/>
              </w:rPr>
              <w:t>Further reading</w:t>
            </w:r>
          </w:p>
          <w:p w14:paraId="1948B27B" w14:textId="77777777" w:rsidR="00575A8F" w:rsidRPr="00270EEB" w:rsidRDefault="00575A8F" w:rsidP="00E6298B">
            <w:pPr>
              <w:ind w:right="107"/>
              <w:jc w:val="both"/>
              <w:rPr>
                <w:sz w:val="24"/>
                <w:szCs w:val="24"/>
              </w:rPr>
            </w:pPr>
          </w:p>
          <w:p w14:paraId="14F3E63D" w14:textId="77777777" w:rsidR="00575A8F" w:rsidRPr="00270EEB" w:rsidRDefault="00575A8F" w:rsidP="00E6298B">
            <w:pPr>
              <w:ind w:right="107"/>
              <w:jc w:val="both"/>
              <w:rPr>
                <w:sz w:val="24"/>
                <w:szCs w:val="24"/>
              </w:rPr>
            </w:pPr>
          </w:p>
          <w:p w14:paraId="6BD4658F" w14:textId="77777777" w:rsidR="00575A8F" w:rsidRPr="00270EEB" w:rsidRDefault="00575A8F" w:rsidP="00E6298B">
            <w:pPr>
              <w:ind w:right="107"/>
              <w:jc w:val="both"/>
              <w:rPr>
                <w:sz w:val="24"/>
                <w:szCs w:val="24"/>
              </w:rPr>
            </w:pPr>
          </w:p>
          <w:p w14:paraId="4E491004" w14:textId="77777777" w:rsidR="00575A8F" w:rsidRPr="00270EEB" w:rsidRDefault="00575A8F" w:rsidP="00E6298B">
            <w:pPr>
              <w:ind w:right="107"/>
              <w:jc w:val="both"/>
              <w:rPr>
                <w:sz w:val="24"/>
                <w:szCs w:val="24"/>
              </w:rPr>
            </w:pPr>
          </w:p>
          <w:p w14:paraId="63F84709" w14:textId="77777777" w:rsidR="00575A8F" w:rsidRPr="00270EEB" w:rsidRDefault="00575A8F" w:rsidP="00E6298B">
            <w:pPr>
              <w:ind w:right="107"/>
              <w:jc w:val="both"/>
              <w:rPr>
                <w:sz w:val="24"/>
                <w:szCs w:val="24"/>
              </w:rPr>
            </w:pPr>
          </w:p>
          <w:p w14:paraId="46CA1F74" w14:textId="77777777" w:rsidR="00575A8F" w:rsidRPr="00270EEB" w:rsidRDefault="00575A8F" w:rsidP="00E6298B">
            <w:pPr>
              <w:ind w:right="107"/>
              <w:jc w:val="both"/>
              <w:rPr>
                <w:sz w:val="24"/>
                <w:szCs w:val="24"/>
              </w:rPr>
            </w:pPr>
          </w:p>
          <w:p w14:paraId="5325704B" w14:textId="77777777" w:rsidR="00575A8F" w:rsidRPr="00270EEB" w:rsidRDefault="00575A8F" w:rsidP="00E6298B">
            <w:pPr>
              <w:ind w:right="107"/>
              <w:jc w:val="both"/>
              <w:rPr>
                <w:sz w:val="24"/>
                <w:szCs w:val="24"/>
              </w:rPr>
            </w:pPr>
          </w:p>
          <w:p w14:paraId="5E51CE34" w14:textId="77777777" w:rsidR="00575A8F" w:rsidRPr="00270EEB" w:rsidRDefault="00575A8F" w:rsidP="00E6298B">
            <w:pPr>
              <w:ind w:right="107"/>
              <w:jc w:val="both"/>
              <w:rPr>
                <w:sz w:val="24"/>
                <w:szCs w:val="24"/>
              </w:rPr>
            </w:pPr>
          </w:p>
          <w:p w14:paraId="03607C62" w14:textId="77777777" w:rsidR="00575A8F" w:rsidRPr="00270EEB" w:rsidRDefault="00575A8F" w:rsidP="00E6298B">
            <w:pPr>
              <w:ind w:right="107"/>
              <w:jc w:val="both"/>
              <w:rPr>
                <w:sz w:val="24"/>
                <w:szCs w:val="24"/>
              </w:rPr>
            </w:pPr>
          </w:p>
          <w:p w14:paraId="279066C3" w14:textId="77777777" w:rsidR="00575A8F" w:rsidRPr="00270EEB" w:rsidRDefault="00575A8F" w:rsidP="00E6298B">
            <w:pPr>
              <w:ind w:right="107"/>
              <w:jc w:val="both"/>
              <w:rPr>
                <w:sz w:val="24"/>
                <w:szCs w:val="24"/>
              </w:rPr>
            </w:pPr>
          </w:p>
          <w:p w14:paraId="69C3124A" w14:textId="77777777" w:rsidR="00575A8F" w:rsidRPr="00270EEB" w:rsidRDefault="00575A8F" w:rsidP="00E6298B">
            <w:pPr>
              <w:ind w:right="107"/>
              <w:jc w:val="both"/>
              <w:rPr>
                <w:sz w:val="24"/>
                <w:szCs w:val="24"/>
              </w:rPr>
            </w:pPr>
          </w:p>
          <w:p w14:paraId="7BA19DB6" w14:textId="77777777" w:rsidR="00575A8F" w:rsidRPr="00270EEB" w:rsidRDefault="00575A8F" w:rsidP="00E6298B">
            <w:pPr>
              <w:ind w:right="107"/>
              <w:jc w:val="both"/>
              <w:rPr>
                <w:sz w:val="24"/>
                <w:szCs w:val="24"/>
              </w:rPr>
            </w:pPr>
          </w:p>
        </w:tc>
        <w:tc>
          <w:tcPr>
            <w:tcW w:w="2433" w:type="dxa"/>
            <w:shd w:val="clear" w:color="auto" w:fill="auto"/>
          </w:tcPr>
          <w:p w14:paraId="022C407D" w14:textId="20EFF637" w:rsidR="00575A8F" w:rsidRPr="00270EEB" w:rsidRDefault="00F8475C" w:rsidP="00E6298B">
            <w:pPr>
              <w:ind w:right="107"/>
              <w:jc w:val="both"/>
              <w:rPr>
                <w:sz w:val="24"/>
                <w:szCs w:val="24"/>
              </w:rPr>
            </w:pPr>
            <w:r>
              <w:rPr>
                <w:sz w:val="24"/>
                <w:szCs w:val="24"/>
              </w:rPr>
              <w:t>More research for university workbooks to expand learning.</w:t>
            </w:r>
          </w:p>
        </w:tc>
        <w:tc>
          <w:tcPr>
            <w:tcW w:w="2426" w:type="dxa"/>
            <w:shd w:val="clear" w:color="auto" w:fill="auto"/>
          </w:tcPr>
          <w:p w14:paraId="76B2A824" w14:textId="1C2D5B39" w:rsidR="00575A8F" w:rsidRPr="00270EEB" w:rsidRDefault="00F8475C" w:rsidP="00E6298B">
            <w:pPr>
              <w:ind w:right="107"/>
              <w:jc w:val="both"/>
              <w:rPr>
                <w:sz w:val="24"/>
                <w:szCs w:val="24"/>
              </w:rPr>
            </w:pPr>
            <w:r>
              <w:rPr>
                <w:sz w:val="24"/>
                <w:szCs w:val="24"/>
              </w:rPr>
              <w:t>University lecturers, Moodle library.</w:t>
            </w:r>
          </w:p>
        </w:tc>
        <w:tc>
          <w:tcPr>
            <w:tcW w:w="2426" w:type="dxa"/>
            <w:shd w:val="clear" w:color="auto" w:fill="auto"/>
          </w:tcPr>
          <w:p w14:paraId="185B2EE5" w14:textId="13CDD44F" w:rsidR="28A9B94D" w:rsidRDefault="00F8475C" w:rsidP="28A9B94D">
            <w:pPr>
              <w:jc w:val="both"/>
              <w:rPr>
                <w:sz w:val="24"/>
                <w:szCs w:val="24"/>
              </w:rPr>
            </w:pPr>
            <w:r>
              <w:rPr>
                <w:sz w:val="24"/>
                <w:szCs w:val="24"/>
              </w:rPr>
              <w:t>Completion of future university workbooks.</w:t>
            </w:r>
          </w:p>
        </w:tc>
      </w:tr>
      <w:tr w:rsidR="004E1203" w:rsidRPr="00270EEB" w14:paraId="388337FE" w14:textId="77777777" w:rsidTr="28A9B94D">
        <w:tc>
          <w:tcPr>
            <w:tcW w:w="2462" w:type="dxa"/>
            <w:shd w:val="clear" w:color="auto" w:fill="auto"/>
          </w:tcPr>
          <w:p w14:paraId="5ED6CA0E" w14:textId="186DC38C" w:rsidR="004E1203" w:rsidRDefault="004E1203" w:rsidP="00E6298B">
            <w:pPr>
              <w:ind w:right="107"/>
              <w:jc w:val="both"/>
              <w:rPr>
                <w:sz w:val="24"/>
                <w:szCs w:val="24"/>
              </w:rPr>
            </w:pPr>
            <w:r>
              <w:rPr>
                <w:sz w:val="24"/>
                <w:szCs w:val="24"/>
              </w:rPr>
              <w:t xml:space="preserve">Carry on with skills learnt during this process while </w:t>
            </w:r>
            <w:r>
              <w:rPr>
                <w:sz w:val="24"/>
                <w:szCs w:val="24"/>
              </w:rPr>
              <w:lastRenderedPageBreak/>
              <w:t>independent patrol status.</w:t>
            </w:r>
          </w:p>
        </w:tc>
        <w:tc>
          <w:tcPr>
            <w:tcW w:w="2433" w:type="dxa"/>
            <w:shd w:val="clear" w:color="auto" w:fill="auto"/>
          </w:tcPr>
          <w:p w14:paraId="71125945" w14:textId="2132F6A8" w:rsidR="004E1203" w:rsidRDefault="004E1203" w:rsidP="00E6298B">
            <w:pPr>
              <w:ind w:right="107"/>
              <w:jc w:val="both"/>
              <w:rPr>
                <w:sz w:val="24"/>
                <w:szCs w:val="24"/>
              </w:rPr>
            </w:pPr>
            <w:r>
              <w:rPr>
                <w:sz w:val="24"/>
                <w:szCs w:val="24"/>
              </w:rPr>
              <w:lastRenderedPageBreak/>
              <w:t xml:space="preserve">Take on board what skills have been identified and use </w:t>
            </w:r>
            <w:r>
              <w:rPr>
                <w:sz w:val="24"/>
                <w:szCs w:val="24"/>
              </w:rPr>
              <w:lastRenderedPageBreak/>
              <w:t>these in future investigations</w:t>
            </w:r>
          </w:p>
        </w:tc>
        <w:tc>
          <w:tcPr>
            <w:tcW w:w="2426" w:type="dxa"/>
            <w:shd w:val="clear" w:color="auto" w:fill="auto"/>
          </w:tcPr>
          <w:p w14:paraId="39B1C93C" w14:textId="77777777" w:rsidR="004E1203" w:rsidRDefault="004E1203" w:rsidP="00E6298B">
            <w:pPr>
              <w:ind w:right="107"/>
              <w:jc w:val="both"/>
              <w:rPr>
                <w:sz w:val="24"/>
                <w:szCs w:val="24"/>
              </w:rPr>
            </w:pPr>
            <w:r>
              <w:rPr>
                <w:sz w:val="24"/>
                <w:szCs w:val="24"/>
              </w:rPr>
              <w:lastRenderedPageBreak/>
              <w:t>Supervisor</w:t>
            </w:r>
          </w:p>
          <w:p w14:paraId="67F79244" w14:textId="17CC9030" w:rsidR="004E1203" w:rsidRDefault="004E1203" w:rsidP="00E6298B">
            <w:pPr>
              <w:ind w:right="107"/>
              <w:jc w:val="both"/>
              <w:rPr>
                <w:sz w:val="24"/>
                <w:szCs w:val="24"/>
              </w:rPr>
            </w:pPr>
            <w:r>
              <w:rPr>
                <w:sz w:val="24"/>
                <w:szCs w:val="24"/>
              </w:rPr>
              <w:t>My colleagues</w:t>
            </w:r>
          </w:p>
        </w:tc>
        <w:tc>
          <w:tcPr>
            <w:tcW w:w="2426" w:type="dxa"/>
            <w:shd w:val="clear" w:color="auto" w:fill="auto"/>
          </w:tcPr>
          <w:p w14:paraId="3D623F4C" w14:textId="77777777" w:rsidR="004E1203" w:rsidRDefault="004E1203" w:rsidP="28A9B94D">
            <w:pPr>
              <w:jc w:val="both"/>
              <w:rPr>
                <w:sz w:val="24"/>
                <w:szCs w:val="24"/>
              </w:rPr>
            </w:pPr>
            <w:r>
              <w:rPr>
                <w:sz w:val="24"/>
                <w:szCs w:val="24"/>
              </w:rPr>
              <w:t>Ongoing development aspect throughout career.</w:t>
            </w:r>
          </w:p>
          <w:p w14:paraId="66B56E30" w14:textId="77777777" w:rsidR="00100327" w:rsidRDefault="00100327" w:rsidP="28A9B94D">
            <w:pPr>
              <w:jc w:val="both"/>
              <w:rPr>
                <w:sz w:val="24"/>
                <w:szCs w:val="24"/>
              </w:rPr>
            </w:pPr>
          </w:p>
          <w:p w14:paraId="388121EA" w14:textId="77777777" w:rsidR="00100327" w:rsidRDefault="00100327" w:rsidP="28A9B94D">
            <w:pPr>
              <w:jc w:val="both"/>
              <w:rPr>
                <w:sz w:val="24"/>
                <w:szCs w:val="24"/>
              </w:rPr>
            </w:pPr>
          </w:p>
          <w:p w14:paraId="1FB3319E" w14:textId="7AA89245" w:rsidR="00100327" w:rsidRDefault="00100327" w:rsidP="28A9B94D">
            <w:pPr>
              <w:jc w:val="both"/>
              <w:rPr>
                <w:sz w:val="24"/>
                <w:szCs w:val="24"/>
              </w:rPr>
            </w:pPr>
          </w:p>
        </w:tc>
      </w:tr>
      <w:tr w:rsidR="00100327" w:rsidRPr="00270EEB" w14:paraId="23AAF1CF" w14:textId="77777777" w:rsidTr="28A9B94D">
        <w:tc>
          <w:tcPr>
            <w:tcW w:w="2462" w:type="dxa"/>
            <w:shd w:val="clear" w:color="auto" w:fill="auto"/>
          </w:tcPr>
          <w:p w14:paraId="4ED4F6CB" w14:textId="032B035A" w:rsidR="00100327" w:rsidRDefault="00100327" w:rsidP="00E6298B">
            <w:pPr>
              <w:ind w:right="107"/>
              <w:jc w:val="both"/>
              <w:rPr>
                <w:sz w:val="24"/>
                <w:szCs w:val="24"/>
              </w:rPr>
            </w:pPr>
            <w:r>
              <w:rPr>
                <w:sz w:val="24"/>
                <w:szCs w:val="24"/>
              </w:rPr>
              <w:lastRenderedPageBreak/>
              <w:t>Complete Incident Checklist.</w:t>
            </w:r>
          </w:p>
        </w:tc>
        <w:tc>
          <w:tcPr>
            <w:tcW w:w="2433" w:type="dxa"/>
            <w:shd w:val="clear" w:color="auto" w:fill="auto"/>
          </w:tcPr>
          <w:p w14:paraId="5B0CAB14" w14:textId="69666A68" w:rsidR="00100327" w:rsidRDefault="00100327" w:rsidP="00E6298B">
            <w:pPr>
              <w:ind w:right="107"/>
              <w:jc w:val="both"/>
              <w:rPr>
                <w:sz w:val="24"/>
                <w:szCs w:val="24"/>
              </w:rPr>
            </w:pPr>
            <w:r>
              <w:rPr>
                <w:sz w:val="24"/>
                <w:szCs w:val="24"/>
              </w:rPr>
              <w:t>Identify incidents that would progress the checklist and attend with an experienced officer in order to learn and develop.</w:t>
            </w:r>
          </w:p>
        </w:tc>
        <w:tc>
          <w:tcPr>
            <w:tcW w:w="2426" w:type="dxa"/>
            <w:shd w:val="clear" w:color="auto" w:fill="auto"/>
          </w:tcPr>
          <w:p w14:paraId="2608D4C1" w14:textId="77777777" w:rsidR="00100327" w:rsidRDefault="00100327" w:rsidP="00E6298B">
            <w:pPr>
              <w:ind w:right="107"/>
              <w:jc w:val="both"/>
              <w:rPr>
                <w:sz w:val="24"/>
                <w:szCs w:val="24"/>
              </w:rPr>
            </w:pPr>
            <w:r>
              <w:rPr>
                <w:sz w:val="24"/>
                <w:szCs w:val="24"/>
              </w:rPr>
              <w:t>Supervisor</w:t>
            </w:r>
          </w:p>
          <w:p w14:paraId="7B5FF65B" w14:textId="77777777" w:rsidR="00100327" w:rsidRDefault="00100327" w:rsidP="00E6298B">
            <w:pPr>
              <w:ind w:right="107"/>
              <w:jc w:val="both"/>
              <w:rPr>
                <w:sz w:val="24"/>
                <w:szCs w:val="24"/>
              </w:rPr>
            </w:pPr>
            <w:r>
              <w:rPr>
                <w:sz w:val="24"/>
                <w:szCs w:val="24"/>
              </w:rPr>
              <w:t>My colleagues</w:t>
            </w:r>
          </w:p>
          <w:p w14:paraId="100BF63C" w14:textId="05ED4AEC" w:rsidR="00100327" w:rsidRDefault="00100327" w:rsidP="00E6298B">
            <w:pPr>
              <w:ind w:right="107"/>
              <w:jc w:val="both"/>
              <w:rPr>
                <w:sz w:val="24"/>
                <w:szCs w:val="24"/>
              </w:rPr>
            </w:pPr>
          </w:p>
        </w:tc>
        <w:tc>
          <w:tcPr>
            <w:tcW w:w="2426" w:type="dxa"/>
            <w:shd w:val="clear" w:color="auto" w:fill="auto"/>
          </w:tcPr>
          <w:p w14:paraId="35F218B7" w14:textId="5A912224" w:rsidR="00100327" w:rsidRDefault="00100327" w:rsidP="28A9B94D">
            <w:pPr>
              <w:jc w:val="both"/>
              <w:rPr>
                <w:sz w:val="24"/>
                <w:szCs w:val="24"/>
              </w:rPr>
            </w:pPr>
            <w:r>
              <w:rPr>
                <w:sz w:val="24"/>
                <w:szCs w:val="24"/>
              </w:rPr>
              <w:t xml:space="preserve">March 2021 – End of probation, although it is expected that this will be completed much sooner. </w:t>
            </w:r>
          </w:p>
        </w:tc>
      </w:tr>
      <w:tr w:rsidR="00100327" w:rsidRPr="00270EEB" w14:paraId="42F84C50" w14:textId="77777777" w:rsidTr="28A9B94D">
        <w:tc>
          <w:tcPr>
            <w:tcW w:w="2462" w:type="dxa"/>
            <w:shd w:val="clear" w:color="auto" w:fill="auto"/>
          </w:tcPr>
          <w:p w14:paraId="0F42A88C" w14:textId="7FC7BAE4" w:rsidR="00100327" w:rsidRDefault="00100327" w:rsidP="00E6298B">
            <w:pPr>
              <w:ind w:right="107"/>
              <w:jc w:val="both"/>
              <w:rPr>
                <w:sz w:val="24"/>
                <w:szCs w:val="24"/>
              </w:rPr>
            </w:pPr>
            <w:r>
              <w:rPr>
                <w:sz w:val="24"/>
                <w:szCs w:val="24"/>
              </w:rPr>
              <w:t>Competency with case file building</w:t>
            </w:r>
          </w:p>
        </w:tc>
        <w:tc>
          <w:tcPr>
            <w:tcW w:w="2433" w:type="dxa"/>
            <w:shd w:val="clear" w:color="auto" w:fill="auto"/>
          </w:tcPr>
          <w:p w14:paraId="0B48BCA2" w14:textId="7FB1D6FD" w:rsidR="00100327" w:rsidRDefault="00100327" w:rsidP="00E6298B">
            <w:pPr>
              <w:ind w:right="107"/>
              <w:jc w:val="both"/>
              <w:rPr>
                <w:sz w:val="24"/>
                <w:szCs w:val="24"/>
              </w:rPr>
            </w:pPr>
            <w:r>
              <w:rPr>
                <w:sz w:val="24"/>
                <w:szCs w:val="24"/>
              </w:rPr>
              <w:t>Become more competent when compiling a case file for CPS.</w:t>
            </w:r>
          </w:p>
        </w:tc>
        <w:tc>
          <w:tcPr>
            <w:tcW w:w="2426" w:type="dxa"/>
            <w:shd w:val="clear" w:color="auto" w:fill="auto"/>
          </w:tcPr>
          <w:p w14:paraId="62A41C09" w14:textId="77777777" w:rsidR="00100327" w:rsidRDefault="00100327" w:rsidP="00E6298B">
            <w:pPr>
              <w:ind w:right="107"/>
              <w:jc w:val="both"/>
              <w:rPr>
                <w:sz w:val="24"/>
                <w:szCs w:val="24"/>
              </w:rPr>
            </w:pPr>
            <w:r>
              <w:rPr>
                <w:sz w:val="24"/>
                <w:szCs w:val="24"/>
              </w:rPr>
              <w:t>Supervisor</w:t>
            </w:r>
          </w:p>
          <w:p w14:paraId="1685BF5A" w14:textId="77777777" w:rsidR="00100327" w:rsidRDefault="00100327" w:rsidP="00E6298B">
            <w:pPr>
              <w:ind w:right="107"/>
              <w:jc w:val="both"/>
              <w:rPr>
                <w:sz w:val="24"/>
                <w:szCs w:val="24"/>
              </w:rPr>
            </w:pPr>
            <w:r>
              <w:rPr>
                <w:sz w:val="24"/>
                <w:szCs w:val="24"/>
              </w:rPr>
              <w:t>Colleagues</w:t>
            </w:r>
          </w:p>
          <w:p w14:paraId="47130600" w14:textId="77777777" w:rsidR="00100327" w:rsidRDefault="00100327" w:rsidP="00E6298B">
            <w:pPr>
              <w:ind w:right="107"/>
              <w:jc w:val="both"/>
              <w:rPr>
                <w:sz w:val="24"/>
                <w:szCs w:val="24"/>
              </w:rPr>
            </w:pPr>
            <w:r>
              <w:rPr>
                <w:sz w:val="24"/>
                <w:szCs w:val="24"/>
              </w:rPr>
              <w:t>Hub staff</w:t>
            </w:r>
          </w:p>
          <w:p w14:paraId="506F08AD" w14:textId="77777777" w:rsidR="00100327" w:rsidRDefault="00100327" w:rsidP="00E6298B">
            <w:pPr>
              <w:ind w:right="107"/>
              <w:jc w:val="both"/>
              <w:rPr>
                <w:sz w:val="24"/>
                <w:szCs w:val="24"/>
              </w:rPr>
            </w:pPr>
            <w:r>
              <w:rPr>
                <w:sz w:val="24"/>
                <w:szCs w:val="24"/>
              </w:rPr>
              <w:t>Hub tutor</w:t>
            </w:r>
          </w:p>
          <w:p w14:paraId="0079480E" w14:textId="75B897E6" w:rsidR="00100327" w:rsidRDefault="00100327" w:rsidP="00E6298B">
            <w:pPr>
              <w:ind w:right="107"/>
              <w:jc w:val="both"/>
              <w:rPr>
                <w:sz w:val="24"/>
                <w:szCs w:val="24"/>
              </w:rPr>
            </w:pPr>
            <w:r>
              <w:rPr>
                <w:sz w:val="24"/>
                <w:szCs w:val="24"/>
              </w:rPr>
              <w:t>Hub supervisor</w:t>
            </w:r>
          </w:p>
        </w:tc>
        <w:tc>
          <w:tcPr>
            <w:tcW w:w="2426" w:type="dxa"/>
            <w:shd w:val="clear" w:color="auto" w:fill="auto"/>
          </w:tcPr>
          <w:p w14:paraId="47CDF336" w14:textId="609656CF" w:rsidR="00100327" w:rsidRDefault="00100327" w:rsidP="28A9B94D">
            <w:pPr>
              <w:jc w:val="both"/>
              <w:rPr>
                <w:sz w:val="24"/>
                <w:szCs w:val="24"/>
              </w:rPr>
            </w:pPr>
            <w:r>
              <w:rPr>
                <w:sz w:val="24"/>
                <w:szCs w:val="24"/>
              </w:rPr>
              <w:t xml:space="preserve">End of compulsory Hub attachment. </w:t>
            </w:r>
          </w:p>
        </w:tc>
      </w:tr>
    </w:tbl>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E6298B">
      <w:pPr>
        <w:ind w:right="107"/>
        <w:jc w:val="both"/>
        <w:rPr>
          <w:b/>
          <w:sz w:val="24"/>
          <w:szCs w:val="24"/>
        </w:rPr>
      </w:pPr>
    </w:p>
    <w:p w14:paraId="771ED3C6" w14:textId="77777777" w:rsidR="00521DE0" w:rsidRPr="00B729D2" w:rsidRDefault="00521DE0" w:rsidP="00521DE0">
      <w:pPr>
        <w:rPr>
          <w:sz w:val="22"/>
          <w:szCs w:val="22"/>
        </w:rPr>
      </w:pPr>
    </w:p>
    <w:p w14:paraId="74AF518E" w14:textId="754702E6" w:rsidR="00521DE0" w:rsidRDefault="00521DE0" w:rsidP="00521DE0">
      <w:pPr>
        <w:rPr>
          <w:color w:val="auto"/>
          <w:sz w:val="22"/>
          <w:szCs w:val="22"/>
          <w:shd w:val="clear" w:color="auto" w:fill="FFFFFF"/>
        </w:rPr>
      </w:pPr>
      <w:r w:rsidRPr="00B729D2">
        <w:rPr>
          <w:color w:val="auto"/>
          <w:sz w:val="22"/>
          <w:szCs w:val="22"/>
          <w:shd w:val="clear" w:color="auto" w:fill="FFFFFF"/>
        </w:rPr>
        <w:t>Abdullah, C. &amp; Wells, W. (2011), ‘Citizens' opinions about police discretion in criminal investigations’, </w:t>
      </w:r>
      <w:r w:rsidRPr="00B729D2">
        <w:rPr>
          <w:i/>
          <w:iCs/>
          <w:color w:val="auto"/>
          <w:sz w:val="22"/>
          <w:szCs w:val="22"/>
          <w:shd w:val="clear" w:color="auto" w:fill="FFFFFF"/>
        </w:rPr>
        <w:t>Policing, </w:t>
      </w:r>
      <w:r w:rsidRPr="00B729D2">
        <w:rPr>
          <w:bCs/>
          <w:color w:val="auto"/>
          <w:sz w:val="22"/>
          <w:szCs w:val="22"/>
          <w:shd w:val="clear" w:color="auto" w:fill="FFFFFF"/>
        </w:rPr>
        <w:t>34</w:t>
      </w:r>
      <w:r w:rsidRPr="00B729D2">
        <w:rPr>
          <w:color w:val="auto"/>
          <w:sz w:val="22"/>
          <w:szCs w:val="22"/>
          <w:shd w:val="clear" w:color="auto" w:fill="FFFFFF"/>
        </w:rPr>
        <w:t>(2), pp. 347-362.</w:t>
      </w:r>
    </w:p>
    <w:p w14:paraId="404728EA" w14:textId="77777777" w:rsidR="00521DE0" w:rsidRPr="00B729D2" w:rsidRDefault="00521DE0" w:rsidP="00521DE0">
      <w:pPr>
        <w:rPr>
          <w:color w:val="auto"/>
          <w:sz w:val="22"/>
          <w:szCs w:val="22"/>
          <w:shd w:val="clear" w:color="auto" w:fill="FFFFFF"/>
        </w:rPr>
      </w:pPr>
    </w:p>
    <w:p w14:paraId="04D8B3E5" w14:textId="028628CA" w:rsidR="00521DE0" w:rsidRDefault="00521DE0" w:rsidP="00521DE0">
      <w:pPr>
        <w:rPr>
          <w:color w:val="auto"/>
          <w:sz w:val="22"/>
          <w:szCs w:val="22"/>
        </w:rPr>
      </w:pPr>
      <w:r w:rsidRPr="00B729D2">
        <w:rPr>
          <w:color w:val="auto"/>
          <w:sz w:val="22"/>
          <w:szCs w:val="22"/>
        </w:rPr>
        <w:t>Ahmed, B., Khan, H., Choi, J. &amp; Guiterrez-Osunoa, R. (2016) ‘ReBreathe: A Calibration Protocol that Improves Stress/Relax Classification by Relabeling Deep Breathing Relaxation Exercises’. IEEE Transactions on Affective Computing, 7(2), pp150-161.</w:t>
      </w:r>
    </w:p>
    <w:p w14:paraId="6FD78607" w14:textId="77777777" w:rsidR="00521DE0" w:rsidRPr="00B729D2" w:rsidRDefault="00521DE0" w:rsidP="00521DE0">
      <w:pPr>
        <w:rPr>
          <w:color w:val="auto"/>
          <w:sz w:val="22"/>
          <w:szCs w:val="22"/>
        </w:rPr>
      </w:pPr>
    </w:p>
    <w:p w14:paraId="0879FCAF" w14:textId="263C6D2A" w:rsidR="00521DE0" w:rsidRDefault="00521DE0" w:rsidP="00521DE0">
      <w:pPr>
        <w:rPr>
          <w:color w:val="auto"/>
          <w:sz w:val="22"/>
          <w:szCs w:val="22"/>
          <w:shd w:val="clear" w:color="auto" w:fill="FFFFFF"/>
        </w:rPr>
      </w:pPr>
      <w:r w:rsidRPr="00B729D2">
        <w:rPr>
          <w:color w:val="auto"/>
          <w:sz w:val="22"/>
          <w:szCs w:val="22"/>
          <w:shd w:val="clear" w:color="auto" w:fill="FFFFFF"/>
        </w:rPr>
        <w:t>Benier, K. (2017) ‘The harms of hate: Comparing the neighbouring practices and interactions of hate crime victims, non-hate crime victims and non-victims’, </w:t>
      </w:r>
      <w:r w:rsidRPr="00B729D2">
        <w:rPr>
          <w:i/>
          <w:iCs/>
          <w:color w:val="auto"/>
          <w:sz w:val="22"/>
          <w:szCs w:val="22"/>
          <w:shd w:val="clear" w:color="auto" w:fill="FFFFFF"/>
        </w:rPr>
        <w:t>International Review of Victimology</w:t>
      </w:r>
      <w:r w:rsidRPr="00B729D2">
        <w:rPr>
          <w:color w:val="auto"/>
          <w:sz w:val="22"/>
          <w:szCs w:val="22"/>
          <w:shd w:val="clear" w:color="auto" w:fill="FFFFFF"/>
        </w:rPr>
        <w:t>, </w:t>
      </w:r>
      <w:r w:rsidRPr="00B729D2">
        <w:rPr>
          <w:iCs/>
          <w:color w:val="auto"/>
          <w:sz w:val="22"/>
          <w:szCs w:val="22"/>
          <w:shd w:val="clear" w:color="auto" w:fill="FFFFFF"/>
        </w:rPr>
        <w:t>23</w:t>
      </w:r>
      <w:r w:rsidRPr="00B729D2">
        <w:rPr>
          <w:color w:val="auto"/>
          <w:sz w:val="22"/>
          <w:szCs w:val="22"/>
          <w:shd w:val="clear" w:color="auto" w:fill="FFFFFF"/>
        </w:rPr>
        <w:t>(2), pp179–201.</w:t>
      </w:r>
    </w:p>
    <w:p w14:paraId="7734B062" w14:textId="77777777" w:rsidR="00521DE0" w:rsidRPr="00B729D2" w:rsidRDefault="00521DE0" w:rsidP="00521DE0">
      <w:pPr>
        <w:rPr>
          <w:color w:val="auto"/>
          <w:sz w:val="22"/>
          <w:szCs w:val="22"/>
          <w:shd w:val="clear" w:color="auto" w:fill="FFFFFF"/>
        </w:rPr>
      </w:pPr>
    </w:p>
    <w:p w14:paraId="4ADF8AA8" w14:textId="6AEE2DBC" w:rsidR="00521DE0" w:rsidRDefault="00521DE0" w:rsidP="00521DE0">
      <w:pPr>
        <w:rPr>
          <w:color w:val="auto"/>
          <w:sz w:val="22"/>
          <w:szCs w:val="22"/>
          <w:shd w:val="clear" w:color="auto" w:fill="FFFFFF"/>
        </w:rPr>
      </w:pPr>
      <w:r w:rsidRPr="00B729D2">
        <w:rPr>
          <w:color w:val="auto"/>
          <w:sz w:val="22"/>
          <w:szCs w:val="22"/>
          <w:shd w:val="clear" w:color="auto" w:fill="FFFFFF"/>
        </w:rPr>
        <w:t>Briones-Robinson, R., Powers, R. A. &amp; Socia, K. M. (2016) ‘Sexual Orientation Bias Crimes: Examination of Reporting, Perception of Police Bias, and Differential Police Response’, </w:t>
      </w:r>
      <w:r w:rsidRPr="00B729D2">
        <w:rPr>
          <w:i/>
          <w:iCs/>
          <w:color w:val="auto"/>
          <w:sz w:val="22"/>
          <w:szCs w:val="22"/>
          <w:shd w:val="clear" w:color="auto" w:fill="FFFFFF"/>
        </w:rPr>
        <w:t>Criminal Justice and Behaviour</w:t>
      </w:r>
      <w:r w:rsidRPr="00B729D2">
        <w:rPr>
          <w:color w:val="auto"/>
          <w:sz w:val="22"/>
          <w:szCs w:val="22"/>
          <w:shd w:val="clear" w:color="auto" w:fill="FFFFFF"/>
        </w:rPr>
        <w:t>, </w:t>
      </w:r>
      <w:r w:rsidRPr="00B729D2">
        <w:rPr>
          <w:iCs/>
          <w:color w:val="auto"/>
          <w:sz w:val="22"/>
          <w:szCs w:val="22"/>
          <w:shd w:val="clear" w:color="auto" w:fill="FFFFFF"/>
        </w:rPr>
        <w:t>43</w:t>
      </w:r>
      <w:r w:rsidRPr="00B729D2">
        <w:rPr>
          <w:color w:val="auto"/>
          <w:sz w:val="22"/>
          <w:szCs w:val="22"/>
          <w:shd w:val="clear" w:color="auto" w:fill="FFFFFF"/>
        </w:rPr>
        <w:t>(12), pp1688–1709.</w:t>
      </w:r>
    </w:p>
    <w:p w14:paraId="4E5D674D" w14:textId="77777777" w:rsidR="00521DE0" w:rsidRPr="00B729D2" w:rsidRDefault="00521DE0" w:rsidP="00521DE0">
      <w:pPr>
        <w:rPr>
          <w:color w:val="auto"/>
          <w:sz w:val="22"/>
          <w:szCs w:val="22"/>
          <w:lang w:val="en"/>
        </w:rPr>
      </w:pPr>
    </w:p>
    <w:p w14:paraId="7CD73B00" w14:textId="6293434A" w:rsidR="00521DE0" w:rsidRDefault="00521DE0" w:rsidP="00521DE0">
      <w:pPr>
        <w:rPr>
          <w:color w:val="auto"/>
          <w:sz w:val="22"/>
          <w:szCs w:val="22"/>
          <w:lang w:val="en"/>
        </w:rPr>
      </w:pPr>
      <w:r w:rsidRPr="00B729D2">
        <w:rPr>
          <w:color w:val="auto"/>
          <w:sz w:val="22"/>
          <w:szCs w:val="22"/>
          <w:lang w:val="en"/>
        </w:rPr>
        <w:t xml:space="preserve">Christopher, S (2015) ‘The Police Service Can Be a Critical Reflective Practice … If It Wants’, </w:t>
      </w:r>
      <w:r w:rsidRPr="00B729D2">
        <w:rPr>
          <w:i/>
          <w:iCs/>
          <w:color w:val="auto"/>
          <w:sz w:val="22"/>
          <w:szCs w:val="22"/>
          <w:lang w:val="en"/>
        </w:rPr>
        <w:t>Policing: A Journal of Policy and Practice</w:t>
      </w:r>
      <w:r w:rsidRPr="00B729D2">
        <w:rPr>
          <w:color w:val="auto"/>
          <w:sz w:val="22"/>
          <w:szCs w:val="22"/>
          <w:lang w:val="en"/>
        </w:rPr>
        <w:t>, 9(4), pp326–339.</w:t>
      </w:r>
    </w:p>
    <w:p w14:paraId="468947CC" w14:textId="77777777" w:rsidR="00521DE0" w:rsidRPr="00B729D2" w:rsidRDefault="00521DE0" w:rsidP="00521DE0">
      <w:pPr>
        <w:rPr>
          <w:color w:val="auto"/>
          <w:sz w:val="22"/>
          <w:szCs w:val="22"/>
          <w:lang w:val="en"/>
        </w:rPr>
      </w:pPr>
    </w:p>
    <w:p w14:paraId="67FF6562" w14:textId="3F2BE35D" w:rsidR="00521DE0" w:rsidRDefault="00521DE0" w:rsidP="00521DE0">
      <w:pPr>
        <w:rPr>
          <w:color w:val="auto"/>
          <w:sz w:val="22"/>
          <w:szCs w:val="22"/>
        </w:rPr>
      </w:pPr>
      <w:r w:rsidRPr="00B729D2">
        <w:rPr>
          <w:color w:val="auto"/>
          <w:sz w:val="22"/>
          <w:szCs w:val="22"/>
        </w:rPr>
        <w:t xml:space="preserve">Clements, P &amp; Jones J. (2008) </w:t>
      </w:r>
      <w:r w:rsidRPr="00B729D2">
        <w:rPr>
          <w:i/>
          <w:color w:val="auto"/>
          <w:sz w:val="22"/>
          <w:szCs w:val="22"/>
        </w:rPr>
        <w:t xml:space="preserve">The Diversity Training Handbook. </w:t>
      </w:r>
      <w:r w:rsidRPr="00B729D2">
        <w:rPr>
          <w:color w:val="auto"/>
          <w:sz w:val="22"/>
          <w:szCs w:val="22"/>
        </w:rPr>
        <w:t xml:space="preserve">London: Kogan Page Ltd. [ebook]. Available at </w:t>
      </w:r>
      <w:hyperlink r:id="rId24" w:history="1">
        <w:r w:rsidRPr="00856954">
          <w:rPr>
            <w:rStyle w:val="Hyperlink"/>
            <w:sz w:val="22"/>
            <w:szCs w:val="22"/>
          </w:rPr>
          <w:t>https://www-dawsonera-com.ezproxy.uwtsd.ac.uk/abstract/9780749455620</w:t>
        </w:r>
      </w:hyperlink>
    </w:p>
    <w:p w14:paraId="54F250E4" w14:textId="77777777" w:rsidR="00521DE0" w:rsidRPr="00B729D2" w:rsidRDefault="00521DE0" w:rsidP="00521DE0">
      <w:pPr>
        <w:rPr>
          <w:color w:val="auto"/>
          <w:sz w:val="22"/>
          <w:szCs w:val="22"/>
        </w:rPr>
      </w:pPr>
    </w:p>
    <w:p w14:paraId="4BE16081" w14:textId="40ECE315" w:rsidR="00521DE0" w:rsidRDefault="00521DE0" w:rsidP="00521DE0">
      <w:pPr>
        <w:rPr>
          <w:color w:val="auto"/>
          <w:sz w:val="22"/>
          <w:szCs w:val="22"/>
        </w:rPr>
      </w:pPr>
      <w:r w:rsidRPr="00B729D2">
        <w:rPr>
          <w:color w:val="auto"/>
          <w:sz w:val="22"/>
          <w:szCs w:val="22"/>
          <w:shd w:val="clear" w:color="auto" w:fill="FFFFFF"/>
        </w:rPr>
        <w:t>College of Policing (2014</w:t>
      </w:r>
      <w:r w:rsidR="00770902">
        <w:rPr>
          <w:color w:val="auto"/>
          <w:sz w:val="22"/>
          <w:szCs w:val="22"/>
          <w:shd w:val="clear" w:color="auto" w:fill="FFFFFF"/>
        </w:rPr>
        <w:t>a</w:t>
      </w:r>
      <w:r w:rsidRPr="00B729D2">
        <w:rPr>
          <w:color w:val="auto"/>
          <w:sz w:val="22"/>
          <w:szCs w:val="22"/>
          <w:shd w:val="clear" w:color="auto" w:fill="FFFFFF"/>
        </w:rPr>
        <w:t xml:space="preserve">), </w:t>
      </w:r>
      <w:r w:rsidRPr="00B729D2">
        <w:rPr>
          <w:i/>
          <w:color w:val="auto"/>
          <w:sz w:val="22"/>
          <w:szCs w:val="22"/>
        </w:rPr>
        <w:t xml:space="preserve">Code of Ethics: A Code of Practice for the Principles and Standards of Professional Behaviour for the Policing Profession of England and Wales. </w:t>
      </w:r>
      <w:r w:rsidRPr="00B729D2">
        <w:rPr>
          <w:color w:val="auto"/>
          <w:sz w:val="22"/>
          <w:szCs w:val="22"/>
        </w:rPr>
        <w:t xml:space="preserve">Available at: </w:t>
      </w:r>
      <w:hyperlink r:id="rId25" w:history="1">
        <w:r w:rsidRPr="00B729D2">
          <w:rPr>
            <w:rStyle w:val="Hyperlink"/>
            <w:color w:val="auto"/>
            <w:sz w:val="22"/>
            <w:szCs w:val="22"/>
          </w:rPr>
          <w:t>https://www.college.police.uk/What-we-do/Ethics/Documents/Code_of_Ethics.pdf</w:t>
        </w:r>
      </w:hyperlink>
      <w:r w:rsidRPr="00B729D2">
        <w:rPr>
          <w:color w:val="auto"/>
          <w:sz w:val="22"/>
          <w:szCs w:val="22"/>
        </w:rPr>
        <w:t>. [Accessed on 11/12/2019].</w:t>
      </w:r>
    </w:p>
    <w:p w14:paraId="7402E44C" w14:textId="77777777" w:rsidR="00521DE0" w:rsidRPr="00B729D2" w:rsidRDefault="00521DE0" w:rsidP="00521DE0">
      <w:pPr>
        <w:rPr>
          <w:color w:val="auto"/>
          <w:sz w:val="22"/>
          <w:szCs w:val="22"/>
        </w:rPr>
      </w:pPr>
    </w:p>
    <w:p w14:paraId="20401107" w14:textId="16BE1B67" w:rsidR="00521DE0" w:rsidRDefault="00521DE0" w:rsidP="00521DE0">
      <w:pPr>
        <w:rPr>
          <w:color w:val="auto"/>
          <w:sz w:val="22"/>
          <w:szCs w:val="22"/>
        </w:rPr>
      </w:pPr>
      <w:r w:rsidRPr="00B729D2">
        <w:rPr>
          <w:color w:val="auto"/>
          <w:sz w:val="22"/>
          <w:szCs w:val="22"/>
        </w:rPr>
        <w:t>College of Policing (2014</w:t>
      </w:r>
      <w:r w:rsidR="00770902">
        <w:rPr>
          <w:color w:val="auto"/>
          <w:sz w:val="22"/>
          <w:szCs w:val="22"/>
        </w:rPr>
        <w:t>b</w:t>
      </w:r>
      <w:r w:rsidRPr="00B729D2">
        <w:rPr>
          <w:color w:val="auto"/>
          <w:sz w:val="22"/>
          <w:szCs w:val="22"/>
        </w:rPr>
        <w:t xml:space="preserve">) </w:t>
      </w:r>
      <w:r w:rsidRPr="00B729D2">
        <w:rPr>
          <w:i/>
          <w:color w:val="auto"/>
          <w:sz w:val="22"/>
          <w:szCs w:val="22"/>
        </w:rPr>
        <w:t>National Decision Model</w:t>
      </w:r>
      <w:r w:rsidRPr="00B729D2">
        <w:rPr>
          <w:color w:val="auto"/>
          <w:sz w:val="22"/>
          <w:szCs w:val="22"/>
        </w:rPr>
        <w:t xml:space="preserve">. Available at: </w:t>
      </w:r>
      <w:hyperlink r:id="rId26" w:history="1">
        <w:r w:rsidRPr="00B729D2">
          <w:rPr>
            <w:color w:val="auto"/>
            <w:sz w:val="22"/>
            <w:szCs w:val="22"/>
            <w:u w:val="single"/>
          </w:rPr>
          <w:t>https://www.app.college.police.uk/app-content/national-decision-model/the-national-decision-model/</w:t>
        </w:r>
      </w:hyperlink>
      <w:r w:rsidRPr="00B729D2">
        <w:rPr>
          <w:color w:val="auto"/>
          <w:sz w:val="22"/>
          <w:szCs w:val="22"/>
        </w:rPr>
        <w:t>. [Accessed on 19/12/2019].</w:t>
      </w:r>
    </w:p>
    <w:p w14:paraId="560F1950" w14:textId="77777777" w:rsidR="00521DE0" w:rsidRPr="00B729D2" w:rsidRDefault="00521DE0" w:rsidP="00521DE0">
      <w:pPr>
        <w:rPr>
          <w:color w:val="auto"/>
          <w:sz w:val="22"/>
          <w:szCs w:val="22"/>
        </w:rPr>
      </w:pPr>
    </w:p>
    <w:p w14:paraId="54D9FD0D" w14:textId="0EEAF095" w:rsidR="00521DE0" w:rsidRDefault="00770902" w:rsidP="00521DE0">
      <w:pPr>
        <w:rPr>
          <w:color w:val="auto"/>
          <w:sz w:val="22"/>
          <w:szCs w:val="22"/>
        </w:rPr>
      </w:pPr>
      <w:r>
        <w:rPr>
          <w:color w:val="auto"/>
          <w:sz w:val="22"/>
          <w:szCs w:val="22"/>
        </w:rPr>
        <w:t>College of Policing (2014c</w:t>
      </w:r>
      <w:r w:rsidR="00521DE0" w:rsidRPr="00B729D2">
        <w:rPr>
          <w:color w:val="auto"/>
          <w:sz w:val="22"/>
          <w:szCs w:val="22"/>
        </w:rPr>
        <w:t xml:space="preserve">) </w:t>
      </w:r>
      <w:r w:rsidR="00521DE0" w:rsidRPr="00B729D2">
        <w:rPr>
          <w:i/>
          <w:color w:val="auto"/>
          <w:sz w:val="22"/>
          <w:szCs w:val="22"/>
        </w:rPr>
        <w:t xml:space="preserve">Code of Ethics. </w:t>
      </w:r>
      <w:r w:rsidR="00521DE0" w:rsidRPr="00B729D2">
        <w:rPr>
          <w:color w:val="auto"/>
          <w:sz w:val="22"/>
          <w:szCs w:val="22"/>
        </w:rPr>
        <w:t xml:space="preserve">Available at: </w:t>
      </w:r>
      <w:hyperlink r:id="rId27" w:history="1">
        <w:r w:rsidR="00521DE0" w:rsidRPr="00B729D2">
          <w:rPr>
            <w:rStyle w:val="Hyperlink"/>
            <w:color w:val="auto"/>
            <w:sz w:val="22"/>
            <w:szCs w:val="22"/>
          </w:rPr>
          <w:t>https://www.college.police.uk/What-we-do/Ethics/Documents/Code_of_Ethics.pdf</w:t>
        </w:r>
      </w:hyperlink>
      <w:r w:rsidR="00521DE0" w:rsidRPr="00B729D2">
        <w:rPr>
          <w:color w:val="auto"/>
          <w:sz w:val="22"/>
          <w:szCs w:val="22"/>
        </w:rPr>
        <w:t>. [Accessed 01/01/2020].</w:t>
      </w:r>
    </w:p>
    <w:p w14:paraId="2DE354AF" w14:textId="77777777" w:rsidR="00521DE0" w:rsidRPr="00B729D2" w:rsidRDefault="00521DE0" w:rsidP="00521DE0">
      <w:pPr>
        <w:rPr>
          <w:color w:val="auto"/>
          <w:sz w:val="22"/>
          <w:szCs w:val="22"/>
        </w:rPr>
      </w:pPr>
    </w:p>
    <w:p w14:paraId="49CDCED0" w14:textId="77777777" w:rsidR="00521DE0" w:rsidRPr="00B729D2" w:rsidRDefault="00521DE0" w:rsidP="00521DE0">
      <w:pPr>
        <w:rPr>
          <w:color w:val="auto"/>
          <w:sz w:val="22"/>
          <w:szCs w:val="22"/>
        </w:rPr>
      </w:pPr>
      <w:r w:rsidRPr="00B729D2">
        <w:rPr>
          <w:color w:val="auto"/>
          <w:sz w:val="22"/>
          <w:szCs w:val="22"/>
        </w:rPr>
        <w:t xml:space="preserve">Collier, J. (1999) ‘Tackling Institutional Racism’, </w:t>
      </w:r>
      <w:r w:rsidRPr="00B729D2">
        <w:rPr>
          <w:i/>
          <w:color w:val="auto"/>
          <w:sz w:val="22"/>
          <w:szCs w:val="22"/>
        </w:rPr>
        <w:t>British Medical Journal</w:t>
      </w:r>
      <w:r w:rsidRPr="00B729D2">
        <w:rPr>
          <w:color w:val="auto"/>
          <w:sz w:val="22"/>
          <w:szCs w:val="22"/>
        </w:rPr>
        <w:t>, 318(7184), pp679-679.</w:t>
      </w:r>
    </w:p>
    <w:p w14:paraId="0701C183" w14:textId="77777777" w:rsidR="00521DE0" w:rsidRDefault="00521DE0" w:rsidP="00521DE0">
      <w:pPr>
        <w:rPr>
          <w:color w:val="auto"/>
          <w:sz w:val="22"/>
          <w:szCs w:val="22"/>
        </w:rPr>
      </w:pPr>
    </w:p>
    <w:p w14:paraId="7783DB66" w14:textId="7173EAC0" w:rsidR="00521DE0" w:rsidRPr="00B729D2" w:rsidRDefault="00521DE0" w:rsidP="00521DE0">
      <w:pPr>
        <w:rPr>
          <w:color w:val="auto"/>
          <w:sz w:val="22"/>
          <w:szCs w:val="22"/>
        </w:rPr>
      </w:pPr>
      <w:r w:rsidRPr="00B729D2">
        <w:rPr>
          <w:color w:val="auto"/>
          <w:sz w:val="22"/>
          <w:szCs w:val="22"/>
        </w:rPr>
        <w:t xml:space="preserve">Crown Prosecution Service (2017) </w:t>
      </w:r>
      <w:r w:rsidRPr="00B729D2">
        <w:rPr>
          <w:i/>
          <w:color w:val="auto"/>
          <w:sz w:val="22"/>
          <w:szCs w:val="22"/>
        </w:rPr>
        <w:t>Hate Crime</w:t>
      </w:r>
      <w:r w:rsidRPr="00B729D2">
        <w:rPr>
          <w:color w:val="auto"/>
          <w:sz w:val="22"/>
          <w:szCs w:val="22"/>
        </w:rPr>
        <w:t xml:space="preserve">. Available at: </w:t>
      </w:r>
      <w:hyperlink r:id="rId28" w:history="1">
        <w:r w:rsidRPr="00B729D2">
          <w:rPr>
            <w:rStyle w:val="Hyperlink"/>
            <w:color w:val="auto"/>
            <w:sz w:val="22"/>
            <w:szCs w:val="22"/>
          </w:rPr>
          <w:t>https://www.cps.gov.uk/hate-crime</w:t>
        </w:r>
      </w:hyperlink>
      <w:r w:rsidRPr="00B729D2">
        <w:rPr>
          <w:color w:val="auto"/>
          <w:sz w:val="22"/>
          <w:szCs w:val="22"/>
        </w:rPr>
        <w:t xml:space="preserve">. [Accessed on 09/12/2019]. </w:t>
      </w:r>
    </w:p>
    <w:p w14:paraId="39EAD434" w14:textId="77777777" w:rsidR="00521DE0" w:rsidRDefault="00521DE0" w:rsidP="00521DE0">
      <w:pPr>
        <w:rPr>
          <w:color w:val="auto"/>
          <w:sz w:val="22"/>
          <w:szCs w:val="22"/>
        </w:rPr>
      </w:pPr>
    </w:p>
    <w:p w14:paraId="1884D018" w14:textId="0E38F3BA" w:rsidR="00521DE0" w:rsidRPr="00B729D2" w:rsidRDefault="00521DE0" w:rsidP="00521DE0">
      <w:pPr>
        <w:rPr>
          <w:color w:val="auto"/>
          <w:sz w:val="22"/>
          <w:szCs w:val="22"/>
        </w:rPr>
      </w:pPr>
      <w:r w:rsidRPr="00B729D2">
        <w:rPr>
          <w:color w:val="auto"/>
          <w:sz w:val="22"/>
          <w:szCs w:val="22"/>
        </w:rPr>
        <w:t xml:space="preserve">Crown Prosecution Service (2019) </w:t>
      </w:r>
      <w:r w:rsidRPr="00B729D2">
        <w:rPr>
          <w:i/>
          <w:color w:val="auto"/>
          <w:sz w:val="22"/>
          <w:szCs w:val="22"/>
        </w:rPr>
        <w:t>Hate Crime Report 2018-19</w:t>
      </w:r>
      <w:r w:rsidRPr="00B729D2">
        <w:rPr>
          <w:color w:val="auto"/>
          <w:sz w:val="22"/>
          <w:szCs w:val="22"/>
        </w:rPr>
        <w:t xml:space="preserve">. Available at: </w:t>
      </w:r>
      <w:hyperlink r:id="rId29" w:history="1">
        <w:r w:rsidRPr="00B729D2">
          <w:rPr>
            <w:rStyle w:val="Hyperlink"/>
            <w:color w:val="auto"/>
            <w:sz w:val="22"/>
            <w:szCs w:val="22"/>
          </w:rPr>
          <w:t>https://www.cps.gov.uk/sites/default/files/documents/publications/CPS-Hate-Crime-Annual-Report-2018-2019.PDF</w:t>
        </w:r>
      </w:hyperlink>
      <w:r w:rsidRPr="00B729D2">
        <w:rPr>
          <w:color w:val="auto"/>
          <w:sz w:val="22"/>
          <w:szCs w:val="22"/>
        </w:rPr>
        <w:t>. [Accessed 09/12/2019].</w:t>
      </w:r>
    </w:p>
    <w:p w14:paraId="39B42CDF" w14:textId="77777777" w:rsidR="00521DE0" w:rsidRDefault="00521DE0" w:rsidP="00521DE0">
      <w:pPr>
        <w:rPr>
          <w:color w:val="auto"/>
          <w:sz w:val="22"/>
          <w:szCs w:val="22"/>
        </w:rPr>
      </w:pPr>
    </w:p>
    <w:p w14:paraId="3A2FDBE5" w14:textId="7B34F551" w:rsidR="00521DE0" w:rsidRPr="00B729D2" w:rsidRDefault="00521DE0" w:rsidP="00521DE0">
      <w:pPr>
        <w:rPr>
          <w:color w:val="auto"/>
          <w:sz w:val="22"/>
          <w:szCs w:val="22"/>
          <w:shd w:val="clear" w:color="auto" w:fill="FFFFFF"/>
        </w:rPr>
      </w:pPr>
      <w:r w:rsidRPr="00B729D2">
        <w:rPr>
          <w:color w:val="auto"/>
          <w:sz w:val="22"/>
          <w:szCs w:val="22"/>
        </w:rPr>
        <w:t>Del Giudice, M., Ellis, B. &amp; Shirtcliff, E. (2011) ‘</w:t>
      </w:r>
      <w:r w:rsidRPr="00B729D2">
        <w:rPr>
          <w:color w:val="auto"/>
          <w:sz w:val="22"/>
          <w:szCs w:val="22"/>
          <w:shd w:val="clear" w:color="auto" w:fill="FFFFFF"/>
        </w:rPr>
        <w:t>The Adaptive Calibration Model of Stress Responsivity’. Neuroscience and Biobehavioural Reviews, 35 (7), pp1562-1592</w:t>
      </w:r>
    </w:p>
    <w:p w14:paraId="5913BC5A" w14:textId="77777777" w:rsidR="00521DE0" w:rsidRPr="00B729D2" w:rsidRDefault="00521DE0" w:rsidP="00521DE0">
      <w:pPr>
        <w:rPr>
          <w:color w:val="auto"/>
          <w:sz w:val="22"/>
          <w:szCs w:val="22"/>
        </w:rPr>
      </w:pPr>
      <w:r w:rsidRPr="00B729D2">
        <w:rPr>
          <w:color w:val="auto"/>
          <w:sz w:val="22"/>
          <w:szCs w:val="22"/>
          <w:lang w:val="en"/>
        </w:rPr>
        <w:lastRenderedPageBreak/>
        <w:t>Dodd, V. (2016) ‘</w:t>
      </w:r>
      <w:r w:rsidRPr="00B729D2">
        <w:rPr>
          <w:color w:val="auto"/>
          <w:sz w:val="22"/>
          <w:szCs w:val="22"/>
        </w:rPr>
        <w:t xml:space="preserve">Police officers must be aware of biases, says training college’, </w:t>
      </w:r>
      <w:r w:rsidRPr="00B729D2">
        <w:rPr>
          <w:i/>
          <w:color w:val="auto"/>
          <w:sz w:val="22"/>
          <w:szCs w:val="22"/>
        </w:rPr>
        <w:t xml:space="preserve">The Guardian, </w:t>
      </w:r>
      <w:r w:rsidRPr="00B729D2">
        <w:rPr>
          <w:color w:val="auto"/>
          <w:sz w:val="22"/>
          <w:szCs w:val="22"/>
        </w:rPr>
        <w:t xml:space="preserve">27 October 2016. Accessed at: </w:t>
      </w:r>
      <w:hyperlink r:id="rId30" w:history="1">
        <w:r w:rsidRPr="00B729D2">
          <w:rPr>
            <w:rStyle w:val="Hyperlink"/>
            <w:color w:val="auto"/>
            <w:sz w:val="22"/>
            <w:szCs w:val="22"/>
          </w:rPr>
          <w:t>https://www.theguardian.com/uk-news/2016/oct/27/police-officers-must-be-aware-of-biases-says-england-training-college</w:t>
        </w:r>
      </w:hyperlink>
      <w:r w:rsidRPr="00B729D2">
        <w:rPr>
          <w:color w:val="auto"/>
          <w:sz w:val="22"/>
          <w:szCs w:val="22"/>
        </w:rPr>
        <w:t>. [Accessed on 01/01/2020].</w:t>
      </w:r>
    </w:p>
    <w:p w14:paraId="12998FA7" w14:textId="77777777" w:rsidR="00521DE0" w:rsidRDefault="00521DE0" w:rsidP="00521DE0">
      <w:pPr>
        <w:rPr>
          <w:color w:val="auto"/>
          <w:sz w:val="22"/>
          <w:szCs w:val="22"/>
        </w:rPr>
      </w:pPr>
    </w:p>
    <w:p w14:paraId="652DB291" w14:textId="3C43DD9C" w:rsidR="00521DE0" w:rsidRPr="00B729D2" w:rsidRDefault="00521DE0" w:rsidP="00521DE0">
      <w:pPr>
        <w:rPr>
          <w:color w:val="auto"/>
          <w:sz w:val="22"/>
          <w:szCs w:val="22"/>
        </w:rPr>
      </w:pPr>
      <w:r w:rsidRPr="00B729D2">
        <w:rPr>
          <w:color w:val="auto"/>
          <w:sz w:val="22"/>
          <w:szCs w:val="22"/>
        </w:rPr>
        <w:t>Fevre, M.L., Matheny, J. &amp; Kolt, G.S. (2003) ‘Eustress, distress, and interpretation in occupational stress’. Journal of Managerial Psychology, 18 (7), pp726-744.</w:t>
      </w:r>
    </w:p>
    <w:p w14:paraId="6A817FA2" w14:textId="77777777" w:rsidR="00521DE0" w:rsidRDefault="00521DE0" w:rsidP="00521DE0">
      <w:pPr>
        <w:rPr>
          <w:color w:val="auto"/>
          <w:sz w:val="22"/>
          <w:szCs w:val="22"/>
        </w:rPr>
      </w:pPr>
    </w:p>
    <w:p w14:paraId="252857C5" w14:textId="5C6A0653" w:rsidR="00521DE0" w:rsidRPr="00B729D2" w:rsidRDefault="00521DE0" w:rsidP="00521DE0">
      <w:pPr>
        <w:rPr>
          <w:color w:val="auto"/>
          <w:sz w:val="22"/>
          <w:szCs w:val="22"/>
        </w:rPr>
      </w:pPr>
      <w:r w:rsidRPr="00B729D2">
        <w:rPr>
          <w:color w:val="auto"/>
          <w:sz w:val="22"/>
          <w:szCs w:val="22"/>
        </w:rPr>
        <w:t xml:space="preserve">Gill, P. (2012), ‘Misleading DNA Evidence: Reasons for Miscarriages of Justice’, </w:t>
      </w:r>
      <w:r w:rsidRPr="00B729D2">
        <w:rPr>
          <w:i/>
          <w:color w:val="auto"/>
          <w:sz w:val="22"/>
          <w:szCs w:val="22"/>
        </w:rPr>
        <w:t xml:space="preserve">International Commentary on Evidence, </w:t>
      </w:r>
      <w:r w:rsidRPr="00B729D2">
        <w:rPr>
          <w:color w:val="auto"/>
          <w:sz w:val="22"/>
          <w:szCs w:val="22"/>
        </w:rPr>
        <w:t>10(1), pp. 55-71.</w:t>
      </w:r>
    </w:p>
    <w:p w14:paraId="59CD3DEC" w14:textId="77777777" w:rsidR="00521DE0" w:rsidRDefault="00521DE0" w:rsidP="00521DE0">
      <w:pPr>
        <w:rPr>
          <w:color w:val="auto"/>
          <w:sz w:val="22"/>
          <w:szCs w:val="22"/>
        </w:rPr>
      </w:pPr>
    </w:p>
    <w:p w14:paraId="17BBD40C" w14:textId="7A9C509B" w:rsidR="00521DE0" w:rsidRPr="00B729D2" w:rsidRDefault="00521DE0" w:rsidP="00521DE0">
      <w:pPr>
        <w:rPr>
          <w:color w:val="auto"/>
          <w:sz w:val="22"/>
          <w:szCs w:val="22"/>
        </w:rPr>
      </w:pPr>
      <w:r w:rsidRPr="00B729D2">
        <w:rPr>
          <w:color w:val="auto"/>
          <w:sz w:val="22"/>
          <w:szCs w:val="22"/>
        </w:rPr>
        <w:t>Great Britain: Children’s Act 1989. Chapter 41. London: HMSO, 1989.</w:t>
      </w:r>
    </w:p>
    <w:p w14:paraId="2C1EC794" w14:textId="27B1A1B1" w:rsidR="00521DE0" w:rsidRDefault="00521DE0" w:rsidP="00521DE0">
      <w:pPr>
        <w:rPr>
          <w:color w:val="auto"/>
          <w:sz w:val="22"/>
          <w:szCs w:val="22"/>
        </w:rPr>
      </w:pPr>
    </w:p>
    <w:p w14:paraId="1BC27BAC" w14:textId="30BF0B3C" w:rsidR="00521DE0" w:rsidRPr="00B729D2" w:rsidRDefault="00521DE0" w:rsidP="00521DE0">
      <w:pPr>
        <w:rPr>
          <w:color w:val="auto"/>
          <w:sz w:val="22"/>
          <w:szCs w:val="22"/>
        </w:rPr>
      </w:pPr>
      <w:r w:rsidRPr="00B729D2">
        <w:rPr>
          <w:color w:val="auto"/>
          <w:sz w:val="22"/>
          <w:szCs w:val="22"/>
        </w:rPr>
        <w:t>Great Britain: Crime and Disorder Act 1998. Chapter 37. London: HMSO, 1998.</w:t>
      </w:r>
    </w:p>
    <w:p w14:paraId="50B9995A" w14:textId="77777777" w:rsidR="00521DE0" w:rsidRDefault="00521DE0" w:rsidP="00521DE0">
      <w:pPr>
        <w:rPr>
          <w:color w:val="auto"/>
          <w:sz w:val="22"/>
          <w:szCs w:val="22"/>
        </w:rPr>
      </w:pPr>
    </w:p>
    <w:p w14:paraId="0F0F2884" w14:textId="6DC59A33" w:rsidR="00521DE0" w:rsidRPr="00B729D2" w:rsidRDefault="00521DE0" w:rsidP="00521DE0">
      <w:pPr>
        <w:rPr>
          <w:color w:val="auto"/>
          <w:sz w:val="22"/>
          <w:szCs w:val="22"/>
        </w:rPr>
      </w:pPr>
      <w:r w:rsidRPr="00B729D2">
        <w:rPr>
          <w:color w:val="auto"/>
          <w:sz w:val="22"/>
          <w:szCs w:val="22"/>
        </w:rPr>
        <w:t xml:space="preserve">Great Britain: Criminal Justice Act 2003. Chapter 44. London: HMSO, 2003. </w:t>
      </w:r>
    </w:p>
    <w:p w14:paraId="03CE7CB5" w14:textId="77777777" w:rsidR="00521DE0" w:rsidRDefault="00521DE0" w:rsidP="00521DE0">
      <w:pPr>
        <w:rPr>
          <w:color w:val="auto"/>
          <w:sz w:val="22"/>
          <w:szCs w:val="22"/>
        </w:rPr>
      </w:pPr>
    </w:p>
    <w:p w14:paraId="5391F7D0" w14:textId="49DB796F" w:rsidR="00521DE0" w:rsidRPr="00B729D2" w:rsidRDefault="00521DE0" w:rsidP="00521DE0">
      <w:pPr>
        <w:rPr>
          <w:color w:val="auto"/>
          <w:sz w:val="22"/>
          <w:szCs w:val="22"/>
        </w:rPr>
      </w:pPr>
      <w:r w:rsidRPr="00B729D2">
        <w:rPr>
          <w:color w:val="auto"/>
          <w:sz w:val="22"/>
          <w:szCs w:val="22"/>
        </w:rPr>
        <w:t>Great Britain: Criminal Law Act 1967. Chapter 58. London: HMSO, 1967</w:t>
      </w:r>
    </w:p>
    <w:p w14:paraId="0EDA5D31" w14:textId="77777777" w:rsidR="00521DE0" w:rsidRDefault="00521DE0" w:rsidP="00521DE0">
      <w:pPr>
        <w:rPr>
          <w:color w:val="auto"/>
          <w:sz w:val="22"/>
          <w:szCs w:val="22"/>
        </w:rPr>
      </w:pPr>
    </w:p>
    <w:p w14:paraId="21DCD8AE" w14:textId="20B65B54" w:rsidR="00521DE0" w:rsidRPr="00B729D2" w:rsidRDefault="00521DE0" w:rsidP="00521DE0">
      <w:pPr>
        <w:rPr>
          <w:color w:val="auto"/>
          <w:sz w:val="22"/>
          <w:szCs w:val="22"/>
        </w:rPr>
      </w:pPr>
      <w:r w:rsidRPr="00B729D2">
        <w:rPr>
          <w:color w:val="auto"/>
          <w:sz w:val="22"/>
          <w:szCs w:val="22"/>
        </w:rPr>
        <w:t>Great Britain: Human Rights Act 1988. Chapter 42. London: HMSO, 1998.</w:t>
      </w:r>
    </w:p>
    <w:p w14:paraId="3FF80C19" w14:textId="77777777" w:rsidR="00521DE0" w:rsidRDefault="00521DE0" w:rsidP="00521DE0">
      <w:pPr>
        <w:rPr>
          <w:color w:val="auto"/>
          <w:sz w:val="22"/>
          <w:szCs w:val="22"/>
        </w:rPr>
      </w:pPr>
    </w:p>
    <w:p w14:paraId="30715731" w14:textId="11A9F3BB" w:rsidR="00521DE0" w:rsidRPr="00B729D2" w:rsidRDefault="00521DE0" w:rsidP="00521DE0">
      <w:pPr>
        <w:rPr>
          <w:color w:val="auto"/>
          <w:sz w:val="22"/>
          <w:szCs w:val="22"/>
        </w:rPr>
      </w:pPr>
      <w:r w:rsidRPr="00B729D2">
        <w:rPr>
          <w:color w:val="auto"/>
          <w:sz w:val="22"/>
          <w:szCs w:val="22"/>
        </w:rPr>
        <w:t>Great Britain: Offences Against the Person Act 1861. Chapter 100. London: HMSO, 1861.</w:t>
      </w:r>
    </w:p>
    <w:p w14:paraId="5BE0464B" w14:textId="77777777" w:rsidR="00521DE0" w:rsidRDefault="00521DE0" w:rsidP="00521DE0">
      <w:pPr>
        <w:rPr>
          <w:color w:val="auto"/>
          <w:sz w:val="22"/>
          <w:szCs w:val="22"/>
        </w:rPr>
      </w:pPr>
    </w:p>
    <w:p w14:paraId="072AAD53" w14:textId="4157AEF8" w:rsidR="00521DE0" w:rsidRPr="00B729D2" w:rsidRDefault="00521DE0" w:rsidP="00521DE0">
      <w:pPr>
        <w:rPr>
          <w:color w:val="auto"/>
          <w:sz w:val="22"/>
          <w:szCs w:val="22"/>
        </w:rPr>
      </w:pPr>
      <w:r w:rsidRPr="00B729D2">
        <w:rPr>
          <w:color w:val="auto"/>
          <w:sz w:val="22"/>
          <w:szCs w:val="22"/>
        </w:rPr>
        <w:t>Great Britain: Police and Criminal Evidence Act 1984. Chapter 60. London: HMSO, 1984.</w:t>
      </w:r>
    </w:p>
    <w:p w14:paraId="60AE0908" w14:textId="77777777" w:rsidR="00521DE0" w:rsidRDefault="00521DE0" w:rsidP="00521DE0">
      <w:pPr>
        <w:rPr>
          <w:color w:val="auto"/>
          <w:sz w:val="22"/>
          <w:szCs w:val="22"/>
        </w:rPr>
      </w:pPr>
    </w:p>
    <w:p w14:paraId="0B47F750" w14:textId="399693BA" w:rsidR="00521DE0" w:rsidRPr="00B729D2" w:rsidRDefault="00521DE0" w:rsidP="00521DE0">
      <w:pPr>
        <w:rPr>
          <w:color w:val="auto"/>
          <w:sz w:val="22"/>
          <w:szCs w:val="22"/>
        </w:rPr>
      </w:pPr>
      <w:r w:rsidRPr="00B729D2">
        <w:rPr>
          <w:color w:val="auto"/>
          <w:sz w:val="22"/>
          <w:szCs w:val="22"/>
        </w:rPr>
        <w:t>Great Britain: Theft Act 1968. Chapter 60. London: HMSO, 1968.</w:t>
      </w:r>
    </w:p>
    <w:p w14:paraId="74CF36ED" w14:textId="77777777" w:rsidR="00521DE0" w:rsidRDefault="00521DE0" w:rsidP="00521DE0">
      <w:pPr>
        <w:rPr>
          <w:color w:val="auto"/>
          <w:sz w:val="22"/>
          <w:szCs w:val="22"/>
        </w:rPr>
      </w:pPr>
    </w:p>
    <w:p w14:paraId="62E76757" w14:textId="573A5B59" w:rsidR="00521DE0" w:rsidRPr="00B729D2" w:rsidRDefault="00521DE0" w:rsidP="00521DE0">
      <w:pPr>
        <w:rPr>
          <w:color w:val="auto"/>
          <w:sz w:val="22"/>
          <w:szCs w:val="22"/>
        </w:rPr>
      </w:pPr>
      <w:r w:rsidRPr="00B729D2">
        <w:rPr>
          <w:color w:val="auto"/>
          <w:sz w:val="22"/>
          <w:szCs w:val="22"/>
        </w:rPr>
        <w:t>Great Britain: Youth Justice and Criminal Evidence Act 1999. Chapter 23. London: HMSO, 1999.</w:t>
      </w:r>
    </w:p>
    <w:p w14:paraId="79378CFC" w14:textId="77777777" w:rsidR="00521DE0" w:rsidRDefault="00521DE0" w:rsidP="00521DE0">
      <w:pPr>
        <w:rPr>
          <w:color w:val="auto"/>
          <w:sz w:val="22"/>
          <w:szCs w:val="22"/>
        </w:rPr>
      </w:pPr>
    </w:p>
    <w:p w14:paraId="6274660C" w14:textId="404A309B" w:rsidR="00521DE0" w:rsidRPr="00B729D2" w:rsidRDefault="00521DE0" w:rsidP="00521DE0">
      <w:pPr>
        <w:rPr>
          <w:color w:val="auto"/>
          <w:sz w:val="22"/>
          <w:szCs w:val="22"/>
        </w:rPr>
      </w:pPr>
      <w:r w:rsidRPr="00B729D2">
        <w:rPr>
          <w:color w:val="auto"/>
          <w:sz w:val="22"/>
          <w:szCs w:val="22"/>
        </w:rPr>
        <w:t>Hammen, C. (2005) ‘Stress and Depression’. Annual Review of Clinical Psychology, 1, pp293-319.</w:t>
      </w:r>
    </w:p>
    <w:p w14:paraId="592CF806" w14:textId="77777777" w:rsidR="00521DE0" w:rsidRDefault="00521DE0" w:rsidP="00521DE0">
      <w:pPr>
        <w:rPr>
          <w:color w:val="auto"/>
          <w:sz w:val="22"/>
          <w:szCs w:val="22"/>
        </w:rPr>
      </w:pPr>
    </w:p>
    <w:p w14:paraId="267BB45A" w14:textId="44750AD2" w:rsidR="00521DE0" w:rsidRPr="00B729D2" w:rsidRDefault="00521DE0" w:rsidP="00521DE0">
      <w:pPr>
        <w:rPr>
          <w:color w:val="auto"/>
          <w:sz w:val="22"/>
          <w:szCs w:val="22"/>
        </w:rPr>
      </w:pPr>
      <w:r w:rsidRPr="00B729D2">
        <w:rPr>
          <w:color w:val="auto"/>
          <w:sz w:val="22"/>
          <w:szCs w:val="22"/>
        </w:rPr>
        <w:t xml:space="preserve">Health and Safety Executive. (2018) </w:t>
      </w:r>
      <w:r w:rsidRPr="00B729D2">
        <w:rPr>
          <w:i/>
          <w:color w:val="auto"/>
          <w:sz w:val="22"/>
          <w:szCs w:val="22"/>
        </w:rPr>
        <w:t>Work related stress depression or anxiety statistics in Great Britain, 2018.</w:t>
      </w:r>
      <w:r w:rsidRPr="00B729D2">
        <w:rPr>
          <w:color w:val="auto"/>
          <w:sz w:val="22"/>
          <w:szCs w:val="22"/>
        </w:rPr>
        <w:t xml:space="preserve"> Available at: </w:t>
      </w:r>
      <w:hyperlink r:id="rId31" w:history="1">
        <w:r w:rsidRPr="00B729D2">
          <w:rPr>
            <w:rStyle w:val="Hyperlink"/>
            <w:color w:val="auto"/>
            <w:sz w:val="22"/>
            <w:szCs w:val="22"/>
          </w:rPr>
          <w:t>http://www.hse.gov.uk/statistics/causdis/stress.pdf</w:t>
        </w:r>
      </w:hyperlink>
      <w:r w:rsidRPr="00B729D2">
        <w:rPr>
          <w:color w:val="auto"/>
          <w:sz w:val="22"/>
          <w:szCs w:val="22"/>
        </w:rPr>
        <w:t xml:space="preserve"> [Accessed 29</w:t>
      </w:r>
      <w:r w:rsidRPr="00B729D2">
        <w:rPr>
          <w:color w:val="auto"/>
          <w:sz w:val="22"/>
          <w:szCs w:val="22"/>
          <w:vertAlign w:val="superscript"/>
        </w:rPr>
        <w:t>th</w:t>
      </w:r>
      <w:r w:rsidRPr="00B729D2">
        <w:rPr>
          <w:color w:val="auto"/>
          <w:sz w:val="22"/>
          <w:szCs w:val="22"/>
        </w:rPr>
        <w:t xml:space="preserve"> September 2019].</w:t>
      </w:r>
    </w:p>
    <w:p w14:paraId="202123E5" w14:textId="77777777" w:rsidR="00521DE0" w:rsidRDefault="00521DE0" w:rsidP="00521DE0">
      <w:pPr>
        <w:rPr>
          <w:color w:val="auto"/>
          <w:sz w:val="22"/>
          <w:szCs w:val="22"/>
        </w:rPr>
      </w:pPr>
    </w:p>
    <w:p w14:paraId="72C299F0" w14:textId="18C896CA" w:rsidR="00521DE0" w:rsidRPr="00B729D2" w:rsidRDefault="00521DE0" w:rsidP="00521DE0">
      <w:pPr>
        <w:rPr>
          <w:color w:val="auto"/>
          <w:sz w:val="22"/>
          <w:szCs w:val="22"/>
        </w:rPr>
      </w:pPr>
      <w:r w:rsidRPr="00B729D2">
        <w:rPr>
          <w:color w:val="auto"/>
          <w:sz w:val="22"/>
          <w:szCs w:val="22"/>
        </w:rPr>
        <w:t>Home Office (2018</w:t>
      </w:r>
      <w:r w:rsidR="0021651C">
        <w:rPr>
          <w:color w:val="auto"/>
          <w:sz w:val="22"/>
          <w:szCs w:val="22"/>
        </w:rPr>
        <w:t>a</w:t>
      </w:r>
      <w:r w:rsidRPr="00B729D2">
        <w:rPr>
          <w:color w:val="auto"/>
          <w:sz w:val="22"/>
          <w:szCs w:val="22"/>
        </w:rPr>
        <w:t xml:space="preserve">), </w:t>
      </w:r>
      <w:r w:rsidRPr="00B729D2">
        <w:rPr>
          <w:i/>
          <w:color w:val="auto"/>
          <w:sz w:val="22"/>
          <w:szCs w:val="22"/>
        </w:rPr>
        <w:t xml:space="preserve">Hate Crime, England and Wales, 2017/18. </w:t>
      </w:r>
      <w:r w:rsidRPr="00B729D2">
        <w:rPr>
          <w:color w:val="auto"/>
          <w:sz w:val="22"/>
          <w:szCs w:val="22"/>
        </w:rPr>
        <w:t xml:space="preserve">Available at: </w:t>
      </w:r>
      <w:hyperlink r:id="rId32" w:history="1">
        <w:r w:rsidRPr="00B729D2">
          <w:rPr>
            <w:rStyle w:val="Hyperlink"/>
            <w:color w:val="auto"/>
            <w:sz w:val="22"/>
            <w:szCs w:val="22"/>
          </w:rPr>
          <w:t>https://assets.publishing.service.gov.uk/government/uploads/system/uploads/attachment_data/file/748598/hate-crime-1718-hosb2018.pdf</w:t>
        </w:r>
      </w:hyperlink>
      <w:r w:rsidRPr="00B729D2">
        <w:rPr>
          <w:color w:val="auto"/>
          <w:sz w:val="22"/>
          <w:szCs w:val="22"/>
        </w:rPr>
        <w:t>. [Accessed 11/12/2019].</w:t>
      </w:r>
    </w:p>
    <w:p w14:paraId="4A1C18D4" w14:textId="77777777" w:rsidR="00521DE0" w:rsidRDefault="00521DE0" w:rsidP="00521DE0">
      <w:pPr>
        <w:rPr>
          <w:color w:val="auto"/>
          <w:sz w:val="22"/>
          <w:szCs w:val="22"/>
        </w:rPr>
      </w:pPr>
    </w:p>
    <w:p w14:paraId="2E9883B3" w14:textId="24AF33EB" w:rsidR="00521DE0" w:rsidRPr="00B729D2" w:rsidRDefault="00521DE0" w:rsidP="00521DE0">
      <w:pPr>
        <w:rPr>
          <w:color w:val="auto"/>
          <w:sz w:val="22"/>
          <w:szCs w:val="22"/>
        </w:rPr>
      </w:pPr>
      <w:r w:rsidRPr="00B729D2">
        <w:rPr>
          <w:color w:val="auto"/>
          <w:sz w:val="22"/>
          <w:szCs w:val="22"/>
        </w:rPr>
        <w:t>Home Office (2018</w:t>
      </w:r>
      <w:r w:rsidR="0021651C">
        <w:rPr>
          <w:color w:val="auto"/>
          <w:sz w:val="22"/>
          <w:szCs w:val="22"/>
        </w:rPr>
        <w:t>b</w:t>
      </w:r>
      <w:r w:rsidRPr="00B729D2">
        <w:rPr>
          <w:color w:val="auto"/>
          <w:sz w:val="22"/>
          <w:szCs w:val="22"/>
        </w:rPr>
        <w:t xml:space="preserve">), </w:t>
      </w:r>
      <w:r w:rsidRPr="00B729D2">
        <w:rPr>
          <w:i/>
          <w:color w:val="auto"/>
          <w:sz w:val="22"/>
          <w:szCs w:val="22"/>
        </w:rPr>
        <w:t xml:space="preserve">Voluntary police interview: your rights. </w:t>
      </w:r>
      <w:r w:rsidRPr="00B729D2">
        <w:rPr>
          <w:color w:val="auto"/>
          <w:sz w:val="22"/>
          <w:szCs w:val="22"/>
        </w:rPr>
        <w:t xml:space="preserve">Available at: </w:t>
      </w:r>
      <w:hyperlink r:id="rId33" w:history="1">
        <w:r w:rsidRPr="00B729D2">
          <w:rPr>
            <w:rStyle w:val="Hyperlink"/>
            <w:color w:val="auto"/>
            <w:sz w:val="22"/>
            <w:szCs w:val="22"/>
          </w:rPr>
          <w:t>https://www.gov.uk/government/publications/voluntary-police-interview-your-rights</w:t>
        </w:r>
      </w:hyperlink>
      <w:r w:rsidRPr="00B729D2">
        <w:rPr>
          <w:color w:val="auto"/>
          <w:sz w:val="22"/>
          <w:szCs w:val="22"/>
        </w:rPr>
        <w:t>. [Accessed on 19/12/2019].</w:t>
      </w:r>
    </w:p>
    <w:p w14:paraId="198AD7C2" w14:textId="77777777" w:rsidR="00521DE0" w:rsidRDefault="00521DE0" w:rsidP="00521DE0">
      <w:pPr>
        <w:rPr>
          <w:color w:val="auto"/>
          <w:sz w:val="22"/>
          <w:szCs w:val="22"/>
        </w:rPr>
      </w:pPr>
    </w:p>
    <w:p w14:paraId="2C013914" w14:textId="26E764D6" w:rsidR="00521DE0" w:rsidRPr="00B729D2" w:rsidRDefault="00521DE0" w:rsidP="00521DE0">
      <w:pPr>
        <w:rPr>
          <w:color w:val="auto"/>
          <w:sz w:val="22"/>
          <w:szCs w:val="22"/>
        </w:rPr>
      </w:pPr>
      <w:r w:rsidRPr="00B729D2">
        <w:rPr>
          <w:color w:val="auto"/>
          <w:sz w:val="22"/>
          <w:szCs w:val="22"/>
        </w:rPr>
        <w:t>Home Office (2019</w:t>
      </w:r>
      <w:r w:rsidR="00770902">
        <w:rPr>
          <w:color w:val="auto"/>
          <w:sz w:val="22"/>
          <w:szCs w:val="22"/>
        </w:rPr>
        <w:t>a</w:t>
      </w:r>
      <w:r w:rsidRPr="00B729D2">
        <w:rPr>
          <w:color w:val="auto"/>
          <w:sz w:val="22"/>
          <w:szCs w:val="22"/>
        </w:rPr>
        <w:t xml:space="preserve">), CODE C Revised Code of Practice for the detention, treatment and questioning of persons by Police Officers. London: TSO. Available at </w:t>
      </w:r>
      <w:hyperlink r:id="rId34" w:history="1">
        <w:r w:rsidRPr="00B729D2">
          <w:rPr>
            <w:rStyle w:val="Hyperlink"/>
            <w:color w:val="auto"/>
            <w:sz w:val="22"/>
            <w:szCs w:val="22"/>
          </w:rPr>
          <w:t>https://assets.publishing.service.gov.uk/government/uploads/system/uploads/attachment_data/file/826813/PACE-Code-C_2019.pdf</w:t>
        </w:r>
      </w:hyperlink>
      <w:r w:rsidRPr="00B729D2">
        <w:rPr>
          <w:color w:val="auto"/>
          <w:sz w:val="22"/>
          <w:szCs w:val="22"/>
        </w:rPr>
        <w:t>. [Accessed 11/11/2019].</w:t>
      </w:r>
    </w:p>
    <w:p w14:paraId="7B3A211F" w14:textId="77777777" w:rsidR="00521DE0" w:rsidRDefault="00521DE0" w:rsidP="00521DE0">
      <w:pPr>
        <w:rPr>
          <w:color w:val="auto"/>
          <w:sz w:val="22"/>
          <w:szCs w:val="22"/>
        </w:rPr>
      </w:pPr>
    </w:p>
    <w:p w14:paraId="45F77FF1" w14:textId="45CAD39B" w:rsidR="00521DE0" w:rsidRPr="00B729D2" w:rsidRDefault="00521DE0" w:rsidP="00521DE0">
      <w:pPr>
        <w:rPr>
          <w:color w:val="auto"/>
          <w:sz w:val="22"/>
          <w:szCs w:val="22"/>
        </w:rPr>
      </w:pPr>
      <w:r w:rsidRPr="00B729D2">
        <w:rPr>
          <w:color w:val="auto"/>
          <w:sz w:val="22"/>
          <w:szCs w:val="22"/>
        </w:rPr>
        <w:t>Home Office (2019</w:t>
      </w:r>
      <w:r w:rsidR="00770902">
        <w:rPr>
          <w:color w:val="auto"/>
          <w:sz w:val="22"/>
          <w:szCs w:val="22"/>
        </w:rPr>
        <w:t>b</w:t>
      </w:r>
      <w:r w:rsidRPr="00B729D2">
        <w:rPr>
          <w:color w:val="auto"/>
          <w:sz w:val="22"/>
          <w:szCs w:val="22"/>
        </w:rPr>
        <w:t xml:space="preserve">), </w:t>
      </w:r>
      <w:r w:rsidRPr="00B729D2">
        <w:rPr>
          <w:i/>
          <w:color w:val="auto"/>
          <w:sz w:val="22"/>
          <w:szCs w:val="22"/>
        </w:rPr>
        <w:t xml:space="preserve">Hate Crime, England and Wales, 2018/19. </w:t>
      </w:r>
      <w:r w:rsidRPr="00B729D2">
        <w:rPr>
          <w:color w:val="auto"/>
          <w:sz w:val="22"/>
          <w:szCs w:val="22"/>
        </w:rPr>
        <w:t xml:space="preserve">Available at: </w:t>
      </w:r>
      <w:hyperlink r:id="rId35" w:history="1">
        <w:r w:rsidRPr="00B729D2">
          <w:rPr>
            <w:rStyle w:val="Hyperlink"/>
            <w:color w:val="auto"/>
            <w:sz w:val="22"/>
            <w:szCs w:val="22"/>
          </w:rPr>
          <w:t>https://assets.publishing.service.gov.uk/government/uploads/system/uploads/attachment_data/file/839172/hate-crime-1819-hosb2419.pdf</w:t>
        </w:r>
      </w:hyperlink>
      <w:r w:rsidRPr="00B729D2">
        <w:rPr>
          <w:color w:val="auto"/>
          <w:sz w:val="22"/>
          <w:szCs w:val="22"/>
        </w:rPr>
        <w:t>. [Accessed on 11/12/2019].</w:t>
      </w:r>
    </w:p>
    <w:p w14:paraId="42F42BEC" w14:textId="77777777" w:rsidR="00521DE0" w:rsidRPr="00B729D2" w:rsidRDefault="00521DE0" w:rsidP="00521DE0">
      <w:pPr>
        <w:rPr>
          <w:color w:val="auto"/>
          <w:sz w:val="22"/>
          <w:szCs w:val="22"/>
        </w:rPr>
      </w:pPr>
      <w:r w:rsidRPr="00B729D2">
        <w:rPr>
          <w:color w:val="auto"/>
          <w:sz w:val="22"/>
          <w:szCs w:val="22"/>
          <w:shd w:val="clear" w:color="auto" w:fill="FFFFFF"/>
        </w:rPr>
        <w:t>Kopak, A. M., Vartanian, L., Hoffmann, N. G. &amp; Hunt, D. E. (2014) ‘The Connections Between Substance Dependence, Offense Type, and Offense Severity’, </w:t>
      </w:r>
      <w:r w:rsidRPr="00B729D2">
        <w:rPr>
          <w:i/>
          <w:iCs/>
          <w:color w:val="auto"/>
          <w:sz w:val="22"/>
          <w:szCs w:val="22"/>
          <w:shd w:val="clear" w:color="auto" w:fill="FFFFFF"/>
        </w:rPr>
        <w:t>Journal of Drug Issues</w:t>
      </w:r>
      <w:r w:rsidRPr="00B729D2">
        <w:rPr>
          <w:color w:val="auto"/>
          <w:sz w:val="22"/>
          <w:szCs w:val="22"/>
          <w:shd w:val="clear" w:color="auto" w:fill="FFFFFF"/>
        </w:rPr>
        <w:t>, </w:t>
      </w:r>
      <w:r w:rsidRPr="00B729D2">
        <w:rPr>
          <w:iCs/>
          <w:color w:val="auto"/>
          <w:sz w:val="22"/>
          <w:szCs w:val="22"/>
          <w:shd w:val="clear" w:color="auto" w:fill="FFFFFF"/>
        </w:rPr>
        <w:t>44</w:t>
      </w:r>
      <w:r w:rsidRPr="00B729D2">
        <w:rPr>
          <w:color w:val="auto"/>
          <w:sz w:val="22"/>
          <w:szCs w:val="22"/>
          <w:shd w:val="clear" w:color="auto" w:fill="FFFFFF"/>
        </w:rPr>
        <w:t>(3), pp291–307.</w:t>
      </w:r>
    </w:p>
    <w:p w14:paraId="2C45E1BD" w14:textId="77777777" w:rsidR="00521DE0" w:rsidRPr="00B729D2" w:rsidRDefault="00521DE0" w:rsidP="00521DE0">
      <w:pPr>
        <w:rPr>
          <w:color w:val="auto"/>
          <w:sz w:val="22"/>
          <w:szCs w:val="22"/>
          <w:shd w:val="clear" w:color="auto" w:fill="FFFFFF"/>
        </w:rPr>
      </w:pPr>
      <w:r w:rsidRPr="00B729D2">
        <w:rPr>
          <w:color w:val="auto"/>
          <w:sz w:val="22"/>
          <w:szCs w:val="22"/>
          <w:shd w:val="clear" w:color="auto" w:fill="FFFFFF"/>
        </w:rPr>
        <w:lastRenderedPageBreak/>
        <w:t>Laethem, M., Beckers, D., Kompier, M., Kecklund, G., van den Bossche, S. &amp; Geurts, S. (2015), ‘Bidirectional relations between work-related stress, sleep quality and perseverative cognition’. Journal of Psychosomatic Research, 79(5), pp391-398.</w:t>
      </w:r>
    </w:p>
    <w:p w14:paraId="40754834" w14:textId="77777777" w:rsidR="00521DE0" w:rsidRDefault="00521DE0" w:rsidP="00521DE0">
      <w:pPr>
        <w:rPr>
          <w:color w:val="auto"/>
          <w:sz w:val="22"/>
          <w:szCs w:val="22"/>
          <w:shd w:val="clear" w:color="auto" w:fill="FFFFFF"/>
        </w:rPr>
      </w:pPr>
    </w:p>
    <w:p w14:paraId="0FF1E3CF" w14:textId="04A170E9" w:rsidR="00521DE0" w:rsidRPr="00B729D2" w:rsidRDefault="00521DE0" w:rsidP="00521DE0">
      <w:pPr>
        <w:rPr>
          <w:color w:val="auto"/>
          <w:sz w:val="22"/>
          <w:szCs w:val="22"/>
          <w:shd w:val="clear" w:color="auto" w:fill="FFFFFF"/>
        </w:rPr>
      </w:pPr>
      <w:r w:rsidRPr="00B729D2">
        <w:rPr>
          <w:color w:val="auto"/>
          <w:sz w:val="22"/>
          <w:szCs w:val="22"/>
          <w:shd w:val="clear" w:color="auto" w:fill="FFFFFF"/>
        </w:rPr>
        <w:t>Landolfi, E. 2013 ‘Exercise Addiction’. </w:t>
      </w:r>
      <w:r w:rsidRPr="00B729D2">
        <w:rPr>
          <w:iCs/>
          <w:color w:val="auto"/>
          <w:sz w:val="22"/>
          <w:szCs w:val="22"/>
          <w:shd w:val="clear" w:color="auto" w:fill="FFFFFF"/>
        </w:rPr>
        <w:t>Sports Medicine</w:t>
      </w:r>
      <w:r w:rsidRPr="00B729D2">
        <w:rPr>
          <w:i/>
          <w:iCs/>
          <w:color w:val="auto"/>
          <w:sz w:val="22"/>
          <w:szCs w:val="22"/>
          <w:shd w:val="clear" w:color="auto" w:fill="FFFFFF"/>
        </w:rPr>
        <w:t>, </w:t>
      </w:r>
      <w:r w:rsidRPr="00B729D2">
        <w:rPr>
          <w:bCs/>
          <w:color w:val="auto"/>
          <w:sz w:val="22"/>
          <w:szCs w:val="22"/>
          <w:shd w:val="clear" w:color="auto" w:fill="FFFFFF"/>
        </w:rPr>
        <w:t>43</w:t>
      </w:r>
      <w:r w:rsidRPr="00B729D2">
        <w:rPr>
          <w:color w:val="auto"/>
          <w:sz w:val="22"/>
          <w:szCs w:val="22"/>
          <w:shd w:val="clear" w:color="auto" w:fill="FFFFFF"/>
        </w:rPr>
        <w:t>(2), pp111-119.</w:t>
      </w:r>
    </w:p>
    <w:p w14:paraId="3E3A8568" w14:textId="77777777" w:rsidR="00521DE0" w:rsidRDefault="00521DE0" w:rsidP="00521DE0">
      <w:pPr>
        <w:rPr>
          <w:color w:val="auto"/>
          <w:sz w:val="22"/>
          <w:szCs w:val="22"/>
          <w:shd w:val="clear" w:color="auto" w:fill="FFFFFF"/>
        </w:rPr>
      </w:pPr>
    </w:p>
    <w:p w14:paraId="4DBD2F00" w14:textId="790E8CBF" w:rsidR="00521DE0" w:rsidRPr="00B729D2" w:rsidRDefault="00521DE0" w:rsidP="00521DE0">
      <w:pPr>
        <w:rPr>
          <w:color w:val="auto"/>
          <w:sz w:val="22"/>
          <w:szCs w:val="22"/>
          <w:shd w:val="clear" w:color="auto" w:fill="FFFFFF"/>
        </w:rPr>
      </w:pPr>
      <w:r w:rsidRPr="00B729D2">
        <w:rPr>
          <w:color w:val="auto"/>
          <w:sz w:val="22"/>
          <w:szCs w:val="22"/>
          <w:shd w:val="clear" w:color="auto" w:fill="FFFFFF"/>
        </w:rPr>
        <w:t>Lundberg, U. (1999) ‘Coping with stress: neuroendocrine reactions and implications for health’. Noise &amp; Health, 1 (4), pp67-74.</w:t>
      </w:r>
    </w:p>
    <w:p w14:paraId="37F1A79F" w14:textId="77777777" w:rsidR="00521DE0" w:rsidRDefault="00521DE0" w:rsidP="00521DE0">
      <w:pPr>
        <w:rPr>
          <w:color w:val="auto"/>
          <w:sz w:val="22"/>
          <w:szCs w:val="22"/>
          <w:shd w:val="clear" w:color="auto" w:fill="FFFFFF"/>
        </w:rPr>
      </w:pPr>
    </w:p>
    <w:p w14:paraId="6DC0F2AE" w14:textId="39CE3C72" w:rsidR="00521DE0" w:rsidRPr="00B729D2" w:rsidRDefault="00521DE0" w:rsidP="00521DE0">
      <w:pPr>
        <w:rPr>
          <w:color w:val="auto"/>
          <w:sz w:val="22"/>
          <w:szCs w:val="22"/>
        </w:rPr>
      </w:pPr>
      <w:r w:rsidRPr="00B729D2">
        <w:rPr>
          <w:color w:val="auto"/>
          <w:sz w:val="22"/>
          <w:szCs w:val="22"/>
          <w:shd w:val="clear" w:color="auto" w:fill="FFFFFF"/>
        </w:rPr>
        <w:t>Mammen, G. &amp; Faulkner, G. (2013) "Physical Activity and the Prevention of Depression." </w:t>
      </w:r>
      <w:r w:rsidRPr="00B729D2">
        <w:rPr>
          <w:iCs/>
          <w:color w:val="auto"/>
          <w:sz w:val="22"/>
          <w:szCs w:val="22"/>
          <w:shd w:val="clear" w:color="auto" w:fill="FFFFFF"/>
        </w:rPr>
        <w:t>American Journal of Preventive Medicine</w:t>
      </w:r>
      <w:r w:rsidRPr="00B729D2">
        <w:rPr>
          <w:color w:val="auto"/>
          <w:sz w:val="22"/>
          <w:szCs w:val="22"/>
          <w:shd w:val="clear" w:color="auto" w:fill="FFFFFF"/>
        </w:rPr>
        <w:t> 45(5), pp649-657.</w:t>
      </w:r>
    </w:p>
    <w:p w14:paraId="393FFBA6" w14:textId="77777777" w:rsidR="0021651C" w:rsidRDefault="0021651C" w:rsidP="00521DE0">
      <w:pPr>
        <w:rPr>
          <w:sz w:val="22"/>
          <w:szCs w:val="22"/>
        </w:rPr>
      </w:pPr>
    </w:p>
    <w:p w14:paraId="1E2AFBB1" w14:textId="3603577C" w:rsidR="00521DE0" w:rsidRPr="00B729D2" w:rsidRDefault="00521DE0" w:rsidP="00521DE0">
      <w:pPr>
        <w:rPr>
          <w:color w:val="auto"/>
          <w:sz w:val="22"/>
          <w:szCs w:val="22"/>
        </w:rPr>
      </w:pPr>
      <w:r w:rsidRPr="00B729D2">
        <w:rPr>
          <w:sz w:val="22"/>
          <w:szCs w:val="22"/>
        </w:rPr>
        <w:t>Maxwell, K. (2019) ‘</w:t>
      </w:r>
      <w:r w:rsidRPr="00B729D2">
        <w:rPr>
          <w:color w:val="auto"/>
          <w:sz w:val="22"/>
          <w:szCs w:val="22"/>
          <w:bdr w:val="none" w:sz="0" w:space="0" w:color="auto" w:frame="1"/>
        </w:rPr>
        <w:t xml:space="preserve">Sorry Cressida Dick, but as a black former detective I know just how racist the Met still is’, </w:t>
      </w:r>
      <w:r w:rsidRPr="00B729D2">
        <w:rPr>
          <w:i/>
          <w:color w:val="auto"/>
          <w:sz w:val="22"/>
          <w:szCs w:val="22"/>
          <w:bdr w:val="none" w:sz="0" w:space="0" w:color="auto" w:frame="1"/>
        </w:rPr>
        <w:t xml:space="preserve">The Independent, </w:t>
      </w:r>
      <w:r w:rsidRPr="00B729D2">
        <w:rPr>
          <w:color w:val="auto"/>
          <w:sz w:val="22"/>
          <w:szCs w:val="22"/>
          <w:bdr w:val="none" w:sz="0" w:space="0" w:color="auto" w:frame="1"/>
        </w:rPr>
        <w:t>11</w:t>
      </w:r>
      <w:r w:rsidRPr="00B729D2">
        <w:rPr>
          <w:color w:val="auto"/>
          <w:sz w:val="22"/>
          <w:szCs w:val="22"/>
          <w:bdr w:val="none" w:sz="0" w:space="0" w:color="auto" w:frame="1"/>
          <w:vertAlign w:val="superscript"/>
        </w:rPr>
        <w:t>th</w:t>
      </w:r>
      <w:r w:rsidRPr="00B729D2">
        <w:rPr>
          <w:color w:val="auto"/>
          <w:sz w:val="22"/>
          <w:szCs w:val="22"/>
          <w:bdr w:val="none" w:sz="0" w:space="0" w:color="auto" w:frame="1"/>
        </w:rPr>
        <w:t xml:space="preserve"> July 2019. Available at: </w:t>
      </w:r>
      <w:hyperlink r:id="rId36" w:history="1">
        <w:r w:rsidRPr="00B729D2">
          <w:rPr>
            <w:rStyle w:val="Hyperlink"/>
            <w:color w:val="auto"/>
            <w:sz w:val="22"/>
            <w:szCs w:val="22"/>
          </w:rPr>
          <w:t>https://www.independent.co.uk/voices/met-police-cressida-dick-no-longer-institutionally-racist-racism-black-officer-a9001176.html</w:t>
        </w:r>
      </w:hyperlink>
      <w:r w:rsidRPr="00B729D2">
        <w:rPr>
          <w:color w:val="auto"/>
          <w:sz w:val="22"/>
          <w:szCs w:val="22"/>
        </w:rPr>
        <w:t xml:space="preserve">. [Accessed on 11/12/2019]. </w:t>
      </w:r>
    </w:p>
    <w:p w14:paraId="517EA9C5" w14:textId="77777777" w:rsidR="0021651C" w:rsidRDefault="0021651C" w:rsidP="00521DE0">
      <w:pPr>
        <w:rPr>
          <w:color w:val="auto"/>
          <w:sz w:val="22"/>
          <w:szCs w:val="22"/>
        </w:rPr>
      </w:pPr>
    </w:p>
    <w:p w14:paraId="72068027" w14:textId="20CF7315" w:rsidR="00521DE0" w:rsidRPr="00B729D2" w:rsidRDefault="00521DE0" w:rsidP="00521DE0">
      <w:pPr>
        <w:rPr>
          <w:color w:val="auto"/>
          <w:sz w:val="22"/>
          <w:szCs w:val="22"/>
        </w:rPr>
      </w:pPr>
      <w:r w:rsidRPr="00B729D2">
        <w:rPr>
          <w:color w:val="auto"/>
          <w:sz w:val="22"/>
          <w:szCs w:val="22"/>
        </w:rPr>
        <w:t xml:space="preserve">MIND. (2017), ‘How to manage stress’. Available at: </w:t>
      </w:r>
      <w:hyperlink r:id="rId37" w:anchor=".XZCdAEZKg2x" w:history="1">
        <w:r w:rsidRPr="00B729D2">
          <w:rPr>
            <w:rStyle w:val="Hyperlink"/>
            <w:color w:val="auto"/>
            <w:sz w:val="22"/>
            <w:szCs w:val="22"/>
          </w:rPr>
          <w:t>https://www.mind.org.uk/information-support/types-of-mental-health-problems/stress/developing-resilience/#.XZCdAEZKg2x</w:t>
        </w:r>
      </w:hyperlink>
      <w:r w:rsidRPr="00B729D2">
        <w:rPr>
          <w:color w:val="auto"/>
          <w:sz w:val="22"/>
          <w:szCs w:val="22"/>
        </w:rPr>
        <w:t xml:space="preserve"> [Accessed 29</w:t>
      </w:r>
      <w:r w:rsidRPr="00B729D2">
        <w:rPr>
          <w:color w:val="auto"/>
          <w:sz w:val="22"/>
          <w:szCs w:val="22"/>
          <w:vertAlign w:val="superscript"/>
        </w:rPr>
        <w:t>th</w:t>
      </w:r>
      <w:r w:rsidRPr="00B729D2">
        <w:rPr>
          <w:color w:val="auto"/>
          <w:sz w:val="22"/>
          <w:szCs w:val="22"/>
        </w:rPr>
        <w:t xml:space="preserve"> September 2019].</w:t>
      </w:r>
    </w:p>
    <w:p w14:paraId="24E99A37" w14:textId="77777777" w:rsidR="0021651C" w:rsidRDefault="0021651C" w:rsidP="00521DE0">
      <w:pPr>
        <w:rPr>
          <w:color w:val="auto"/>
          <w:sz w:val="22"/>
          <w:szCs w:val="22"/>
        </w:rPr>
      </w:pPr>
    </w:p>
    <w:p w14:paraId="7E6F439D" w14:textId="73191939" w:rsidR="00521DE0" w:rsidRPr="00B729D2" w:rsidRDefault="00521DE0" w:rsidP="00521DE0">
      <w:pPr>
        <w:rPr>
          <w:color w:val="auto"/>
          <w:sz w:val="22"/>
          <w:szCs w:val="22"/>
        </w:rPr>
      </w:pPr>
      <w:r w:rsidRPr="00B729D2">
        <w:rPr>
          <w:color w:val="auto"/>
          <w:sz w:val="22"/>
          <w:szCs w:val="22"/>
        </w:rPr>
        <w:t>Ministry of Justice (2015)</w:t>
      </w:r>
      <w:r w:rsidRPr="00B729D2">
        <w:rPr>
          <w:i/>
          <w:color w:val="auto"/>
          <w:sz w:val="22"/>
          <w:szCs w:val="22"/>
        </w:rPr>
        <w:t xml:space="preserve"> Code of Practice for Victims of Crime. </w:t>
      </w:r>
      <w:r w:rsidRPr="00B729D2">
        <w:rPr>
          <w:color w:val="auto"/>
          <w:sz w:val="22"/>
          <w:szCs w:val="22"/>
        </w:rPr>
        <w:t xml:space="preserve">London: HMSO. Available at: </w:t>
      </w:r>
      <w:hyperlink r:id="rId38" w:history="1">
        <w:r w:rsidRPr="00B729D2">
          <w:rPr>
            <w:rStyle w:val="Hyperlink"/>
            <w:color w:val="auto"/>
            <w:sz w:val="22"/>
            <w:szCs w:val="22"/>
          </w:rPr>
          <w:t>https://assets.publishing.service.gov.uk/government/uploads/system/uploads/attachment_data/file/476900/code-of-practice-for-victims-of-crime.PDF</w:t>
        </w:r>
      </w:hyperlink>
      <w:r w:rsidRPr="00B729D2">
        <w:rPr>
          <w:color w:val="auto"/>
          <w:sz w:val="22"/>
          <w:szCs w:val="22"/>
        </w:rPr>
        <w:t>. [Accessed on 09/12/2019].</w:t>
      </w:r>
    </w:p>
    <w:p w14:paraId="0AD850E1" w14:textId="77777777" w:rsidR="0021651C" w:rsidRDefault="0021651C" w:rsidP="00521DE0">
      <w:pPr>
        <w:rPr>
          <w:color w:val="auto"/>
          <w:sz w:val="22"/>
          <w:szCs w:val="22"/>
        </w:rPr>
      </w:pPr>
    </w:p>
    <w:p w14:paraId="0D81CA29" w14:textId="128B7370" w:rsidR="00521DE0" w:rsidRPr="00B729D2" w:rsidRDefault="00521DE0" w:rsidP="00521DE0">
      <w:pPr>
        <w:rPr>
          <w:color w:val="auto"/>
          <w:sz w:val="22"/>
          <w:szCs w:val="22"/>
        </w:rPr>
      </w:pPr>
      <w:r w:rsidRPr="00B729D2">
        <w:rPr>
          <w:color w:val="auto"/>
          <w:sz w:val="22"/>
          <w:szCs w:val="22"/>
        </w:rPr>
        <w:t>Ministry of Justice (2015</w:t>
      </w:r>
      <w:r w:rsidRPr="00B729D2">
        <w:rPr>
          <w:sz w:val="22"/>
          <w:szCs w:val="22"/>
        </w:rPr>
        <w:t>a</w:t>
      </w:r>
      <w:r w:rsidRPr="00B729D2">
        <w:rPr>
          <w:color w:val="auto"/>
          <w:sz w:val="22"/>
          <w:szCs w:val="22"/>
        </w:rPr>
        <w:t xml:space="preserve">), </w:t>
      </w:r>
      <w:r w:rsidRPr="00B729D2">
        <w:rPr>
          <w:i/>
          <w:color w:val="auto"/>
          <w:sz w:val="22"/>
          <w:szCs w:val="22"/>
        </w:rPr>
        <w:t xml:space="preserve">Criminal Procedure and Investigations Act 1996 (section 23(1)) Code of Practice Revised in accordance with section 25(4) of the Criminal Procedure and Investigations Act 1996. </w:t>
      </w:r>
      <w:r w:rsidRPr="00B729D2">
        <w:rPr>
          <w:color w:val="auto"/>
          <w:sz w:val="22"/>
          <w:szCs w:val="22"/>
        </w:rPr>
        <w:t xml:space="preserve">Available at: </w:t>
      </w:r>
      <w:hyperlink r:id="rId39" w:history="1">
        <w:r w:rsidRPr="00B729D2">
          <w:rPr>
            <w:rStyle w:val="Hyperlink"/>
            <w:color w:val="auto"/>
            <w:sz w:val="22"/>
            <w:szCs w:val="22"/>
          </w:rPr>
          <w:t>https://assets.publishing.service.gov.uk/government/uploads/system/uploads/attachment_data/file/447967/code-of-practice-approved.pdf</w:t>
        </w:r>
      </w:hyperlink>
      <w:r w:rsidRPr="00B729D2">
        <w:rPr>
          <w:color w:val="auto"/>
          <w:sz w:val="22"/>
          <w:szCs w:val="22"/>
        </w:rPr>
        <w:t>. [Accessed 30/12/2019].</w:t>
      </w:r>
    </w:p>
    <w:p w14:paraId="03C214EF" w14:textId="77777777" w:rsidR="0021651C" w:rsidRDefault="0021651C" w:rsidP="00521DE0">
      <w:pPr>
        <w:rPr>
          <w:color w:val="auto"/>
          <w:sz w:val="22"/>
          <w:szCs w:val="22"/>
        </w:rPr>
      </w:pPr>
    </w:p>
    <w:p w14:paraId="47353E91" w14:textId="20053B56" w:rsidR="00521DE0" w:rsidRPr="00B729D2" w:rsidRDefault="00521DE0" w:rsidP="00521DE0">
      <w:pPr>
        <w:rPr>
          <w:color w:val="auto"/>
          <w:sz w:val="22"/>
          <w:szCs w:val="22"/>
        </w:rPr>
      </w:pPr>
      <w:r w:rsidRPr="00B729D2">
        <w:rPr>
          <w:color w:val="auto"/>
          <w:sz w:val="22"/>
          <w:szCs w:val="22"/>
        </w:rPr>
        <w:t>Munoz, R. Hoppes, S., Chan, Hellman., Brunk, K., Bragg, J. &amp; Crummins C. (2016) ‘The Effects of Mindfulness Meditation on Hope and Stress’. Research on Social Work Practice, 28(6), pp696-707.</w:t>
      </w:r>
    </w:p>
    <w:p w14:paraId="2669655E" w14:textId="77777777" w:rsidR="0021651C" w:rsidRDefault="0021651C" w:rsidP="00521DE0">
      <w:pPr>
        <w:rPr>
          <w:color w:val="auto"/>
          <w:sz w:val="22"/>
          <w:szCs w:val="22"/>
        </w:rPr>
      </w:pPr>
    </w:p>
    <w:p w14:paraId="60AE18F1" w14:textId="34B532C4" w:rsidR="00521DE0" w:rsidRPr="00B729D2" w:rsidRDefault="00521DE0" w:rsidP="00521DE0">
      <w:pPr>
        <w:rPr>
          <w:color w:val="auto"/>
          <w:sz w:val="22"/>
          <w:szCs w:val="22"/>
        </w:rPr>
      </w:pPr>
      <w:r w:rsidRPr="00B729D2">
        <w:rPr>
          <w:color w:val="auto"/>
          <w:sz w:val="22"/>
          <w:szCs w:val="22"/>
        </w:rPr>
        <w:t xml:space="preserve">NHS. (2017), ‘How to deal with stress’. Available at: </w:t>
      </w:r>
      <w:hyperlink r:id="rId40" w:history="1">
        <w:r w:rsidRPr="00B729D2">
          <w:rPr>
            <w:rStyle w:val="Hyperlink"/>
            <w:color w:val="auto"/>
            <w:sz w:val="22"/>
            <w:szCs w:val="22"/>
          </w:rPr>
          <w:t>https://www.nhs.uk/conditions/stress-anxiety-depression/understanding-stress/</w:t>
        </w:r>
      </w:hyperlink>
      <w:r w:rsidRPr="00B729D2">
        <w:rPr>
          <w:color w:val="auto"/>
          <w:sz w:val="22"/>
          <w:szCs w:val="22"/>
        </w:rPr>
        <w:t xml:space="preserve"> [Accessed: 29</w:t>
      </w:r>
      <w:r w:rsidRPr="00B729D2">
        <w:rPr>
          <w:color w:val="auto"/>
          <w:sz w:val="22"/>
          <w:szCs w:val="22"/>
          <w:vertAlign w:val="superscript"/>
        </w:rPr>
        <w:t>th</w:t>
      </w:r>
      <w:r w:rsidRPr="00B729D2">
        <w:rPr>
          <w:color w:val="auto"/>
          <w:sz w:val="22"/>
          <w:szCs w:val="22"/>
        </w:rPr>
        <w:t xml:space="preserve"> September 2019].</w:t>
      </w:r>
      <w:r w:rsidRPr="00B729D2">
        <w:rPr>
          <w:color w:val="auto"/>
          <w:sz w:val="22"/>
          <w:szCs w:val="22"/>
        </w:rPr>
        <w:br/>
      </w:r>
    </w:p>
    <w:p w14:paraId="11FFAE58" w14:textId="77777777" w:rsidR="00521DE0" w:rsidRPr="00B729D2" w:rsidRDefault="00521DE0" w:rsidP="00521DE0">
      <w:pPr>
        <w:rPr>
          <w:color w:val="auto"/>
          <w:sz w:val="22"/>
          <w:szCs w:val="22"/>
        </w:rPr>
      </w:pPr>
      <w:r w:rsidRPr="00B729D2">
        <w:rPr>
          <w:color w:val="auto"/>
          <w:sz w:val="22"/>
          <w:szCs w:val="22"/>
        </w:rPr>
        <w:t xml:space="preserve">Office for National Statistics (2017) </w:t>
      </w:r>
      <w:r w:rsidRPr="00B729D2">
        <w:rPr>
          <w:i/>
          <w:color w:val="auto"/>
          <w:sz w:val="22"/>
          <w:szCs w:val="22"/>
        </w:rPr>
        <w:t>Domestic abuse in England and Wales: year ending March 2017</w:t>
      </w:r>
      <w:r w:rsidRPr="00B729D2">
        <w:rPr>
          <w:color w:val="auto"/>
          <w:sz w:val="22"/>
          <w:szCs w:val="22"/>
        </w:rPr>
        <w:t xml:space="preserve">. Available at: </w:t>
      </w:r>
      <w:hyperlink r:id="rId41" w:history="1">
        <w:r w:rsidRPr="00B729D2">
          <w:rPr>
            <w:rStyle w:val="Hyperlink"/>
            <w:color w:val="auto"/>
            <w:sz w:val="22"/>
            <w:szCs w:val="22"/>
          </w:rPr>
          <w:t>https://www.ons.gov.uk/peoplepopulationandcommunity/crimeandjustice/bulletins/ domesticabuseinenglandandwales/yearendingmarch2017</w:t>
        </w:r>
      </w:hyperlink>
      <w:r w:rsidRPr="00B729D2">
        <w:rPr>
          <w:color w:val="auto"/>
          <w:sz w:val="22"/>
          <w:szCs w:val="22"/>
        </w:rPr>
        <w:t>. [Accessed on 29/10/2019].</w:t>
      </w:r>
    </w:p>
    <w:p w14:paraId="6383C9D0" w14:textId="77777777" w:rsidR="0021651C" w:rsidRDefault="0021651C" w:rsidP="00521DE0">
      <w:pPr>
        <w:rPr>
          <w:color w:val="auto"/>
          <w:sz w:val="22"/>
          <w:szCs w:val="22"/>
        </w:rPr>
      </w:pPr>
    </w:p>
    <w:p w14:paraId="18D022D0" w14:textId="1525BB01" w:rsidR="00521DE0" w:rsidRPr="00B729D2" w:rsidRDefault="00521DE0" w:rsidP="00521DE0">
      <w:pPr>
        <w:rPr>
          <w:color w:val="auto"/>
          <w:sz w:val="22"/>
          <w:szCs w:val="22"/>
        </w:rPr>
      </w:pPr>
      <w:r w:rsidRPr="00B729D2">
        <w:rPr>
          <w:color w:val="auto"/>
          <w:sz w:val="22"/>
          <w:szCs w:val="22"/>
        </w:rPr>
        <w:t xml:space="preserve">Office for National Statistics (2018), </w:t>
      </w:r>
      <w:r w:rsidRPr="00B729D2">
        <w:rPr>
          <w:i/>
          <w:color w:val="auto"/>
          <w:sz w:val="22"/>
          <w:szCs w:val="22"/>
        </w:rPr>
        <w:t xml:space="preserve">Confidence in the local police. </w:t>
      </w:r>
      <w:r w:rsidRPr="00B729D2">
        <w:rPr>
          <w:color w:val="auto"/>
          <w:sz w:val="22"/>
          <w:szCs w:val="22"/>
        </w:rPr>
        <w:t xml:space="preserve">Available at: </w:t>
      </w:r>
      <w:hyperlink r:id="rId42" w:anchor="by-ethnicity-and-age" w:history="1">
        <w:r w:rsidRPr="00B729D2">
          <w:rPr>
            <w:rStyle w:val="Hyperlink"/>
            <w:color w:val="auto"/>
            <w:sz w:val="22"/>
            <w:szCs w:val="22"/>
          </w:rPr>
          <w:t>https://www.ethnicity-facts-figures.service.gov.uk/crime-justice-and-the-law/policing/confidence-in-the-local-police/latest#by-ethnicity-and-age</w:t>
        </w:r>
      </w:hyperlink>
      <w:r w:rsidRPr="00B729D2">
        <w:rPr>
          <w:color w:val="auto"/>
          <w:sz w:val="22"/>
          <w:szCs w:val="22"/>
        </w:rPr>
        <w:t>. [Accessed on 18/12/2019].</w:t>
      </w:r>
    </w:p>
    <w:p w14:paraId="3398451A" w14:textId="77777777" w:rsidR="0021651C" w:rsidRDefault="0021651C" w:rsidP="00521DE0">
      <w:pPr>
        <w:rPr>
          <w:color w:val="auto"/>
          <w:sz w:val="22"/>
          <w:szCs w:val="22"/>
        </w:rPr>
      </w:pPr>
    </w:p>
    <w:p w14:paraId="03D44BED" w14:textId="785D6FD5" w:rsidR="00521DE0" w:rsidRPr="00B729D2" w:rsidRDefault="00521DE0" w:rsidP="00521DE0">
      <w:pPr>
        <w:rPr>
          <w:color w:val="auto"/>
          <w:sz w:val="22"/>
          <w:szCs w:val="22"/>
        </w:rPr>
      </w:pPr>
      <w:r w:rsidRPr="00B729D2">
        <w:rPr>
          <w:color w:val="auto"/>
          <w:sz w:val="22"/>
          <w:szCs w:val="22"/>
        </w:rPr>
        <w:t xml:space="preserve">Office for National Statistics (2019), </w:t>
      </w:r>
      <w:r w:rsidRPr="00B729D2">
        <w:rPr>
          <w:i/>
          <w:color w:val="auto"/>
          <w:sz w:val="22"/>
          <w:szCs w:val="22"/>
        </w:rPr>
        <w:t xml:space="preserve">Crime in England and Wales: Annual supplementary tables: March 2019. </w:t>
      </w:r>
      <w:r w:rsidRPr="00B729D2">
        <w:rPr>
          <w:color w:val="auto"/>
          <w:sz w:val="22"/>
          <w:szCs w:val="22"/>
        </w:rPr>
        <w:t xml:space="preserve">Available at: </w:t>
      </w:r>
      <w:hyperlink r:id="rId43" w:history="1">
        <w:r w:rsidRPr="00B729D2">
          <w:rPr>
            <w:rStyle w:val="Hyperlink"/>
            <w:color w:val="auto"/>
            <w:sz w:val="22"/>
            <w:szCs w:val="22"/>
          </w:rPr>
          <w:t>https://www.ons.gov.uk/peoplepopulationandcommunity/crimeandjustice/datasets/crimeinenglandandwalesannualsupplementarytables</w:t>
        </w:r>
      </w:hyperlink>
      <w:r w:rsidRPr="00B729D2">
        <w:rPr>
          <w:color w:val="auto"/>
          <w:sz w:val="22"/>
          <w:szCs w:val="22"/>
        </w:rPr>
        <w:t>. [Accessed on 18/12/2019].</w:t>
      </w:r>
    </w:p>
    <w:p w14:paraId="2B052E40" w14:textId="77777777" w:rsidR="0021651C" w:rsidRDefault="0021651C" w:rsidP="00521DE0">
      <w:pPr>
        <w:rPr>
          <w:color w:val="auto"/>
          <w:sz w:val="22"/>
          <w:szCs w:val="22"/>
        </w:rPr>
      </w:pPr>
    </w:p>
    <w:p w14:paraId="027165B8" w14:textId="479E9D4B" w:rsidR="00521DE0" w:rsidRPr="00B729D2" w:rsidRDefault="00521DE0" w:rsidP="00521DE0">
      <w:pPr>
        <w:rPr>
          <w:color w:val="auto"/>
          <w:sz w:val="22"/>
          <w:szCs w:val="22"/>
        </w:rPr>
      </w:pPr>
      <w:hyperlink r:id="rId44" w:tooltip="Jennifer H Peck" w:history="1">
        <w:r w:rsidRPr="0021651C">
          <w:rPr>
            <w:rStyle w:val="Hyperlink"/>
            <w:color w:val="auto"/>
            <w:sz w:val="22"/>
            <w:szCs w:val="22"/>
            <w:u w:val="none"/>
            <w:shd w:val="clear" w:color="auto" w:fill="FFFFFF"/>
          </w:rPr>
          <w:t>Peck, J.</w:t>
        </w:r>
      </w:hyperlink>
      <w:r w:rsidRPr="00B729D2">
        <w:rPr>
          <w:color w:val="auto"/>
          <w:sz w:val="22"/>
          <w:szCs w:val="22"/>
          <w:shd w:val="clear" w:color="auto" w:fill="FFFFFF"/>
        </w:rPr>
        <w:t> (2015), ‘Minority perceptions of the police: a state-of-the-art review’, </w:t>
      </w:r>
      <w:hyperlink r:id="rId45" w:history="1">
        <w:r w:rsidRPr="0021651C">
          <w:rPr>
            <w:rStyle w:val="Hyperlink"/>
            <w:i/>
            <w:iCs/>
            <w:color w:val="auto"/>
            <w:sz w:val="22"/>
            <w:szCs w:val="22"/>
            <w:u w:val="none"/>
          </w:rPr>
          <w:t>Policing: An International Journal</w:t>
        </w:r>
      </w:hyperlink>
      <w:r w:rsidRPr="00B729D2">
        <w:rPr>
          <w:color w:val="auto"/>
          <w:sz w:val="22"/>
          <w:szCs w:val="22"/>
          <w:shd w:val="clear" w:color="auto" w:fill="FFFFFF"/>
        </w:rPr>
        <w:t>, 38(1), pp173-203.</w:t>
      </w:r>
    </w:p>
    <w:p w14:paraId="676CAF6A" w14:textId="77777777" w:rsidR="0021651C" w:rsidRDefault="0021651C" w:rsidP="00521DE0">
      <w:pPr>
        <w:rPr>
          <w:color w:val="auto"/>
          <w:sz w:val="22"/>
          <w:szCs w:val="22"/>
          <w:shd w:val="clear" w:color="auto" w:fill="FFFFFF"/>
        </w:rPr>
      </w:pPr>
    </w:p>
    <w:p w14:paraId="5357F42C" w14:textId="365B4B83" w:rsidR="00521DE0" w:rsidRPr="00B729D2" w:rsidRDefault="00521DE0" w:rsidP="00521DE0">
      <w:pPr>
        <w:rPr>
          <w:color w:val="auto"/>
          <w:sz w:val="22"/>
          <w:szCs w:val="22"/>
        </w:rPr>
      </w:pPr>
      <w:r w:rsidRPr="00B729D2">
        <w:rPr>
          <w:color w:val="auto"/>
          <w:sz w:val="22"/>
          <w:szCs w:val="22"/>
          <w:shd w:val="clear" w:color="auto" w:fill="FFFFFF"/>
        </w:rPr>
        <w:t>Perry, B. &amp; Alvi, S. (2012), ‘We are all vulnerable’: The in terrorem effects of hate crimes’, </w:t>
      </w:r>
      <w:r w:rsidRPr="00B729D2">
        <w:rPr>
          <w:i/>
          <w:iCs/>
          <w:color w:val="auto"/>
          <w:sz w:val="22"/>
          <w:szCs w:val="22"/>
          <w:shd w:val="clear" w:color="auto" w:fill="FFFFFF"/>
        </w:rPr>
        <w:t>International Review of Victimology</w:t>
      </w:r>
      <w:r w:rsidRPr="00B729D2">
        <w:rPr>
          <w:i/>
          <w:color w:val="auto"/>
          <w:sz w:val="22"/>
          <w:szCs w:val="22"/>
          <w:shd w:val="clear" w:color="auto" w:fill="FFFFFF"/>
        </w:rPr>
        <w:t>, </w:t>
      </w:r>
      <w:r w:rsidRPr="00B729D2">
        <w:rPr>
          <w:iCs/>
          <w:color w:val="auto"/>
          <w:sz w:val="22"/>
          <w:szCs w:val="22"/>
          <w:shd w:val="clear" w:color="auto" w:fill="FFFFFF"/>
        </w:rPr>
        <w:t>18</w:t>
      </w:r>
      <w:r w:rsidRPr="00B729D2">
        <w:rPr>
          <w:color w:val="auto"/>
          <w:sz w:val="22"/>
          <w:szCs w:val="22"/>
          <w:shd w:val="clear" w:color="auto" w:fill="FFFFFF"/>
        </w:rPr>
        <w:t>(1)</w:t>
      </w:r>
      <w:r w:rsidRPr="00B729D2">
        <w:rPr>
          <w:i/>
          <w:color w:val="auto"/>
          <w:sz w:val="22"/>
          <w:szCs w:val="22"/>
          <w:shd w:val="clear" w:color="auto" w:fill="FFFFFF"/>
        </w:rPr>
        <w:t>,</w:t>
      </w:r>
      <w:r w:rsidRPr="00B729D2">
        <w:rPr>
          <w:color w:val="auto"/>
          <w:sz w:val="22"/>
          <w:szCs w:val="22"/>
          <w:shd w:val="clear" w:color="auto" w:fill="FFFFFF"/>
        </w:rPr>
        <w:t xml:space="preserve"> pp57–71.</w:t>
      </w:r>
    </w:p>
    <w:p w14:paraId="29D60C8F" w14:textId="77777777" w:rsidR="0021651C" w:rsidRDefault="0021651C" w:rsidP="00521DE0">
      <w:pPr>
        <w:rPr>
          <w:color w:val="auto"/>
          <w:sz w:val="22"/>
          <w:szCs w:val="22"/>
        </w:rPr>
      </w:pPr>
    </w:p>
    <w:p w14:paraId="703F1BE4" w14:textId="00B48EC7" w:rsidR="00521DE0" w:rsidRPr="00B729D2" w:rsidRDefault="00521DE0" w:rsidP="00521DE0">
      <w:pPr>
        <w:rPr>
          <w:color w:val="auto"/>
          <w:sz w:val="22"/>
          <w:szCs w:val="22"/>
        </w:rPr>
      </w:pPr>
      <w:r w:rsidRPr="00B729D2">
        <w:rPr>
          <w:color w:val="auto"/>
          <w:sz w:val="22"/>
          <w:szCs w:val="22"/>
        </w:rPr>
        <w:t xml:space="preserve">Phutela, D. (2015). ‘The Importance of Non-Verbal Communication’, </w:t>
      </w:r>
      <w:r w:rsidRPr="00B729D2">
        <w:rPr>
          <w:i/>
          <w:color w:val="auto"/>
          <w:sz w:val="22"/>
          <w:szCs w:val="22"/>
        </w:rPr>
        <w:t>IUP Journal of Soft Skills</w:t>
      </w:r>
      <w:r w:rsidRPr="00B729D2">
        <w:rPr>
          <w:color w:val="auto"/>
          <w:sz w:val="22"/>
          <w:szCs w:val="22"/>
        </w:rPr>
        <w:t>, 9(4), pp. 43-49.</w:t>
      </w:r>
    </w:p>
    <w:p w14:paraId="53EB8480" w14:textId="77777777" w:rsidR="0021651C" w:rsidRDefault="0021651C" w:rsidP="00521DE0">
      <w:pPr>
        <w:rPr>
          <w:color w:val="auto"/>
          <w:sz w:val="22"/>
          <w:szCs w:val="22"/>
        </w:rPr>
      </w:pPr>
    </w:p>
    <w:p w14:paraId="401DFDDA" w14:textId="00AEFB4E" w:rsidR="00521DE0" w:rsidRPr="00B729D2" w:rsidRDefault="00521DE0" w:rsidP="00521DE0">
      <w:pPr>
        <w:rPr>
          <w:color w:val="auto"/>
          <w:sz w:val="22"/>
          <w:szCs w:val="22"/>
        </w:rPr>
      </w:pPr>
      <w:r w:rsidRPr="00B729D2">
        <w:rPr>
          <w:color w:val="auto"/>
          <w:sz w:val="22"/>
          <w:szCs w:val="22"/>
        </w:rPr>
        <w:t xml:space="preserve">Robinson, A.L. &amp; Stroshine, M.S. (2005), ‘The importance of expectation fulfilment on domestic violence victims' satisfaction with the police in the UK’, </w:t>
      </w:r>
      <w:r w:rsidRPr="00B729D2">
        <w:rPr>
          <w:i/>
          <w:color w:val="auto"/>
          <w:sz w:val="22"/>
          <w:szCs w:val="22"/>
        </w:rPr>
        <w:t>Policing</w:t>
      </w:r>
      <w:r w:rsidRPr="00B729D2">
        <w:rPr>
          <w:color w:val="auto"/>
          <w:sz w:val="22"/>
          <w:szCs w:val="22"/>
        </w:rPr>
        <w:t>, 28(2), pp. 301-320.</w:t>
      </w:r>
    </w:p>
    <w:p w14:paraId="671D583D" w14:textId="77777777" w:rsidR="0021651C" w:rsidRDefault="0021651C" w:rsidP="00521DE0">
      <w:pPr>
        <w:rPr>
          <w:color w:val="auto"/>
          <w:sz w:val="22"/>
          <w:szCs w:val="22"/>
          <w:shd w:val="clear" w:color="auto" w:fill="FFFFFF"/>
        </w:rPr>
      </w:pPr>
    </w:p>
    <w:p w14:paraId="59A07022" w14:textId="00D42F0B" w:rsidR="00521DE0" w:rsidRPr="00B729D2" w:rsidRDefault="00521DE0" w:rsidP="00521DE0">
      <w:pPr>
        <w:rPr>
          <w:color w:val="auto"/>
          <w:sz w:val="22"/>
          <w:szCs w:val="22"/>
          <w:shd w:val="clear" w:color="auto" w:fill="FFFFFF"/>
        </w:rPr>
      </w:pPr>
      <w:r w:rsidRPr="00B729D2">
        <w:rPr>
          <w:color w:val="auto"/>
          <w:sz w:val="22"/>
          <w:szCs w:val="22"/>
          <w:shd w:val="clear" w:color="auto" w:fill="FFFFFF"/>
        </w:rPr>
        <w:t>Sachschal, J., Woodward, E., Wichelmann, J. M., Haag, K. &amp; Ehlers, A. (2019) ‘Differential Effects of Poor Recall and Memory Disjointedness on Trauma Symptoms’, </w:t>
      </w:r>
      <w:r w:rsidRPr="00B729D2">
        <w:rPr>
          <w:i/>
          <w:iCs/>
          <w:color w:val="auto"/>
          <w:sz w:val="22"/>
          <w:szCs w:val="22"/>
          <w:shd w:val="clear" w:color="auto" w:fill="FFFFFF"/>
        </w:rPr>
        <w:t>Clinical Psychological Science</w:t>
      </w:r>
      <w:r w:rsidRPr="00B729D2">
        <w:rPr>
          <w:color w:val="auto"/>
          <w:sz w:val="22"/>
          <w:szCs w:val="22"/>
          <w:shd w:val="clear" w:color="auto" w:fill="FFFFFF"/>
        </w:rPr>
        <w:t>, </w:t>
      </w:r>
      <w:r w:rsidRPr="00B729D2">
        <w:rPr>
          <w:i/>
          <w:iCs/>
          <w:color w:val="auto"/>
          <w:sz w:val="22"/>
          <w:szCs w:val="22"/>
          <w:shd w:val="clear" w:color="auto" w:fill="FFFFFF"/>
        </w:rPr>
        <w:t>7</w:t>
      </w:r>
      <w:r w:rsidRPr="00B729D2">
        <w:rPr>
          <w:color w:val="auto"/>
          <w:sz w:val="22"/>
          <w:szCs w:val="22"/>
          <w:shd w:val="clear" w:color="auto" w:fill="FFFFFF"/>
        </w:rPr>
        <w:t>(5), pp1032–1041.</w:t>
      </w:r>
    </w:p>
    <w:p w14:paraId="4EE99A0F" w14:textId="77777777" w:rsidR="0021651C" w:rsidRDefault="0021651C" w:rsidP="00521DE0">
      <w:pPr>
        <w:rPr>
          <w:color w:val="auto"/>
          <w:sz w:val="22"/>
          <w:szCs w:val="22"/>
        </w:rPr>
      </w:pPr>
    </w:p>
    <w:p w14:paraId="7AFA9D51" w14:textId="78E6F248" w:rsidR="00521DE0" w:rsidRPr="00B729D2" w:rsidRDefault="00521DE0" w:rsidP="00521DE0">
      <w:pPr>
        <w:rPr>
          <w:color w:val="auto"/>
          <w:sz w:val="22"/>
          <w:szCs w:val="22"/>
        </w:rPr>
      </w:pPr>
      <w:r w:rsidRPr="00B729D2">
        <w:rPr>
          <w:color w:val="auto"/>
          <w:sz w:val="22"/>
          <w:szCs w:val="22"/>
        </w:rPr>
        <w:t>Schneiderman, N., Ironson, G. &amp; Seigel, S. (2005) ‘Stress and Health: Psychological, Behavioral, and Biological Determinants’. Annual Review of Clinical Psychology, 1, pp607-628.</w:t>
      </w:r>
    </w:p>
    <w:p w14:paraId="3D1EC06B" w14:textId="77777777" w:rsidR="0021651C" w:rsidRDefault="0021651C" w:rsidP="00521DE0">
      <w:pPr>
        <w:rPr>
          <w:color w:val="auto"/>
          <w:sz w:val="22"/>
          <w:szCs w:val="22"/>
        </w:rPr>
      </w:pPr>
    </w:p>
    <w:p w14:paraId="7B722BE0" w14:textId="0E786DF3" w:rsidR="00521DE0" w:rsidRPr="00B729D2" w:rsidRDefault="00521DE0" w:rsidP="00521DE0">
      <w:pPr>
        <w:rPr>
          <w:color w:val="auto"/>
          <w:sz w:val="22"/>
          <w:szCs w:val="22"/>
        </w:rPr>
      </w:pPr>
      <w:r w:rsidRPr="00B729D2">
        <w:rPr>
          <w:color w:val="auto"/>
          <w:sz w:val="22"/>
          <w:szCs w:val="22"/>
        </w:rPr>
        <w:t xml:space="preserve">South Wales Police (2019) </w:t>
      </w:r>
      <w:r w:rsidRPr="00B729D2">
        <w:rPr>
          <w:i/>
          <w:color w:val="auto"/>
          <w:sz w:val="22"/>
          <w:szCs w:val="22"/>
        </w:rPr>
        <w:t>South Wales Police &amp; Crime Plan 2019-2023</w:t>
      </w:r>
      <w:r w:rsidRPr="00B729D2">
        <w:rPr>
          <w:color w:val="auto"/>
          <w:sz w:val="22"/>
          <w:szCs w:val="22"/>
        </w:rPr>
        <w:t xml:space="preserve">. Available at: </w:t>
      </w:r>
      <w:hyperlink r:id="rId46" w:history="1">
        <w:r w:rsidRPr="00B729D2">
          <w:rPr>
            <w:rStyle w:val="Hyperlink"/>
            <w:color w:val="auto"/>
            <w:sz w:val="22"/>
            <w:szCs w:val="22"/>
          </w:rPr>
          <w:t>file://swp.police.int/data/home/swp6415/Documents/University/2019-01-30-police-and-crime-plan-final-eng.pdf</w:t>
        </w:r>
      </w:hyperlink>
      <w:r w:rsidRPr="00B729D2">
        <w:rPr>
          <w:color w:val="auto"/>
          <w:sz w:val="22"/>
          <w:szCs w:val="22"/>
        </w:rPr>
        <w:t>. [Accessed 11/11/2019].</w:t>
      </w:r>
    </w:p>
    <w:p w14:paraId="502D4CDD" w14:textId="77777777" w:rsidR="0021651C" w:rsidRDefault="0021651C" w:rsidP="00521DE0">
      <w:pPr>
        <w:rPr>
          <w:color w:val="auto"/>
          <w:sz w:val="22"/>
          <w:szCs w:val="22"/>
          <w:shd w:val="clear" w:color="auto" w:fill="FFFFFF"/>
        </w:rPr>
      </w:pPr>
    </w:p>
    <w:p w14:paraId="660A2F87" w14:textId="386D323E" w:rsidR="00521DE0" w:rsidRPr="00B729D2" w:rsidRDefault="00521DE0" w:rsidP="00521DE0">
      <w:pPr>
        <w:rPr>
          <w:color w:val="auto"/>
          <w:sz w:val="22"/>
          <w:szCs w:val="22"/>
        </w:rPr>
      </w:pPr>
      <w:r w:rsidRPr="00B729D2">
        <w:rPr>
          <w:color w:val="auto"/>
          <w:sz w:val="22"/>
          <w:szCs w:val="22"/>
          <w:shd w:val="clear" w:color="auto" w:fill="FFFFFF"/>
        </w:rPr>
        <w:t xml:space="preserve">Stonehouse, D. (2011) ‘Using reflective practice to ensure high standards of care’, </w:t>
      </w:r>
      <w:r w:rsidRPr="00B729D2">
        <w:rPr>
          <w:i/>
          <w:color w:val="auto"/>
          <w:sz w:val="22"/>
          <w:szCs w:val="22"/>
          <w:shd w:val="clear" w:color="auto" w:fill="FFFFFF"/>
        </w:rPr>
        <w:t xml:space="preserve">British Journal of Healthcare Assistants, </w:t>
      </w:r>
      <w:r w:rsidRPr="00B729D2">
        <w:rPr>
          <w:color w:val="auto"/>
          <w:sz w:val="22"/>
          <w:szCs w:val="22"/>
          <w:shd w:val="clear" w:color="auto" w:fill="FFFFFF"/>
        </w:rPr>
        <w:t>5(6), pp299-302.</w:t>
      </w:r>
    </w:p>
    <w:p w14:paraId="04804627" w14:textId="77777777" w:rsidR="0021651C" w:rsidRDefault="0021651C" w:rsidP="00521DE0">
      <w:pPr>
        <w:rPr>
          <w:color w:val="auto"/>
          <w:sz w:val="22"/>
          <w:szCs w:val="22"/>
        </w:rPr>
      </w:pPr>
    </w:p>
    <w:p w14:paraId="2FCE3153" w14:textId="44B8E6EF" w:rsidR="00521DE0" w:rsidRPr="00B729D2" w:rsidRDefault="00521DE0" w:rsidP="00521DE0">
      <w:pPr>
        <w:rPr>
          <w:color w:val="auto"/>
          <w:sz w:val="22"/>
          <w:szCs w:val="22"/>
        </w:rPr>
      </w:pPr>
      <w:r w:rsidRPr="00B729D2">
        <w:rPr>
          <w:color w:val="auto"/>
          <w:sz w:val="22"/>
          <w:szCs w:val="22"/>
        </w:rPr>
        <w:t xml:space="preserve">Stress Management Society, (2019). ‘Assess Your Diet’. Available at:  </w:t>
      </w:r>
      <w:hyperlink r:id="rId47" w:history="1">
        <w:r w:rsidRPr="00B729D2">
          <w:rPr>
            <w:rStyle w:val="Hyperlink"/>
            <w:color w:val="auto"/>
            <w:sz w:val="22"/>
            <w:szCs w:val="22"/>
          </w:rPr>
          <w:t>http://www.stress.org.uk/assess-your-diet/</w:t>
        </w:r>
      </w:hyperlink>
      <w:r w:rsidRPr="00B729D2">
        <w:rPr>
          <w:color w:val="auto"/>
          <w:sz w:val="22"/>
          <w:szCs w:val="22"/>
        </w:rPr>
        <w:t xml:space="preserve"> [Accessed 1</w:t>
      </w:r>
      <w:r w:rsidRPr="00B729D2">
        <w:rPr>
          <w:color w:val="auto"/>
          <w:sz w:val="22"/>
          <w:szCs w:val="22"/>
          <w:vertAlign w:val="superscript"/>
        </w:rPr>
        <w:t>st</w:t>
      </w:r>
      <w:r w:rsidRPr="00B729D2">
        <w:rPr>
          <w:color w:val="auto"/>
          <w:sz w:val="22"/>
          <w:szCs w:val="22"/>
        </w:rPr>
        <w:t xml:space="preserve"> October 2019].</w:t>
      </w:r>
    </w:p>
    <w:p w14:paraId="260E7BAC" w14:textId="77777777" w:rsidR="0021651C" w:rsidRDefault="0021651C" w:rsidP="00521DE0">
      <w:pPr>
        <w:rPr>
          <w:color w:val="auto"/>
          <w:sz w:val="22"/>
          <w:szCs w:val="22"/>
          <w:shd w:val="clear" w:color="auto" w:fill="FFFFFF"/>
        </w:rPr>
      </w:pPr>
    </w:p>
    <w:p w14:paraId="14470A7B" w14:textId="01B8B543" w:rsidR="00521DE0" w:rsidRPr="00B729D2" w:rsidRDefault="00521DE0" w:rsidP="00521DE0">
      <w:pPr>
        <w:rPr>
          <w:color w:val="auto"/>
          <w:sz w:val="22"/>
          <w:szCs w:val="22"/>
          <w:shd w:val="clear" w:color="auto" w:fill="FFFFFF"/>
        </w:rPr>
      </w:pPr>
      <w:r w:rsidRPr="00B729D2">
        <w:rPr>
          <w:color w:val="auto"/>
          <w:sz w:val="22"/>
          <w:szCs w:val="22"/>
          <w:shd w:val="clear" w:color="auto" w:fill="FFFFFF"/>
        </w:rPr>
        <w:t>Stults-Kolehmainen, M. A., &amp; Sinha, R. (2014) ‘The effects of stress on physical activity and exercise’. </w:t>
      </w:r>
      <w:r w:rsidRPr="00B729D2">
        <w:rPr>
          <w:iCs/>
          <w:color w:val="auto"/>
          <w:sz w:val="22"/>
          <w:szCs w:val="22"/>
          <w:shd w:val="clear" w:color="auto" w:fill="FFFFFF"/>
        </w:rPr>
        <w:t>Sports Medicine</w:t>
      </w:r>
      <w:r w:rsidRPr="00B729D2">
        <w:rPr>
          <w:color w:val="auto"/>
          <w:sz w:val="22"/>
          <w:szCs w:val="22"/>
          <w:shd w:val="clear" w:color="auto" w:fill="FFFFFF"/>
        </w:rPr>
        <w:t>, </w:t>
      </w:r>
      <w:r w:rsidRPr="00B729D2">
        <w:rPr>
          <w:iCs/>
          <w:color w:val="auto"/>
          <w:sz w:val="22"/>
          <w:szCs w:val="22"/>
          <w:shd w:val="clear" w:color="auto" w:fill="FFFFFF"/>
        </w:rPr>
        <w:t>44</w:t>
      </w:r>
      <w:r w:rsidRPr="00B729D2">
        <w:rPr>
          <w:color w:val="auto"/>
          <w:sz w:val="22"/>
          <w:szCs w:val="22"/>
          <w:shd w:val="clear" w:color="auto" w:fill="FFFFFF"/>
        </w:rPr>
        <w:t xml:space="preserve">(1), pp81–121. </w:t>
      </w:r>
    </w:p>
    <w:p w14:paraId="3708AB3C" w14:textId="77777777" w:rsidR="0021651C" w:rsidRDefault="0021651C" w:rsidP="00521DE0">
      <w:pPr>
        <w:rPr>
          <w:color w:val="auto"/>
          <w:sz w:val="22"/>
          <w:szCs w:val="22"/>
        </w:rPr>
      </w:pPr>
    </w:p>
    <w:p w14:paraId="0469D58C" w14:textId="18F62C28" w:rsidR="00521DE0" w:rsidRPr="00B729D2" w:rsidRDefault="00521DE0" w:rsidP="00521DE0">
      <w:pPr>
        <w:rPr>
          <w:color w:val="auto"/>
          <w:sz w:val="22"/>
          <w:szCs w:val="22"/>
        </w:rPr>
      </w:pPr>
      <w:r w:rsidRPr="00B729D2">
        <w:rPr>
          <w:color w:val="auto"/>
          <w:sz w:val="22"/>
          <w:szCs w:val="22"/>
        </w:rPr>
        <w:t xml:space="preserve">Wu, Y., Sun, I.Y. &amp; Cao, L. (2017) ‘Immigrant perceptions of the police: Theoretical explanations’, </w:t>
      </w:r>
      <w:r w:rsidRPr="00B729D2">
        <w:rPr>
          <w:i/>
          <w:color w:val="auto"/>
          <w:sz w:val="22"/>
          <w:szCs w:val="22"/>
        </w:rPr>
        <w:t xml:space="preserve">International Journal of Police Science &amp; Management, </w:t>
      </w:r>
      <w:r w:rsidRPr="00B729D2">
        <w:rPr>
          <w:color w:val="auto"/>
          <w:sz w:val="22"/>
          <w:szCs w:val="22"/>
        </w:rPr>
        <w:t>19(3), pp. 171-186.</w:t>
      </w:r>
    </w:p>
    <w:p w14:paraId="0C34A38A" w14:textId="77777777" w:rsidR="00634453" w:rsidRDefault="00634453" w:rsidP="00E6298B">
      <w:pPr>
        <w:overflowPunct/>
        <w:autoSpaceDE/>
        <w:autoSpaceDN/>
        <w:adjustRightInd/>
        <w:ind w:right="107"/>
        <w:textAlignment w:val="auto"/>
        <w:rPr>
          <w:b/>
          <w:sz w:val="24"/>
          <w:szCs w:val="24"/>
        </w:rPr>
      </w:pPr>
    </w:p>
    <w:p w14:paraId="7C9424F7" w14:textId="77777777" w:rsidR="00634453" w:rsidRDefault="00634453">
      <w:pPr>
        <w:overflowPunct/>
        <w:autoSpaceDE/>
        <w:autoSpaceDN/>
        <w:adjustRightInd/>
        <w:textAlignment w:val="auto"/>
        <w:rPr>
          <w:b/>
          <w:sz w:val="24"/>
          <w:szCs w:val="24"/>
        </w:rPr>
      </w:pPr>
      <w:r>
        <w:rPr>
          <w:b/>
          <w:sz w:val="24"/>
          <w:szCs w:val="24"/>
        </w:rPr>
        <w:br w:type="page"/>
      </w:r>
    </w:p>
    <w:p w14:paraId="250CF227" w14:textId="665EB177" w:rsidR="006D4550" w:rsidRDefault="00634453" w:rsidP="00E6298B">
      <w:pPr>
        <w:overflowPunct/>
        <w:autoSpaceDE/>
        <w:autoSpaceDN/>
        <w:adjustRightInd/>
        <w:ind w:right="107"/>
        <w:textAlignment w:val="auto"/>
        <w:rPr>
          <w:b/>
          <w:sz w:val="24"/>
          <w:szCs w:val="24"/>
        </w:rPr>
      </w:pPr>
      <w:r>
        <w:rPr>
          <w:b/>
          <w:noProof/>
          <w:sz w:val="24"/>
          <w:szCs w:val="24"/>
        </w:rPr>
        <w:lastRenderedPageBreak/>
        <w:drawing>
          <wp:inline distT="0" distB="0" distL="0" distR="0" wp14:anchorId="59CB1FA9" wp14:editId="248E348F">
            <wp:extent cx="6188710" cy="448437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apture2.PNG"/>
                    <pic:cNvPicPr/>
                  </pic:nvPicPr>
                  <pic:blipFill>
                    <a:blip r:embed="rId48">
                      <a:extLst>
                        <a:ext uri="{28A0092B-C50C-407E-A947-70E740481C1C}">
                          <a14:useLocalDpi xmlns:a14="http://schemas.microsoft.com/office/drawing/2010/main" val="0"/>
                        </a:ext>
                      </a:extLst>
                    </a:blip>
                    <a:stretch>
                      <a:fillRect/>
                    </a:stretch>
                  </pic:blipFill>
                  <pic:spPr>
                    <a:xfrm>
                      <a:off x="0" y="0"/>
                      <a:ext cx="6188710" cy="4484370"/>
                    </a:xfrm>
                    <a:prstGeom prst="rect">
                      <a:avLst/>
                    </a:prstGeom>
                  </pic:spPr>
                </pic:pic>
              </a:graphicData>
            </a:graphic>
          </wp:inline>
        </w:drawing>
      </w:r>
      <w:r w:rsidR="006D4550">
        <w:rPr>
          <w:b/>
          <w:sz w:val="24"/>
          <w:szCs w:val="24"/>
        </w:rPr>
        <w:br w:type="page"/>
      </w:r>
    </w:p>
    <w:p w14:paraId="6B78710B" w14:textId="77777777" w:rsidR="00634453" w:rsidRPr="00294868" w:rsidRDefault="00634453"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634453" w:rsidRPr="00294868" w:rsidSect="00A87E15">
          <w:headerReference w:type="even" r:id="rId49"/>
          <w:headerReference w:type="default" r:id="rId50"/>
          <w:footerReference w:type="even" r:id="rId51"/>
          <w:footerReference w:type="default" r:id="rId52"/>
          <w:headerReference w:type="first" r:id="rId53"/>
          <w:footerReference w:type="first" r:id="rId54"/>
          <w:pgSz w:w="11906" w:h="16838" w:code="9"/>
          <w:pgMar w:top="1021" w:right="1080" w:bottom="1021" w:left="1080" w:header="720" w:footer="720" w:gutter="0"/>
          <w:cols w:space="720"/>
          <w:titlePg/>
          <w:docGrid w:linePitch="272"/>
        </w:sectPr>
      </w:pPr>
    </w:p>
    <w:p w14:paraId="756B4D90" w14:textId="719AFDDB" w:rsidR="28A9B94D" w:rsidRDefault="00A00258" w:rsidP="28A9B94D">
      <w:r>
        <w:rPr>
          <w:noProof/>
        </w:rPr>
        <w:lastRenderedPageBreak/>
        <w:drawing>
          <wp:inline distT="0" distB="0" distL="0" distR="0" wp14:anchorId="6209A315" wp14:editId="3697D5A0">
            <wp:extent cx="6188710" cy="4839286"/>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pture.PNG"/>
                    <pic:cNvPicPr/>
                  </pic:nvPicPr>
                  <pic:blipFill>
                    <a:blip r:embed="rId55">
                      <a:extLst>
                        <a:ext uri="{28A0092B-C50C-407E-A947-70E740481C1C}">
                          <a14:useLocalDpi xmlns:a14="http://schemas.microsoft.com/office/drawing/2010/main" val="0"/>
                        </a:ext>
                      </a:extLst>
                    </a:blip>
                    <a:stretch>
                      <a:fillRect/>
                    </a:stretch>
                  </pic:blipFill>
                  <pic:spPr>
                    <a:xfrm>
                      <a:off x="0" y="0"/>
                      <a:ext cx="6196122" cy="4845082"/>
                    </a:xfrm>
                    <a:prstGeom prst="rect">
                      <a:avLst/>
                    </a:prstGeom>
                  </pic:spPr>
                </pic:pic>
              </a:graphicData>
            </a:graphic>
          </wp:inline>
        </w:drawing>
      </w:r>
    </w:p>
    <w:sectPr w:rsidR="28A9B94D" w:rsidSect="00A87E15">
      <w:headerReference w:type="even" r:id="rId56"/>
      <w:headerReference w:type="default" r:id="rId57"/>
      <w:footerReference w:type="even" r:id="rId58"/>
      <w:footerReference w:type="default" r:id="rId59"/>
      <w:headerReference w:type="first" r:id="rId60"/>
      <w:footerReference w:type="first" r:id="rId61"/>
      <w:pgSz w:w="11906" w:h="16838" w:code="9"/>
      <w:pgMar w:top="1021" w:right="1080" w:bottom="1021" w:left="108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965BD3" w14:textId="77777777" w:rsidR="00F8475C" w:rsidRDefault="00F8475C">
      <w:r>
        <w:separator/>
      </w:r>
    </w:p>
  </w:endnote>
  <w:endnote w:type="continuationSeparator" w:id="0">
    <w:p w14:paraId="1B867723" w14:textId="77777777" w:rsidR="00F8475C" w:rsidRDefault="00F847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8F48CC" w14:textId="1236D557" w:rsidR="00F8475C" w:rsidRDefault="00100327" w:rsidP="00100327">
    <w:pPr>
      <w:pStyle w:val="Footer"/>
      <w:rPr>
        <w:sz w:val="17"/>
      </w:rPr>
    </w:pPr>
    <w:bookmarkStart w:id="2" w:name="TITUS1FooterEvenPages"/>
    <w:r>
      <w:rPr>
        <w:sz w:val="17"/>
      </w:rPr>
      <w:t> </w:t>
    </w:r>
  </w:p>
  <w:bookmarkEnd w:id="2"/>
  <w:p w14:paraId="58AA5C84" w14:textId="73E3E0CD" w:rsidR="00F8475C" w:rsidRDefault="00F8475C" w:rsidP="00A87E15">
    <w:pPr>
      <w:pStyle w:val="Footer"/>
      <w:jc w:val="right"/>
    </w:pPr>
    <w:r>
      <w:fldChar w:fldCharType="begin"/>
    </w:r>
    <w:r>
      <w:instrText xml:space="preserve"> PAGE   \* MERGEFORMAT </w:instrText>
    </w:r>
    <w:r>
      <w:fldChar w:fldCharType="separate"/>
    </w:r>
    <w:r w:rsidR="00100327">
      <w:rPr>
        <w:noProof/>
      </w:rPr>
      <w:t>6</w:t>
    </w:r>
    <w:r>
      <w:rPr>
        <w:noProof/>
      </w:rPr>
      <w:fldChar w:fldCharType="end"/>
    </w:r>
  </w:p>
  <w:p w14:paraId="1AAC1EF4" w14:textId="77777777" w:rsidR="00F8475C" w:rsidRPr="00BB5EAA" w:rsidRDefault="00F8475C" w:rsidP="00A87E15">
    <w:pPr>
      <w:pStyle w:val="Footer"/>
      <w:ind w:right="360"/>
      <w:jc w:val="center"/>
    </w:pPr>
  </w:p>
  <w:p w14:paraId="7F598F90" w14:textId="77777777" w:rsidR="00F8475C" w:rsidRDefault="00F8475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DC537A" w14:textId="2008454F" w:rsidR="00F8475C" w:rsidRDefault="00100327" w:rsidP="00100327">
    <w:pPr>
      <w:pStyle w:val="Footer"/>
      <w:rPr>
        <w:sz w:val="17"/>
      </w:rPr>
    </w:pPr>
    <w:bookmarkStart w:id="3" w:name="TITUS1FooterPrimary"/>
    <w:r>
      <w:rPr>
        <w:sz w:val="17"/>
      </w:rPr>
      <w:t> </w:t>
    </w:r>
  </w:p>
  <w:bookmarkEnd w:id="3"/>
  <w:p w14:paraId="50521BFA" w14:textId="4CDB6426" w:rsidR="00F8475C" w:rsidRDefault="00F8475C">
    <w:pPr>
      <w:pStyle w:val="Footer"/>
      <w:jc w:val="right"/>
    </w:pPr>
    <w:r>
      <w:fldChar w:fldCharType="begin"/>
    </w:r>
    <w:r>
      <w:instrText xml:space="preserve"> PAGE   \* MERGEFORMAT </w:instrText>
    </w:r>
    <w:r>
      <w:fldChar w:fldCharType="separate"/>
    </w:r>
    <w:r w:rsidR="00100327">
      <w:rPr>
        <w:noProof/>
      </w:rPr>
      <w:t>7</w:t>
    </w:r>
    <w:r>
      <w:rPr>
        <w:noProof/>
      </w:rPr>
      <w:fldChar w:fldCharType="end"/>
    </w:r>
  </w:p>
  <w:p w14:paraId="790812FF" w14:textId="77777777" w:rsidR="00F8475C" w:rsidRPr="00BB5EAA" w:rsidRDefault="00F8475C"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DA85F3" w14:textId="13007306" w:rsidR="00F8475C" w:rsidRDefault="00100327" w:rsidP="00100327">
    <w:pPr>
      <w:pStyle w:val="Footer"/>
      <w:rPr>
        <w:sz w:val="17"/>
      </w:rPr>
    </w:pPr>
    <w:bookmarkStart w:id="5" w:name="TITUS1FooterFirstPage"/>
    <w:r>
      <w:rPr>
        <w:sz w:val="17"/>
      </w:rPr>
      <w:t> </w:t>
    </w:r>
  </w:p>
  <w:bookmarkEnd w:id="5"/>
  <w:p w14:paraId="7B86C742" w14:textId="06873B82" w:rsidR="00F8475C" w:rsidRDefault="00F8475C" w:rsidP="00A87E15">
    <w:pPr>
      <w:pStyle w:val="Footer"/>
      <w:jc w:val="right"/>
    </w:pPr>
    <w:r>
      <w:fldChar w:fldCharType="begin"/>
    </w:r>
    <w:r>
      <w:instrText xml:space="preserve"> PAGE   \* MERGEFORMAT </w:instrText>
    </w:r>
    <w:r>
      <w:fldChar w:fldCharType="separate"/>
    </w:r>
    <w:r w:rsidR="00100327">
      <w:rPr>
        <w:noProof/>
      </w:rPr>
      <w:t>1</w:t>
    </w:r>
    <w:r>
      <w:rPr>
        <w:noProof/>
      </w:rPr>
      <w:fldChar w:fldCharType="end"/>
    </w:r>
  </w:p>
  <w:p w14:paraId="7C973399" w14:textId="77777777" w:rsidR="00F8475C" w:rsidRPr="00BB5EAA" w:rsidRDefault="00F8475C" w:rsidP="00A87E15">
    <w:pPr>
      <w:pStyle w:val="Footer"/>
      <w:ind w:right="360"/>
      <w:jc w:val="center"/>
    </w:pPr>
  </w:p>
  <w:p w14:paraId="0663B734" w14:textId="77777777" w:rsidR="00F8475C" w:rsidRDefault="00F8475C">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C2C91E" w14:textId="6A115A85" w:rsidR="00F8475C" w:rsidRDefault="00100327" w:rsidP="00100327">
    <w:pPr>
      <w:pStyle w:val="Footer"/>
      <w:rPr>
        <w:sz w:val="17"/>
      </w:rPr>
    </w:pPr>
    <w:bookmarkStart w:id="8" w:name="TITUS2FooterEvenPages"/>
    <w:r>
      <w:rPr>
        <w:sz w:val="17"/>
      </w:rPr>
      <w:t> </w:t>
    </w:r>
  </w:p>
  <w:bookmarkEnd w:id="8"/>
  <w:p w14:paraId="02B9842B" w14:textId="77777777" w:rsidR="00F8475C" w:rsidRDefault="00F8475C" w:rsidP="00A87E15">
    <w:pPr>
      <w:pStyle w:val="Footer"/>
      <w:jc w:val="right"/>
    </w:pPr>
  </w:p>
  <w:p w14:paraId="18AA5EF0" w14:textId="46AF8C82" w:rsidR="00F8475C" w:rsidRDefault="00F8475C" w:rsidP="00A87E15">
    <w:pPr>
      <w:pStyle w:val="Footer"/>
      <w:jc w:val="right"/>
    </w:pPr>
    <w:r>
      <w:fldChar w:fldCharType="begin"/>
    </w:r>
    <w:r>
      <w:instrText xml:space="preserve"> PAGE   \* MERGEFORMAT </w:instrText>
    </w:r>
    <w:r>
      <w:fldChar w:fldCharType="separate"/>
    </w:r>
    <w:r w:rsidR="00100327">
      <w:rPr>
        <w:noProof/>
      </w:rPr>
      <w:t>18</w:t>
    </w:r>
    <w:r>
      <w:rPr>
        <w:noProof/>
      </w:rPr>
      <w:fldChar w:fldCharType="end"/>
    </w:r>
  </w:p>
  <w:p w14:paraId="5B08EB43" w14:textId="77777777" w:rsidR="00F8475C" w:rsidRPr="00BB5EAA" w:rsidRDefault="00F8475C" w:rsidP="00A87E15">
    <w:pPr>
      <w:pStyle w:val="Footer"/>
      <w:ind w:right="360"/>
      <w:jc w:val="center"/>
    </w:pPr>
  </w:p>
  <w:p w14:paraId="00364D86" w14:textId="77777777" w:rsidR="00F8475C" w:rsidRDefault="00F8475C">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94330B" w14:textId="52898044" w:rsidR="00F8475C" w:rsidRDefault="00100327" w:rsidP="00100327">
    <w:pPr>
      <w:pStyle w:val="Footer"/>
      <w:rPr>
        <w:sz w:val="17"/>
      </w:rPr>
    </w:pPr>
    <w:bookmarkStart w:id="9" w:name="TITUS2FooterPrimary"/>
    <w:r>
      <w:rPr>
        <w:sz w:val="17"/>
      </w:rPr>
      <w:t> </w:t>
    </w:r>
  </w:p>
  <w:bookmarkEnd w:id="9"/>
  <w:p w14:paraId="7DABE1E6" w14:textId="77777777" w:rsidR="00F8475C" w:rsidRDefault="00F8475C">
    <w:pPr>
      <w:pStyle w:val="Footer"/>
      <w:jc w:val="right"/>
    </w:pPr>
  </w:p>
  <w:p w14:paraId="3C771BF7" w14:textId="231339E2" w:rsidR="00F8475C" w:rsidRDefault="00F8475C">
    <w:pPr>
      <w:pStyle w:val="Footer"/>
      <w:jc w:val="right"/>
    </w:pPr>
    <w:r>
      <w:fldChar w:fldCharType="begin"/>
    </w:r>
    <w:r>
      <w:instrText xml:space="preserve"> PAGE   \* MERGEFORMAT </w:instrText>
    </w:r>
    <w:r>
      <w:fldChar w:fldCharType="separate"/>
    </w:r>
    <w:r w:rsidR="00100327">
      <w:rPr>
        <w:noProof/>
      </w:rPr>
      <w:t>19</w:t>
    </w:r>
    <w:r>
      <w:rPr>
        <w:noProof/>
      </w:rPr>
      <w:fldChar w:fldCharType="end"/>
    </w:r>
  </w:p>
  <w:p w14:paraId="4078ACF2" w14:textId="77777777" w:rsidR="00F8475C" w:rsidRPr="00BB5EAA" w:rsidRDefault="00F8475C"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F5E6A1" w14:textId="6E4731E7" w:rsidR="00F8475C" w:rsidRDefault="00100327" w:rsidP="00100327">
    <w:pPr>
      <w:pStyle w:val="Footer"/>
      <w:rPr>
        <w:sz w:val="17"/>
      </w:rPr>
    </w:pPr>
    <w:bookmarkStart w:id="11" w:name="TITUS2FooterFirstPage"/>
    <w:r>
      <w:rPr>
        <w:sz w:val="17"/>
      </w:rPr>
      <w:t> </w:t>
    </w:r>
  </w:p>
  <w:bookmarkEnd w:id="11"/>
  <w:p w14:paraId="5F186053" w14:textId="77777777" w:rsidR="00F8475C" w:rsidRDefault="00F8475C" w:rsidP="00A87E15">
    <w:pPr>
      <w:pStyle w:val="Footer"/>
      <w:jc w:val="right"/>
    </w:pPr>
  </w:p>
  <w:p w14:paraId="4A9D9391" w14:textId="4F723A99" w:rsidR="00F8475C" w:rsidRDefault="00F8475C" w:rsidP="00A87E15">
    <w:pPr>
      <w:pStyle w:val="Footer"/>
      <w:jc w:val="right"/>
    </w:pPr>
    <w:r>
      <w:fldChar w:fldCharType="begin"/>
    </w:r>
    <w:r>
      <w:instrText xml:space="preserve"> PAGE   \* MERGEFORMAT </w:instrText>
    </w:r>
    <w:r>
      <w:fldChar w:fldCharType="separate"/>
    </w:r>
    <w:r w:rsidR="00100327">
      <w:rPr>
        <w:noProof/>
      </w:rPr>
      <w:t>8</w:t>
    </w:r>
    <w:r>
      <w:rPr>
        <w:noProof/>
      </w:rPr>
      <w:fldChar w:fldCharType="end"/>
    </w:r>
  </w:p>
  <w:p w14:paraId="1A32FCCB" w14:textId="77777777" w:rsidR="00F8475C" w:rsidRPr="00BB5EAA" w:rsidRDefault="00F8475C" w:rsidP="00A87E15">
    <w:pPr>
      <w:pStyle w:val="Footer"/>
      <w:ind w:right="360"/>
      <w:jc w:val="center"/>
    </w:pPr>
  </w:p>
  <w:p w14:paraId="0056140C" w14:textId="77777777" w:rsidR="00F8475C" w:rsidRDefault="00F8475C">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02A8F6" w14:textId="723C5BFE" w:rsidR="00F8475C" w:rsidRDefault="00100327" w:rsidP="00100327">
    <w:pPr>
      <w:pStyle w:val="Footer"/>
      <w:rPr>
        <w:sz w:val="17"/>
      </w:rPr>
    </w:pPr>
    <w:bookmarkStart w:id="15" w:name="TITUS3FooterEvenPages"/>
    <w:r>
      <w:rPr>
        <w:sz w:val="17"/>
      </w:rPr>
      <w:t> </w:t>
    </w:r>
  </w:p>
  <w:bookmarkEnd w:id="15"/>
  <w:p w14:paraId="4F42CB6A" w14:textId="77777777" w:rsidR="00F8475C" w:rsidRDefault="00F8475C" w:rsidP="00A87E15">
    <w:pPr>
      <w:pStyle w:val="Footer"/>
      <w:jc w:val="right"/>
    </w:pPr>
  </w:p>
  <w:p w14:paraId="7218A7FA" w14:textId="27966D00" w:rsidR="00F8475C" w:rsidRDefault="00F8475C" w:rsidP="00A87E15">
    <w:pPr>
      <w:pStyle w:val="Footer"/>
      <w:jc w:val="right"/>
    </w:pPr>
    <w:r>
      <w:fldChar w:fldCharType="begin"/>
    </w:r>
    <w:r>
      <w:instrText xml:space="preserve"> PAGE   \* MERGEFORMAT </w:instrText>
    </w:r>
    <w:r>
      <w:fldChar w:fldCharType="separate"/>
    </w:r>
    <w:r w:rsidR="00100327">
      <w:rPr>
        <w:noProof/>
      </w:rPr>
      <w:t>22</w:t>
    </w:r>
    <w:r>
      <w:rPr>
        <w:noProof/>
      </w:rPr>
      <w:fldChar w:fldCharType="end"/>
    </w:r>
  </w:p>
  <w:p w14:paraId="36F10E05" w14:textId="77777777" w:rsidR="00F8475C" w:rsidRPr="00BB5EAA" w:rsidRDefault="00F8475C" w:rsidP="00A87E15">
    <w:pPr>
      <w:pStyle w:val="Footer"/>
      <w:ind w:right="360"/>
      <w:jc w:val="center"/>
    </w:pPr>
  </w:p>
  <w:p w14:paraId="58B39461" w14:textId="77777777" w:rsidR="00F8475C" w:rsidRDefault="00F8475C">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3499DD" w14:textId="76712732" w:rsidR="00F8475C" w:rsidRDefault="00100327" w:rsidP="00100327">
    <w:pPr>
      <w:pStyle w:val="Footer"/>
      <w:rPr>
        <w:sz w:val="17"/>
      </w:rPr>
    </w:pPr>
    <w:bookmarkStart w:id="16" w:name="TITUS3FooterPrimary"/>
    <w:r>
      <w:rPr>
        <w:sz w:val="17"/>
      </w:rPr>
      <w:t> </w:t>
    </w:r>
  </w:p>
  <w:bookmarkEnd w:id="16"/>
  <w:p w14:paraId="66430FF8" w14:textId="77777777" w:rsidR="00F8475C" w:rsidRDefault="00F8475C">
    <w:pPr>
      <w:pStyle w:val="Footer"/>
      <w:jc w:val="right"/>
    </w:pPr>
  </w:p>
  <w:p w14:paraId="50FF9451" w14:textId="0AFBF94A" w:rsidR="00F8475C" w:rsidRDefault="00F8475C">
    <w:pPr>
      <w:pStyle w:val="Footer"/>
      <w:jc w:val="right"/>
    </w:pPr>
    <w:r>
      <w:fldChar w:fldCharType="begin"/>
    </w:r>
    <w:r>
      <w:instrText xml:space="preserve"> PAGE   \* MERGEFORMAT </w:instrText>
    </w:r>
    <w:r>
      <w:fldChar w:fldCharType="separate"/>
    </w:r>
    <w:r w:rsidR="00100327">
      <w:rPr>
        <w:noProof/>
      </w:rPr>
      <w:t>21</w:t>
    </w:r>
    <w:r>
      <w:rPr>
        <w:noProof/>
      </w:rPr>
      <w:fldChar w:fldCharType="end"/>
    </w:r>
  </w:p>
  <w:p w14:paraId="77E9C9E1" w14:textId="77777777" w:rsidR="00F8475C" w:rsidRPr="00BB5EAA" w:rsidRDefault="00F8475C"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DBE3D4" w14:textId="3CC9A611" w:rsidR="00F8475C" w:rsidRDefault="00100327" w:rsidP="00100327">
    <w:pPr>
      <w:pStyle w:val="Footer"/>
      <w:rPr>
        <w:sz w:val="17"/>
      </w:rPr>
    </w:pPr>
    <w:bookmarkStart w:id="18" w:name="TITUS3FooterFirstPage"/>
    <w:r>
      <w:rPr>
        <w:sz w:val="17"/>
      </w:rPr>
      <w:t> </w:t>
    </w:r>
  </w:p>
  <w:bookmarkEnd w:id="18"/>
  <w:p w14:paraId="38137EE5" w14:textId="77777777" w:rsidR="00F8475C" w:rsidRDefault="00F8475C" w:rsidP="00A87E15">
    <w:pPr>
      <w:pStyle w:val="Footer"/>
      <w:jc w:val="right"/>
    </w:pPr>
  </w:p>
  <w:p w14:paraId="4DC01B53" w14:textId="190CFD69" w:rsidR="00F8475C" w:rsidRDefault="00F8475C" w:rsidP="00A87E15">
    <w:pPr>
      <w:pStyle w:val="Footer"/>
      <w:jc w:val="right"/>
    </w:pPr>
    <w:r>
      <w:fldChar w:fldCharType="begin"/>
    </w:r>
    <w:r>
      <w:instrText xml:space="preserve"> PAGE   \* MERGEFORMAT </w:instrText>
    </w:r>
    <w:r>
      <w:fldChar w:fldCharType="separate"/>
    </w:r>
    <w:r w:rsidR="00100327">
      <w:rPr>
        <w:noProof/>
      </w:rPr>
      <w:t>20</w:t>
    </w:r>
    <w:r>
      <w:rPr>
        <w:noProof/>
      </w:rPr>
      <w:fldChar w:fldCharType="end"/>
    </w:r>
  </w:p>
  <w:p w14:paraId="5DE51ACA" w14:textId="77777777" w:rsidR="00F8475C" w:rsidRPr="00BB5EAA" w:rsidRDefault="00F8475C" w:rsidP="00A87E15">
    <w:pPr>
      <w:pStyle w:val="Footer"/>
      <w:ind w:right="360"/>
      <w:jc w:val="center"/>
    </w:pPr>
  </w:p>
  <w:p w14:paraId="6FD5B40C" w14:textId="77777777" w:rsidR="00F8475C" w:rsidRDefault="00F8475C">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B9B93F" w14:textId="7424BE25" w:rsidR="00F8475C" w:rsidRDefault="00100327" w:rsidP="00100327">
    <w:pPr>
      <w:pStyle w:val="Footer"/>
      <w:rPr>
        <w:sz w:val="17"/>
      </w:rPr>
    </w:pPr>
    <w:bookmarkStart w:id="21" w:name="TITUS4FooterEvenPages"/>
    <w:r>
      <w:rPr>
        <w:sz w:val="17"/>
      </w:rPr>
      <w:t> </w:t>
    </w:r>
  </w:p>
  <w:bookmarkEnd w:id="21"/>
  <w:p w14:paraId="4AA5D754" w14:textId="77777777" w:rsidR="00F8475C" w:rsidRDefault="00F8475C" w:rsidP="00A87E15">
    <w:pPr>
      <w:pStyle w:val="Footer"/>
      <w:jc w:val="right"/>
    </w:pPr>
  </w:p>
  <w:p w14:paraId="6C047190" w14:textId="77777777" w:rsidR="00F8475C" w:rsidRDefault="00F8475C" w:rsidP="00A87E15">
    <w:pPr>
      <w:pStyle w:val="Footer"/>
      <w:jc w:val="right"/>
    </w:pPr>
    <w:r>
      <w:fldChar w:fldCharType="begin"/>
    </w:r>
    <w:r>
      <w:instrText xml:space="preserve"> PAGE   \* MERGEFORMAT </w:instrText>
    </w:r>
    <w:r>
      <w:fldChar w:fldCharType="separate"/>
    </w:r>
    <w:r>
      <w:rPr>
        <w:noProof/>
      </w:rPr>
      <w:t>8</w:t>
    </w:r>
    <w:r>
      <w:rPr>
        <w:noProof/>
      </w:rPr>
      <w:fldChar w:fldCharType="end"/>
    </w:r>
  </w:p>
  <w:p w14:paraId="01858CB0" w14:textId="77777777" w:rsidR="00F8475C" w:rsidRPr="00BB5EAA" w:rsidRDefault="00F8475C" w:rsidP="00A87E15">
    <w:pPr>
      <w:pStyle w:val="Footer"/>
      <w:ind w:right="360"/>
      <w:jc w:val="center"/>
    </w:pPr>
  </w:p>
  <w:p w14:paraId="7B72FAA6" w14:textId="77777777" w:rsidR="00F8475C" w:rsidRDefault="00F8475C">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8E4D34" w14:textId="5D8496F0" w:rsidR="00F8475C" w:rsidRDefault="00100327" w:rsidP="00100327">
    <w:pPr>
      <w:pStyle w:val="Footer"/>
      <w:rPr>
        <w:sz w:val="17"/>
      </w:rPr>
    </w:pPr>
    <w:bookmarkStart w:id="22" w:name="TITUS4FooterPrimary"/>
    <w:r>
      <w:rPr>
        <w:sz w:val="17"/>
      </w:rPr>
      <w:t> </w:t>
    </w:r>
  </w:p>
  <w:bookmarkEnd w:id="22"/>
  <w:p w14:paraId="6DB1D7C9" w14:textId="77777777" w:rsidR="00F8475C" w:rsidRDefault="00F8475C">
    <w:pPr>
      <w:pStyle w:val="Footer"/>
      <w:jc w:val="right"/>
    </w:pPr>
  </w:p>
  <w:p w14:paraId="6C348FB7" w14:textId="74B6687F" w:rsidR="00F8475C" w:rsidRDefault="00F8475C">
    <w:pPr>
      <w:pStyle w:val="Footer"/>
      <w:jc w:val="right"/>
    </w:pPr>
    <w:r>
      <w:fldChar w:fldCharType="begin"/>
    </w:r>
    <w:r>
      <w:instrText xml:space="preserve"> PAGE   \* MERGEFORMAT </w:instrText>
    </w:r>
    <w:r>
      <w:fldChar w:fldCharType="separate"/>
    </w:r>
    <w:r>
      <w:rPr>
        <w:noProof/>
      </w:rPr>
      <w:t>21</w:t>
    </w:r>
    <w:r>
      <w:rPr>
        <w:noProof/>
      </w:rPr>
      <w:fldChar w:fldCharType="end"/>
    </w:r>
  </w:p>
  <w:p w14:paraId="377A58CA" w14:textId="77777777" w:rsidR="00F8475C" w:rsidRPr="00BB5EAA" w:rsidRDefault="00F8475C" w:rsidP="004C2D3A">
    <w:pPr>
      <w:pStyle w:val="Footer"/>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F6BD79" w14:textId="5C3CDCAD" w:rsidR="00F8475C" w:rsidRDefault="00100327" w:rsidP="00100327">
    <w:pPr>
      <w:pStyle w:val="Footer"/>
      <w:rPr>
        <w:sz w:val="17"/>
      </w:rPr>
    </w:pPr>
    <w:bookmarkStart w:id="24" w:name="TITUS4FooterFirstPage"/>
    <w:r>
      <w:rPr>
        <w:sz w:val="17"/>
      </w:rPr>
      <w:t> </w:t>
    </w:r>
  </w:p>
  <w:bookmarkEnd w:id="24"/>
  <w:p w14:paraId="32332DD7" w14:textId="77777777" w:rsidR="00F8475C" w:rsidRDefault="00F8475C" w:rsidP="00A87E15">
    <w:pPr>
      <w:pStyle w:val="Footer"/>
      <w:jc w:val="right"/>
    </w:pPr>
  </w:p>
  <w:p w14:paraId="63CF9A4E" w14:textId="4E4758F8" w:rsidR="00F8475C" w:rsidRDefault="00F8475C" w:rsidP="00A87E15">
    <w:pPr>
      <w:pStyle w:val="Footer"/>
      <w:jc w:val="right"/>
    </w:pPr>
    <w:r>
      <w:fldChar w:fldCharType="begin"/>
    </w:r>
    <w:r>
      <w:instrText xml:space="preserve"> PAGE   \* MERGEFORMAT </w:instrText>
    </w:r>
    <w:r>
      <w:fldChar w:fldCharType="separate"/>
    </w:r>
    <w:r w:rsidR="00100327">
      <w:rPr>
        <w:noProof/>
      </w:rPr>
      <w:t>27</w:t>
    </w:r>
    <w:r>
      <w:rPr>
        <w:noProof/>
      </w:rPr>
      <w:fldChar w:fldCharType="end"/>
    </w:r>
  </w:p>
  <w:p w14:paraId="2E5F89E3" w14:textId="77777777" w:rsidR="00F8475C" w:rsidRPr="00BB5EAA" w:rsidRDefault="00F8475C" w:rsidP="00A87E15">
    <w:pPr>
      <w:pStyle w:val="Footer"/>
      <w:ind w:right="360"/>
      <w:jc w:val="center"/>
    </w:pPr>
  </w:p>
  <w:p w14:paraId="710A668F" w14:textId="77777777" w:rsidR="00F8475C" w:rsidRDefault="00F847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58CB41" w14:textId="77777777" w:rsidR="00F8475C" w:rsidRDefault="00F8475C">
      <w:r>
        <w:separator/>
      </w:r>
    </w:p>
  </w:footnote>
  <w:footnote w:type="continuationSeparator" w:id="0">
    <w:p w14:paraId="09396778" w14:textId="77777777" w:rsidR="00F8475C" w:rsidRDefault="00F847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60C458" w14:textId="6485CB4C" w:rsidR="00F8475C" w:rsidRDefault="00100327" w:rsidP="00100327">
    <w:pPr>
      <w:pStyle w:val="Header"/>
      <w:rPr>
        <w:sz w:val="17"/>
      </w:rPr>
    </w:pPr>
    <w:bookmarkStart w:id="0" w:name="TITUS1HeaderEvenPages"/>
    <w:r>
      <w:rPr>
        <w:sz w:val="17"/>
      </w:rPr>
      <w:t> </w:t>
    </w:r>
  </w:p>
  <w:bookmarkEnd w:id="0"/>
  <w:p w14:paraId="7D8D407F" w14:textId="77777777" w:rsidR="00F8475C" w:rsidRDefault="00F8475C" w:rsidP="00A00258">
    <w:pPr>
      <w:pStyle w:val="Header"/>
    </w:pPr>
  </w:p>
  <w:p w14:paraId="338BF939" w14:textId="77777777" w:rsidR="00F8475C" w:rsidRDefault="00F8475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7DF0FD" w14:textId="75EE717A" w:rsidR="00F8475C" w:rsidRDefault="00100327" w:rsidP="00100327">
    <w:pPr>
      <w:pStyle w:val="Header"/>
      <w:rPr>
        <w:sz w:val="17"/>
      </w:rPr>
    </w:pPr>
    <w:bookmarkStart w:id="1" w:name="TITUS1HeaderPrimary"/>
    <w:r>
      <w:rPr>
        <w:sz w:val="17"/>
      </w:rPr>
      <w:t> </w:t>
    </w:r>
  </w:p>
  <w:bookmarkEnd w:id="1"/>
  <w:p w14:paraId="19DC3471" w14:textId="77777777" w:rsidR="00F8475C" w:rsidRDefault="00F8475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72F15F" w14:textId="0A8EFE99" w:rsidR="00F8475C" w:rsidRDefault="00100327" w:rsidP="00100327">
    <w:pPr>
      <w:pStyle w:val="Header"/>
      <w:rPr>
        <w:sz w:val="17"/>
      </w:rPr>
    </w:pPr>
    <w:bookmarkStart w:id="4" w:name="TITUS1HeaderFirstPage"/>
    <w:r>
      <w:rPr>
        <w:sz w:val="17"/>
      </w:rPr>
      <w:t> </w:t>
    </w:r>
  </w:p>
  <w:bookmarkEnd w:id="4"/>
  <w:p w14:paraId="3518E5EE" w14:textId="77777777" w:rsidR="00F8475C" w:rsidRDefault="00F8475C">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44A959" w14:textId="293BD24B" w:rsidR="00F8475C" w:rsidRDefault="00100327" w:rsidP="00100327">
    <w:pPr>
      <w:pStyle w:val="Header"/>
      <w:rPr>
        <w:sz w:val="17"/>
      </w:rPr>
    </w:pPr>
    <w:bookmarkStart w:id="6" w:name="TITUS2HeaderEvenPages"/>
    <w:r>
      <w:rPr>
        <w:sz w:val="17"/>
      </w:rPr>
      <w:t> </w:t>
    </w:r>
  </w:p>
  <w:bookmarkEnd w:id="6"/>
  <w:p w14:paraId="2906B3FD" w14:textId="77777777" w:rsidR="00F8475C" w:rsidRDefault="00F8475C" w:rsidP="00A87E15">
    <w:pPr>
      <w:pStyle w:val="Header"/>
    </w:pPr>
  </w:p>
  <w:p w14:paraId="4F97127B" w14:textId="77777777" w:rsidR="00F8475C" w:rsidRDefault="00F8475C">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C62F9E" w14:textId="3AB76959" w:rsidR="00F8475C" w:rsidRDefault="00100327" w:rsidP="00100327">
    <w:pPr>
      <w:pStyle w:val="Header"/>
      <w:rPr>
        <w:sz w:val="17"/>
      </w:rPr>
    </w:pPr>
    <w:bookmarkStart w:id="7" w:name="TITUS2HeaderPrimary"/>
    <w:r>
      <w:rPr>
        <w:sz w:val="17"/>
      </w:rPr>
      <w:t> </w:t>
    </w:r>
  </w:p>
  <w:bookmarkEnd w:id="7"/>
  <w:p w14:paraId="1BED6881" w14:textId="77777777" w:rsidR="00F8475C" w:rsidRDefault="00F8475C">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F40E2D" w14:textId="57D57785" w:rsidR="00F8475C" w:rsidRDefault="00100327" w:rsidP="00100327">
    <w:pPr>
      <w:pStyle w:val="Header"/>
      <w:rPr>
        <w:sz w:val="17"/>
      </w:rPr>
    </w:pPr>
    <w:bookmarkStart w:id="10" w:name="TITUS2HeaderFirstPage"/>
    <w:r>
      <w:rPr>
        <w:sz w:val="17"/>
      </w:rPr>
      <w:t> </w:t>
    </w:r>
  </w:p>
  <w:bookmarkEnd w:id="10"/>
  <w:p w14:paraId="38105ACA" w14:textId="77777777" w:rsidR="00F8475C" w:rsidRDefault="00F8475C" w:rsidP="00A87E15">
    <w:pPr>
      <w:pStyle w:val="Header"/>
    </w:pPr>
  </w:p>
  <w:p w14:paraId="56A185A8" w14:textId="77777777" w:rsidR="00F8475C" w:rsidRDefault="00F8475C">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F55105" w14:textId="6FB0C738" w:rsidR="00F8475C" w:rsidRDefault="00100327" w:rsidP="00100327">
    <w:pPr>
      <w:pStyle w:val="Header"/>
      <w:rPr>
        <w:sz w:val="17"/>
      </w:rPr>
    </w:pPr>
    <w:bookmarkStart w:id="13" w:name="TITUS3HeaderEvenPages"/>
    <w:r>
      <w:rPr>
        <w:sz w:val="17"/>
      </w:rPr>
      <w:t> </w:t>
    </w:r>
  </w:p>
  <w:bookmarkEnd w:id="13"/>
  <w:p w14:paraId="2DD1EF95" w14:textId="77777777" w:rsidR="00F8475C" w:rsidRDefault="00F8475C" w:rsidP="00A87E15">
    <w:pPr>
      <w:pStyle w:val="Header"/>
    </w:pPr>
  </w:p>
  <w:p w14:paraId="5931F50C" w14:textId="77777777" w:rsidR="00F8475C" w:rsidRDefault="00F8475C">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08E5FB" w14:textId="55B264E1" w:rsidR="00F8475C" w:rsidRDefault="00100327" w:rsidP="00100327">
    <w:pPr>
      <w:pStyle w:val="Header"/>
      <w:rPr>
        <w:sz w:val="17"/>
      </w:rPr>
    </w:pPr>
    <w:bookmarkStart w:id="14" w:name="TITUS3HeaderPrimary"/>
    <w:r>
      <w:rPr>
        <w:sz w:val="17"/>
      </w:rPr>
      <w:t> </w:t>
    </w:r>
  </w:p>
  <w:bookmarkEnd w:id="14"/>
  <w:p w14:paraId="782AC7B4" w14:textId="77777777" w:rsidR="00F8475C" w:rsidRDefault="00F8475C">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88EE49" w14:textId="7F6D3557" w:rsidR="00F8475C" w:rsidRDefault="00100327" w:rsidP="00100327">
    <w:pPr>
      <w:pStyle w:val="Header"/>
      <w:rPr>
        <w:sz w:val="17"/>
      </w:rPr>
    </w:pPr>
    <w:bookmarkStart w:id="17" w:name="TITUS3HeaderFirstPage"/>
    <w:r>
      <w:rPr>
        <w:sz w:val="17"/>
      </w:rPr>
      <w:t> </w:t>
    </w:r>
  </w:p>
  <w:bookmarkEnd w:id="17"/>
  <w:p w14:paraId="7303F468" w14:textId="77777777" w:rsidR="00F8475C" w:rsidRDefault="00F8475C" w:rsidP="00A87E15">
    <w:pPr>
      <w:pStyle w:val="Header"/>
    </w:pPr>
  </w:p>
  <w:p w14:paraId="0F551FB1" w14:textId="77777777" w:rsidR="00F8475C" w:rsidRDefault="00F8475C">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3FCF7B" w14:textId="556118E9" w:rsidR="00F8475C" w:rsidRDefault="00100327" w:rsidP="00100327">
    <w:pPr>
      <w:pStyle w:val="Header"/>
      <w:rPr>
        <w:sz w:val="17"/>
      </w:rPr>
    </w:pPr>
    <w:bookmarkStart w:id="19" w:name="TITUS4HeaderEvenPages"/>
    <w:r>
      <w:rPr>
        <w:sz w:val="17"/>
      </w:rPr>
      <w:t> </w:t>
    </w:r>
  </w:p>
  <w:bookmarkEnd w:id="19"/>
  <w:p w14:paraId="6D2BE03D" w14:textId="77777777" w:rsidR="00F8475C" w:rsidRDefault="00F8475C" w:rsidP="00A87E15">
    <w:pPr>
      <w:pStyle w:val="Header"/>
    </w:pPr>
  </w:p>
  <w:p w14:paraId="1B0761C0" w14:textId="77777777" w:rsidR="00F8475C" w:rsidRDefault="00F8475C">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A2CA8A" w14:textId="1EB9E116" w:rsidR="00F8475C" w:rsidRDefault="00100327" w:rsidP="00100327">
    <w:pPr>
      <w:pStyle w:val="Header"/>
      <w:rPr>
        <w:sz w:val="17"/>
      </w:rPr>
    </w:pPr>
    <w:bookmarkStart w:id="20" w:name="TITUS4HeaderPrimary"/>
    <w:r>
      <w:rPr>
        <w:sz w:val="17"/>
      </w:rPr>
      <w:t> </w:t>
    </w:r>
  </w:p>
  <w:bookmarkEnd w:id="20"/>
  <w:p w14:paraId="118EAFBE" w14:textId="77777777" w:rsidR="00F8475C" w:rsidRDefault="00F8475C">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F0FF20" w14:textId="5E7E4BE7" w:rsidR="00F8475C" w:rsidRDefault="00100327" w:rsidP="00100327">
    <w:pPr>
      <w:pStyle w:val="Header"/>
      <w:rPr>
        <w:sz w:val="17"/>
      </w:rPr>
    </w:pPr>
    <w:bookmarkStart w:id="23" w:name="TITUS4HeaderFirstPage"/>
    <w:r>
      <w:rPr>
        <w:sz w:val="17"/>
      </w:rPr>
      <w:t> </w:t>
    </w:r>
  </w:p>
  <w:bookmarkEnd w:id="23"/>
  <w:p w14:paraId="72574EBF" w14:textId="77777777" w:rsidR="00F8475C" w:rsidRDefault="00F8475C" w:rsidP="00A87E15">
    <w:pPr>
      <w:pStyle w:val="Header"/>
    </w:pPr>
  </w:p>
  <w:p w14:paraId="41D927F8" w14:textId="77777777" w:rsidR="00F8475C" w:rsidRDefault="00F8475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8"/>
  </w:num>
  <w:num w:numId="2">
    <w:abstractNumId w:val="31"/>
  </w:num>
  <w:num w:numId="3">
    <w:abstractNumId w:val="23"/>
  </w:num>
  <w:num w:numId="4">
    <w:abstractNumId w:val="1"/>
    <w:lvlOverride w:ilvl="0">
      <w:lvl w:ilvl="0">
        <w:start w:val="1"/>
        <w:numFmt w:val="bullet"/>
        <w:lvlText w:val=""/>
        <w:lvlJc w:val="left"/>
        <w:pPr>
          <w:ind w:left="720" w:hanging="360"/>
        </w:pPr>
        <w:rPr>
          <w:rFonts w:ascii="Symbol" w:hAnsi="Symbol" w:hint="default"/>
        </w:rPr>
      </w:lvl>
    </w:lvlOverride>
  </w:num>
  <w:num w:numId="5">
    <w:abstractNumId w:val="21"/>
  </w:num>
  <w:num w:numId="6">
    <w:abstractNumId w:val="45"/>
  </w:num>
  <w:num w:numId="7">
    <w:abstractNumId w:val="47"/>
  </w:num>
  <w:num w:numId="8">
    <w:abstractNumId w:val="34"/>
  </w:num>
  <w:num w:numId="9">
    <w:abstractNumId w:val="32"/>
  </w:num>
  <w:num w:numId="10">
    <w:abstractNumId w:val="28"/>
  </w:num>
  <w:num w:numId="11">
    <w:abstractNumId w:val="29"/>
  </w:num>
  <w:num w:numId="12">
    <w:abstractNumId w:val="9"/>
  </w:num>
  <w:num w:numId="13">
    <w:abstractNumId w:val="33"/>
  </w:num>
  <w:num w:numId="14">
    <w:abstractNumId w:val="16"/>
  </w:num>
  <w:num w:numId="15">
    <w:abstractNumId w:val="15"/>
  </w:num>
  <w:num w:numId="16">
    <w:abstractNumId w:val="26"/>
  </w:num>
  <w:num w:numId="17">
    <w:abstractNumId w:val="7"/>
  </w:num>
  <w:num w:numId="18">
    <w:abstractNumId w:val="25"/>
  </w:num>
  <w:num w:numId="19">
    <w:abstractNumId w:val="14"/>
  </w:num>
  <w:num w:numId="20">
    <w:abstractNumId w:val="12"/>
  </w:num>
  <w:num w:numId="2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num>
  <w:num w:numId="23">
    <w:abstractNumId w:val="17"/>
  </w:num>
  <w:num w:numId="24">
    <w:abstractNumId w:val="13"/>
  </w:num>
  <w:num w:numId="25">
    <w:abstractNumId w:val="10"/>
  </w:num>
  <w:num w:numId="26">
    <w:abstractNumId w:val="27"/>
  </w:num>
  <w:num w:numId="27">
    <w:abstractNumId w:val="18"/>
  </w:num>
  <w:num w:numId="28">
    <w:abstractNumId w:val="41"/>
  </w:num>
  <w:num w:numId="29">
    <w:abstractNumId w:val="35"/>
  </w:num>
  <w:num w:numId="30">
    <w:abstractNumId w:val="40"/>
  </w:num>
  <w:num w:numId="31">
    <w:abstractNumId w:val="19"/>
  </w:num>
  <w:num w:numId="32">
    <w:abstractNumId w:val="43"/>
  </w:num>
  <w:num w:numId="33">
    <w:abstractNumId w:val="30"/>
  </w:num>
  <w:num w:numId="34">
    <w:abstractNumId w:val="11"/>
  </w:num>
  <w:num w:numId="35">
    <w:abstractNumId w:val="44"/>
  </w:num>
  <w:num w:numId="36">
    <w:abstractNumId w:val="39"/>
  </w:num>
  <w:num w:numId="37">
    <w:abstractNumId w:val="4"/>
  </w:num>
  <w:num w:numId="38">
    <w:abstractNumId w:val="46"/>
  </w:num>
  <w:num w:numId="39">
    <w:abstractNumId w:val="42"/>
  </w:num>
  <w:num w:numId="40">
    <w:abstractNumId w:val="36"/>
  </w:num>
  <w:num w:numId="41">
    <w:abstractNumId w:val="37"/>
  </w:num>
  <w:num w:numId="42">
    <w:abstractNumId w:val="3"/>
  </w:num>
  <w:num w:numId="43">
    <w:abstractNumId w:val="5"/>
  </w:num>
  <w:num w:numId="44">
    <w:abstractNumId w:val="24"/>
  </w:num>
  <w:num w:numId="45">
    <w:abstractNumId w:val="6"/>
  </w:num>
  <w:num w:numId="46">
    <w:abstractNumId w:val="2"/>
  </w:num>
  <w:num w:numId="47">
    <w:abstractNumId w:val="0"/>
  </w:num>
  <w:num w:numId="48">
    <w:abstractNumId w:val="20"/>
  </w:num>
  <w:num w:numId="49">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1024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7B1F"/>
    <w:rsid w:val="0003088B"/>
    <w:rsid w:val="000325D9"/>
    <w:rsid w:val="000372B2"/>
    <w:rsid w:val="0004079F"/>
    <w:rsid w:val="00045B87"/>
    <w:rsid w:val="00045C07"/>
    <w:rsid w:val="00054483"/>
    <w:rsid w:val="00055D43"/>
    <w:rsid w:val="00056FAC"/>
    <w:rsid w:val="00057751"/>
    <w:rsid w:val="00062E39"/>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0327"/>
    <w:rsid w:val="00102E64"/>
    <w:rsid w:val="0010312C"/>
    <w:rsid w:val="00106DC7"/>
    <w:rsid w:val="00112391"/>
    <w:rsid w:val="00112751"/>
    <w:rsid w:val="00114F52"/>
    <w:rsid w:val="001347F8"/>
    <w:rsid w:val="00137BB5"/>
    <w:rsid w:val="00137E05"/>
    <w:rsid w:val="001447F6"/>
    <w:rsid w:val="00147DE3"/>
    <w:rsid w:val="00150794"/>
    <w:rsid w:val="001608C4"/>
    <w:rsid w:val="00171418"/>
    <w:rsid w:val="001961CF"/>
    <w:rsid w:val="001A59BB"/>
    <w:rsid w:val="001A6A51"/>
    <w:rsid w:val="001A79C4"/>
    <w:rsid w:val="001B331A"/>
    <w:rsid w:val="001C0C77"/>
    <w:rsid w:val="001C0E74"/>
    <w:rsid w:val="001D229F"/>
    <w:rsid w:val="001F1A01"/>
    <w:rsid w:val="001F4552"/>
    <w:rsid w:val="002019EB"/>
    <w:rsid w:val="002030F2"/>
    <w:rsid w:val="00205051"/>
    <w:rsid w:val="00206319"/>
    <w:rsid w:val="00211F65"/>
    <w:rsid w:val="0021651C"/>
    <w:rsid w:val="00220D06"/>
    <w:rsid w:val="002246A0"/>
    <w:rsid w:val="00224AF9"/>
    <w:rsid w:val="00230439"/>
    <w:rsid w:val="002333C2"/>
    <w:rsid w:val="00235176"/>
    <w:rsid w:val="00236061"/>
    <w:rsid w:val="0024100E"/>
    <w:rsid w:val="00241C1B"/>
    <w:rsid w:val="0024288B"/>
    <w:rsid w:val="0025394E"/>
    <w:rsid w:val="00255D8E"/>
    <w:rsid w:val="002657E9"/>
    <w:rsid w:val="0026665E"/>
    <w:rsid w:val="00270EEB"/>
    <w:rsid w:val="0027147E"/>
    <w:rsid w:val="002761F4"/>
    <w:rsid w:val="002775E1"/>
    <w:rsid w:val="00277979"/>
    <w:rsid w:val="002808EB"/>
    <w:rsid w:val="00291ADD"/>
    <w:rsid w:val="00294868"/>
    <w:rsid w:val="00295CA1"/>
    <w:rsid w:val="002A291A"/>
    <w:rsid w:val="002A5604"/>
    <w:rsid w:val="002B1701"/>
    <w:rsid w:val="002B23C3"/>
    <w:rsid w:val="002B443A"/>
    <w:rsid w:val="002B5B35"/>
    <w:rsid w:val="002C256A"/>
    <w:rsid w:val="002C496D"/>
    <w:rsid w:val="002D05EB"/>
    <w:rsid w:val="002D2F29"/>
    <w:rsid w:val="002E7017"/>
    <w:rsid w:val="002F4F6E"/>
    <w:rsid w:val="003015C3"/>
    <w:rsid w:val="0031350A"/>
    <w:rsid w:val="00316815"/>
    <w:rsid w:val="003168CA"/>
    <w:rsid w:val="00321255"/>
    <w:rsid w:val="0032230D"/>
    <w:rsid w:val="00322A0B"/>
    <w:rsid w:val="00335FC5"/>
    <w:rsid w:val="003516C0"/>
    <w:rsid w:val="00352E59"/>
    <w:rsid w:val="00354DBE"/>
    <w:rsid w:val="00355210"/>
    <w:rsid w:val="00365DF9"/>
    <w:rsid w:val="00372DB4"/>
    <w:rsid w:val="00375AF5"/>
    <w:rsid w:val="003761BD"/>
    <w:rsid w:val="00385414"/>
    <w:rsid w:val="00390074"/>
    <w:rsid w:val="0039762B"/>
    <w:rsid w:val="003A0C37"/>
    <w:rsid w:val="003A1B6B"/>
    <w:rsid w:val="003A46C0"/>
    <w:rsid w:val="003A600E"/>
    <w:rsid w:val="003A6513"/>
    <w:rsid w:val="003B16C7"/>
    <w:rsid w:val="003B2A14"/>
    <w:rsid w:val="003C19F1"/>
    <w:rsid w:val="003C4186"/>
    <w:rsid w:val="003C458C"/>
    <w:rsid w:val="003C4D7B"/>
    <w:rsid w:val="003C6185"/>
    <w:rsid w:val="003D0D2D"/>
    <w:rsid w:val="003D4710"/>
    <w:rsid w:val="003E16D7"/>
    <w:rsid w:val="003E197E"/>
    <w:rsid w:val="003F1A37"/>
    <w:rsid w:val="004046F0"/>
    <w:rsid w:val="0040668F"/>
    <w:rsid w:val="00412677"/>
    <w:rsid w:val="00413251"/>
    <w:rsid w:val="004348AE"/>
    <w:rsid w:val="004376C0"/>
    <w:rsid w:val="0044223A"/>
    <w:rsid w:val="00450C83"/>
    <w:rsid w:val="00451851"/>
    <w:rsid w:val="00453343"/>
    <w:rsid w:val="004608B9"/>
    <w:rsid w:val="004632AC"/>
    <w:rsid w:val="00465947"/>
    <w:rsid w:val="00470BB1"/>
    <w:rsid w:val="004718F7"/>
    <w:rsid w:val="00473153"/>
    <w:rsid w:val="004743AF"/>
    <w:rsid w:val="00482C17"/>
    <w:rsid w:val="004911B4"/>
    <w:rsid w:val="0049196A"/>
    <w:rsid w:val="004923DA"/>
    <w:rsid w:val="00493434"/>
    <w:rsid w:val="004962F9"/>
    <w:rsid w:val="004968E2"/>
    <w:rsid w:val="004A2A49"/>
    <w:rsid w:val="004B4C15"/>
    <w:rsid w:val="004B600B"/>
    <w:rsid w:val="004B6822"/>
    <w:rsid w:val="004B69F6"/>
    <w:rsid w:val="004C2D3A"/>
    <w:rsid w:val="004D03C4"/>
    <w:rsid w:val="004D0BF1"/>
    <w:rsid w:val="004D24D2"/>
    <w:rsid w:val="004D35A4"/>
    <w:rsid w:val="004D445F"/>
    <w:rsid w:val="004E087B"/>
    <w:rsid w:val="004E1203"/>
    <w:rsid w:val="004E44A4"/>
    <w:rsid w:val="004E7B8B"/>
    <w:rsid w:val="004E7BDD"/>
    <w:rsid w:val="004F1E21"/>
    <w:rsid w:val="004F740D"/>
    <w:rsid w:val="004F7B8F"/>
    <w:rsid w:val="00500748"/>
    <w:rsid w:val="005011D6"/>
    <w:rsid w:val="0050167A"/>
    <w:rsid w:val="005042F1"/>
    <w:rsid w:val="00504B92"/>
    <w:rsid w:val="00513C7D"/>
    <w:rsid w:val="00521123"/>
    <w:rsid w:val="00521221"/>
    <w:rsid w:val="00521DE0"/>
    <w:rsid w:val="0052653C"/>
    <w:rsid w:val="00536FA9"/>
    <w:rsid w:val="005414F4"/>
    <w:rsid w:val="00546187"/>
    <w:rsid w:val="005463F1"/>
    <w:rsid w:val="00557D77"/>
    <w:rsid w:val="00562EAA"/>
    <w:rsid w:val="00563B58"/>
    <w:rsid w:val="005640C4"/>
    <w:rsid w:val="0056684C"/>
    <w:rsid w:val="00574A0C"/>
    <w:rsid w:val="00575A8F"/>
    <w:rsid w:val="00576E4C"/>
    <w:rsid w:val="0057780F"/>
    <w:rsid w:val="00581E0A"/>
    <w:rsid w:val="00586D89"/>
    <w:rsid w:val="005916B8"/>
    <w:rsid w:val="005A1B4C"/>
    <w:rsid w:val="005A545C"/>
    <w:rsid w:val="005C1567"/>
    <w:rsid w:val="005C6CE5"/>
    <w:rsid w:val="005C6E3A"/>
    <w:rsid w:val="005D3F07"/>
    <w:rsid w:val="005D6686"/>
    <w:rsid w:val="005E13EA"/>
    <w:rsid w:val="00606E27"/>
    <w:rsid w:val="006108C9"/>
    <w:rsid w:val="00616D7F"/>
    <w:rsid w:val="0062158D"/>
    <w:rsid w:val="00630F39"/>
    <w:rsid w:val="006326D1"/>
    <w:rsid w:val="00632E0A"/>
    <w:rsid w:val="00633165"/>
    <w:rsid w:val="00634453"/>
    <w:rsid w:val="0064176F"/>
    <w:rsid w:val="006447DE"/>
    <w:rsid w:val="0065276E"/>
    <w:rsid w:val="00654329"/>
    <w:rsid w:val="00654CEC"/>
    <w:rsid w:val="00655507"/>
    <w:rsid w:val="006712A7"/>
    <w:rsid w:val="00674FC2"/>
    <w:rsid w:val="00677E42"/>
    <w:rsid w:val="00682334"/>
    <w:rsid w:val="00684B16"/>
    <w:rsid w:val="006936EB"/>
    <w:rsid w:val="00696F65"/>
    <w:rsid w:val="006A7A6D"/>
    <w:rsid w:val="006B5E67"/>
    <w:rsid w:val="006B718C"/>
    <w:rsid w:val="006C2EB5"/>
    <w:rsid w:val="006C7CA5"/>
    <w:rsid w:val="006D18A3"/>
    <w:rsid w:val="006D4550"/>
    <w:rsid w:val="006D5970"/>
    <w:rsid w:val="006E481E"/>
    <w:rsid w:val="006E795F"/>
    <w:rsid w:val="00700249"/>
    <w:rsid w:val="0070604C"/>
    <w:rsid w:val="007069CD"/>
    <w:rsid w:val="00711A70"/>
    <w:rsid w:val="00712E6F"/>
    <w:rsid w:val="00712E90"/>
    <w:rsid w:val="00713B7E"/>
    <w:rsid w:val="007204AE"/>
    <w:rsid w:val="0072678F"/>
    <w:rsid w:val="00727C4C"/>
    <w:rsid w:val="00732FB9"/>
    <w:rsid w:val="00734809"/>
    <w:rsid w:val="00734E90"/>
    <w:rsid w:val="007406E1"/>
    <w:rsid w:val="00743E40"/>
    <w:rsid w:val="00745FDB"/>
    <w:rsid w:val="00751263"/>
    <w:rsid w:val="0075704F"/>
    <w:rsid w:val="00763B2D"/>
    <w:rsid w:val="00770902"/>
    <w:rsid w:val="00772924"/>
    <w:rsid w:val="00772C15"/>
    <w:rsid w:val="007872F2"/>
    <w:rsid w:val="007908E0"/>
    <w:rsid w:val="00792181"/>
    <w:rsid w:val="00793EB3"/>
    <w:rsid w:val="00794205"/>
    <w:rsid w:val="007A1F6A"/>
    <w:rsid w:val="007B0DE3"/>
    <w:rsid w:val="007B491F"/>
    <w:rsid w:val="007B7191"/>
    <w:rsid w:val="007C1634"/>
    <w:rsid w:val="007C1D94"/>
    <w:rsid w:val="007C2879"/>
    <w:rsid w:val="007C6A87"/>
    <w:rsid w:val="007C705D"/>
    <w:rsid w:val="007D0A07"/>
    <w:rsid w:val="007D133D"/>
    <w:rsid w:val="007D3EB4"/>
    <w:rsid w:val="007D3F16"/>
    <w:rsid w:val="007F371B"/>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4D98"/>
    <w:rsid w:val="00846D84"/>
    <w:rsid w:val="00850FB1"/>
    <w:rsid w:val="0085230E"/>
    <w:rsid w:val="008550A1"/>
    <w:rsid w:val="00861038"/>
    <w:rsid w:val="00864BA8"/>
    <w:rsid w:val="00866B50"/>
    <w:rsid w:val="008708F1"/>
    <w:rsid w:val="00880539"/>
    <w:rsid w:val="008859E8"/>
    <w:rsid w:val="0088737B"/>
    <w:rsid w:val="00892716"/>
    <w:rsid w:val="00893067"/>
    <w:rsid w:val="008933DE"/>
    <w:rsid w:val="00895FCE"/>
    <w:rsid w:val="00897F3E"/>
    <w:rsid w:val="008A21B4"/>
    <w:rsid w:val="008A4576"/>
    <w:rsid w:val="008B07DE"/>
    <w:rsid w:val="008B28E7"/>
    <w:rsid w:val="008C14C7"/>
    <w:rsid w:val="008C2FFB"/>
    <w:rsid w:val="008C6EEA"/>
    <w:rsid w:val="008D5813"/>
    <w:rsid w:val="008D634E"/>
    <w:rsid w:val="008D778A"/>
    <w:rsid w:val="008F22BD"/>
    <w:rsid w:val="009079BD"/>
    <w:rsid w:val="00910B43"/>
    <w:rsid w:val="00912BD9"/>
    <w:rsid w:val="00920E5B"/>
    <w:rsid w:val="00926436"/>
    <w:rsid w:val="0093018C"/>
    <w:rsid w:val="00932AFF"/>
    <w:rsid w:val="009544C0"/>
    <w:rsid w:val="00954FA4"/>
    <w:rsid w:val="00956AE9"/>
    <w:rsid w:val="00964CC6"/>
    <w:rsid w:val="00991FDA"/>
    <w:rsid w:val="009927A1"/>
    <w:rsid w:val="009A5F3B"/>
    <w:rsid w:val="009B0B61"/>
    <w:rsid w:val="009B28C0"/>
    <w:rsid w:val="009B7136"/>
    <w:rsid w:val="009B7806"/>
    <w:rsid w:val="009C3AC2"/>
    <w:rsid w:val="009D25B4"/>
    <w:rsid w:val="009D4365"/>
    <w:rsid w:val="009D4E3B"/>
    <w:rsid w:val="009D7BC9"/>
    <w:rsid w:val="009E1982"/>
    <w:rsid w:val="009E4D2C"/>
    <w:rsid w:val="009F0978"/>
    <w:rsid w:val="009F3AEC"/>
    <w:rsid w:val="00A00081"/>
    <w:rsid w:val="00A00258"/>
    <w:rsid w:val="00A10D56"/>
    <w:rsid w:val="00A11EB7"/>
    <w:rsid w:val="00A12AAE"/>
    <w:rsid w:val="00A15BF1"/>
    <w:rsid w:val="00A16DD1"/>
    <w:rsid w:val="00A22441"/>
    <w:rsid w:val="00A23F3B"/>
    <w:rsid w:val="00A24406"/>
    <w:rsid w:val="00A25F64"/>
    <w:rsid w:val="00A27CC2"/>
    <w:rsid w:val="00A40ED6"/>
    <w:rsid w:val="00A470EE"/>
    <w:rsid w:val="00A47621"/>
    <w:rsid w:val="00A479CD"/>
    <w:rsid w:val="00A50CFC"/>
    <w:rsid w:val="00A54D67"/>
    <w:rsid w:val="00A55A3F"/>
    <w:rsid w:val="00A56410"/>
    <w:rsid w:val="00A652F6"/>
    <w:rsid w:val="00A732EA"/>
    <w:rsid w:val="00A7489E"/>
    <w:rsid w:val="00A8015F"/>
    <w:rsid w:val="00A80BD2"/>
    <w:rsid w:val="00A85039"/>
    <w:rsid w:val="00A87E15"/>
    <w:rsid w:val="00A906AA"/>
    <w:rsid w:val="00A94C5E"/>
    <w:rsid w:val="00AA241A"/>
    <w:rsid w:val="00AA252C"/>
    <w:rsid w:val="00AA37BB"/>
    <w:rsid w:val="00AA666E"/>
    <w:rsid w:val="00AB5518"/>
    <w:rsid w:val="00AC01D4"/>
    <w:rsid w:val="00AC4637"/>
    <w:rsid w:val="00AC4A04"/>
    <w:rsid w:val="00AD336F"/>
    <w:rsid w:val="00AD3550"/>
    <w:rsid w:val="00AD6ECE"/>
    <w:rsid w:val="00AE2564"/>
    <w:rsid w:val="00AE301F"/>
    <w:rsid w:val="00AE3302"/>
    <w:rsid w:val="00AE7077"/>
    <w:rsid w:val="00AF5609"/>
    <w:rsid w:val="00AF5D6A"/>
    <w:rsid w:val="00AF61C2"/>
    <w:rsid w:val="00AF6CC6"/>
    <w:rsid w:val="00B0296A"/>
    <w:rsid w:val="00B03185"/>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B06CB"/>
    <w:rsid w:val="00BB0EFE"/>
    <w:rsid w:val="00BB261F"/>
    <w:rsid w:val="00BB2887"/>
    <w:rsid w:val="00BB5EAA"/>
    <w:rsid w:val="00BB5F11"/>
    <w:rsid w:val="00BC04FA"/>
    <w:rsid w:val="00BC1C22"/>
    <w:rsid w:val="00BC460B"/>
    <w:rsid w:val="00BC5725"/>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63D00"/>
    <w:rsid w:val="00C6441B"/>
    <w:rsid w:val="00C7108B"/>
    <w:rsid w:val="00C8089F"/>
    <w:rsid w:val="00C836CC"/>
    <w:rsid w:val="00C87A74"/>
    <w:rsid w:val="00C92C71"/>
    <w:rsid w:val="00C93F8F"/>
    <w:rsid w:val="00CA3593"/>
    <w:rsid w:val="00CA3BC5"/>
    <w:rsid w:val="00CB143A"/>
    <w:rsid w:val="00CB258E"/>
    <w:rsid w:val="00CB3C8F"/>
    <w:rsid w:val="00CC02F1"/>
    <w:rsid w:val="00CC11A6"/>
    <w:rsid w:val="00CC135E"/>
    <w:rsid w:val="00CC4414"/>
    <w:rsid w:val="00CD5D3F"/>
    <w:rsid w:val="00CF3DB3"/>
    <w:rsid w:val="00D052BC"/>
    <w:rsid w:val="00D07026"/>
    <w:rsid w:val="00D11888"/>
    <w:rsid w:val="00D22C8F"/>
    <w:rsid w:val="00D33491"/>
    <w:rsid w:val="00D41A93"/>
    <w:rsid w:val="00D44F8E"/>
    <w:rsid w:val="00D607EF"/>
    <w:rsid w:val="00D60F88"/>
    <w:rsid w:val="00D625E7"/>
    <w:rsid w:val="00D646BD"/>
    <w:rsid w:val="00D7018A"/>
    <w:rsid w:val="00D71201"/>
    <w:rsid w:val="00D720C7"/>
    <w:rsid w:val="00D876E6"/>
    <w:rsid w:val="00DA1025"/>
    <w:rsid w:val="00DA22EC"/>
    <w:rsid w:val="00DA5860"/>
    <w:rsid w:val="00DB2767"/>
    <w:rsid w:val="00DC4729"/>
    <w:rsid w:val="00E17160"/>
    <w:rsid w:val="00E35BEC"/>
    <w:rsid w:val="00E50821"/>
    <w:rsid w:val="00E51F91"/>
    <w:rsid w:val="00E6298B"/>
    <w:rsid w:val="00E7086E"/>
    <w:rsid w:val="00E7374A"/>
    <w:rsid w:val="00E73C41"/>
    <w:rsid w:val="00E7598F"/>
    <w:rsid w:val="00E76F60"/>
    <w:rsid w:val="00E83D90"/>
    <w:rsid w:val="00E83F28"/>
    <w:rsid w:val="00E83F91"/>
    <w:rsid w:val="00E9107A"/>
    <w:rsid w:val="00E91F62"/>
    <w:rsid w:val="00E929FD"/>
    <w:rsid w:val="00E93240"/>
    <w:rsid w:val="00E9479B"/>
    <w:rsid w:val="00EA10DA"/>
    <w:rsid w:val="00EA4D48"/>
    <w:rsid w:val="00EB2173"/>
    <w:rsid w:val="00EB62E6"/>
    <w:rsid w:val="00ED1B30"/>
    <w:rsid w:val="00ED250E"/>
    <w:rsid w:val="00ED6516"/>
    <w:rsid w:val="00EE1AC1"/>
    <w:rsid w:val="00EE39D6"/>
    <w:rsid w:val="00EE52AD"/>
    <w:rsid w:val="00F01F92"/>
    <w:rsid w:val="00F10A08"/>
    <w:rsid w:val="00F22AC5"/>
    <w:rsid w:val="00F254D1"/>
    <w:rsid w:val="00F32B82"/>
    <w:rsid w:val="00F4043E"/>
    <w:rsid w:val="00F409EB"/>
    <w:rsid w:val="00F41BBC"/>
    <w:rsid w:val="00F43B9D"/>
    <w:rsid w:val="00F444F0"/>
    <w:rsid w:val="00F50847"/>
    <w:rsid w:val="00F53F27"/>
    <w:rsid w:val="00F546D1"/>
    <w:rsid w:val="00F66272"/>
    <w:rsid w:val="00F709C0"/>
    <w:rsid w:val="00F8475C"/>
    <w:rsid w:val="00F927A1"/>
    <w:rsid w:val="00F92E4D"/>
    <w:rsid w:val="00FA2BC2"/>
    <w:rsid w:val="00FA3764"/>
    <w:rsid w:val="00FA56ED"/>
    <w:rsid w:val="00FB4993"/>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7784"/>
    <w:rsid w:val="00FF7EBB"/>
    <w:rsid w:val="28A9B94D"/>
    <w:rsid w:val="7560A895"/>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customStyle="1" w:styleId="element-citation">
    <w:name w:val="element-citation"/>
    <w:basedOn w:val="DefaultParagraphFont"/>
    <w:rsid w:val="00F409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header" Target="header4.xml"/><Relationship Id="rId26" Type="http://schemas.openxmlformats.org/officeDocument/2006/relationships/hyperlink" Target="https://www.app.college.police.uk/app-content/national-decision-model/the-national-decision-model/" TargetMode="External"/><Relationship Id="rId39" Type="http://schemas.openxmlformats.org/officeDocument/2006/relationships/hyperlink" Target="https://assets.publishing.service.gov.uk/government/uploads/system/uploads/attachment_data/file/447967/code-of-practice-approved.pdf" TargetMode="External"/><Relationship Id="rId21" Type="http://schemas.openxmlformats.org/officeDocument/2006/relationships/footer" Target="footer5.xml"/><Relationship Id="rId34" Type="http://schemas.openxmlformats.org/officeDocument/2006/relationships/hyperlink" Target="https://assets.publishing.service.gov.uk/government/uploads/system/uploads/attachment_data/file/826813/PACE-Code-C_2019.pdf" TargetMode="External"/><Relationship Id="rId42" Type="http://schemas.openxmlformats.org/officeDocument/2006/relationships/hyperlink" Target="https://www.ethnicity-facts-figures.service.gov.uk/crime-justice-and-the-law/policing/confidence-in-the-local-police/latest" TargetMode="External"/><Relationship Id="rId47" Type="http://schemas.openxmlformats.org/officeDocument/2006/relationships/hyperlink" Target="http://www.stress.org.uk/assess-your-diet/" TargetMode="External"/><Relationship Id="rId50" Type="http://schemas.openxmlformats.org/officeDocument/2006/relationships/header" Target="header8.xml"/><Relationship Id="rId55" Type="http://schemas.openxmlformats.org/officeDocument/2006/relationships/image" Target="media/image3.PNG"/><Relationship Id="rId63"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oter" Target="footer4.xml"/><Relationship Id="rId29" Type="http://schemas.openxmlformats.org/officeDocument/2006/relationships/hyperlink" Target="https://www.cps.gov.uk/sites/default/files/documents/publications/CPS-Hate-Crime-Annual-Report-2018-2019.PDF" TargetMode="External"/><Relationship Id="rId41" Type="http://schemas.openxmlformats.org/officeDocument/2006/relationships/hyperlink" Target="https://www.ons.gov.uk/peoplepopulationandcommunity/crimeandjustice/bulletins/%20domesticabuseinenglandandwales/yearendingmarch2017" TargetMode="External"/><Relationship Id="rId54" Type="http://schemas.openxmlformats.org/officeDocument/2006/relationships/footer" Target="footer9.xm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dawsonera-com.ezproxy.uwtsd.ac.uk/abstract/9780749455620" TargetMode="External"/><Relationship Id="rId32" Type="http://schemas.openxmlformats.org/officeDocument/2006/relationships/hyperlink" Target="https://assets.publishing.service.gov.uk/government/uploads/system/uploads/attachment_data/file/748598/hate-crime-1718-hosb2018.pdf" TargetMode="External"/><Relationship Id="rId37" Type="http://schemas.openxmlformats.org/officeDocument/2006/relationships/hyperlink" Target="https://www.mind.org.uk/information-support/types-of-mental-health-problems/stress/developing-resilience/" TargetMode="External"/><Relationship Id="rId40" Type="http://schemas.openxmlformats.org/officeDocument/2006/relationships/hyperlink" Target="https://www.nhs.uk/conditions/stress-anxiety-depression/understanding-stress/" TargetMode="External"/><Relationship Id="rId45" Type="http://schemas.openxmlformats.org/officeDocument/2006/relationships/hyperlink" Target="https://www.emerald.com/insight/publication/issn/1363-951X" TargetMode="External"/><Relationship Id="rId53" Type="http://schemas.openxmlformats.org/officeDocument/2006/relationships/header" Target="header9.xml"/><Relationship Id="rId58" Type="http://schemas.openxmlformats.org/officeDocument/2006/relationships/footer" Target="footer10.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footer" Target="footer6.xml"/><Relationship Id="rId28" Type="http://schemas.openxmlformats.org/officeDocument/2006/relationships/hyperlink" Target="https://www.cps.gov.uk/hate-crime" TargetMode="External"/><Relationship Id="rId36" Type="http://schemas.openxmlformats.org/officeDocument/2006/relationships/hyperlink" Target="https://www.independent.co.uk/voices/met-police-cressida-dick-no-longer-institutionally-racist-racism-black-officer-a9001176.html" TargetMode="External"/><Relationship Id="rId49" Type="http://schemas.openxmlformats.org/officeDocument/2006/relationships/header" Target="header7.xml"/><Relationship Id="rId57" Type="http://schemas.openxmlformats.org/officeDocument/2006/relationships/header" Target="header11.xml"/><Relationship Id="rId61" Type="http://schemas.openxmlformats.org/officeDocument/2006/relationships/footer" Target="footer12.xml"/><Relationship Id="rId10" Type="http://schemas.openxmlformats.org/officeDocument/2006/relationships/endnotes" Target="endnotes.xml"/><Relationship Id="rId19" Type="http://schemas.openxmlformats.org/officeDocument/2006/relationships/header" Target="header5.xml"/><Relationship Id="rId31" Type="http://schemas.openxmlformats.org/officeDocument/2006/relationships/hyperlink" Target="http://www.hse.gov.uk/statistics/causdis/stress.pdf" TargetMode="External"/><Relationship Id="rId44" Type="http://schemas.openxmlformats.org/officeDocument/2006/relationships/hyperlink" Target="https://www.emerald.com/insight/search?q=Jennifer%20H%20Peck" TargetMode="External"/><Relationship Id="rId52" Type="http://schemas.openxmlformats.org/officeDocument/2006/relationships/footer" Target="footer8.xml"/><Relationship Id="rId60" Type="http://schemas.openxmlformats.org/officeDocument/2006/relationships/header" Target="header1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eader" Target="header6.xml"/><Relationship Id="rId27" Type="http://schemas.openxmlformats.org/officeDocument/2006/relationships/hyperlink" Target="https://www.college.police.uk/What-we-do/Ethics/Documents/Code_of_Ethics.pdf" TargetMode="External"/><Relationship Id="rId30" Type="http://schemas.openxmlformats.org/officeDocument/2006/relationships/hyperlink" Target="https://www.theguardian.com/uk-news/2016/oct/27/police-officers-must-be-aware-of-biases-says-england-training-college" TargetMode="External"/><Relationship Id="rId35" Type="http://schemas.openxmlformats.org/officeDocument/2006/relationships/hyperlink" Target="https://assets.publishing.service.gov.uk/government/uploads/system/uploads/attachment_data/file/839172/hate-crime-1819-hosb2419.pdf" TargetMode="External"/><Relationship Id="rId43" Type="http://schemas.openxmlformats.org/officeDocument/2006/relationships/hyperlink" Target="https://www.ons.gov.uk/peoplepopulationandcommunity/crimeandjustice/datasets/crimeinenglandandwalesannualsupplementarytables" TargetMode="External"/><Relationship Id="rId48" Type="http://schemas.openxmlformats.org/officeDocument/2006/relationships/image" Target="media/image2.PNG"/><Relationship Id="rId56" Type="http://schemas.openxmlformats.org/officeDocument/2006/relationships/header" Target="header10.xml"/><Relationship Id="rId8" Type="http://schemas.openxmlformats.org/officeDocument/2006/relationships/webSettings" Target="webSettings.xml"/><Relationship Id="rId51" Type="http://schemas.openxmlformats.org/officeDocument/2006/relationships/footer" Target="footer7.xml"/><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hyperlink" Target="https://www.college.police.uk/What-we-do/Ethics/Documents/Code_of_Ethics.pdf" TargetMode="External"/><Relationship Id="rId33" Type="http://schemas.openxmlformats.org/officeDocument/2006/relationships/hyperlink" Target="https://www.gov.uk/government/publications/voluntary-police-interview-your-rights" TargetMode="External"/><Relationship Id="rId38" Type="http://schemas.openxmlformats.org/officeDocument/2006/relationships/hyperlink" Target="https://assets.publishing.service.gov.uk/government/uploads/system/uploads/attachment_data/file/476900/code-of-practice-for-victims-of-crime.PDF" TargetMode="External"/><Relationship Id="rId46" Type="http://schemas.openxmlformats.org/officeDocument/2006/relationships/hyperlink" Target="file:///\\swp.police.int\data\home\swp6415\Documents\University\2019-01-30-police-and-crime-plan-final-eng.pdf" TargetMode="External"/><Relationship Id="rId59" Type="http://schemas.openxmlformats.org/officeDocument/2006/relationships/footer" Target="footer1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2.xml><?xml version="1.0" encoding="utf-8"?>
<ds:datastoreItem xmlns:ds="http://schemas.openxmlformats.org/officeDocument/2006/customXml" ds:itemID="{24F6DEB8-ED0C-43EE-AAC7-C34D5E20A69C}">
  <ds:schemaRefs>
    <ds:schemaRef ds:uri="http://schemas.microsoft.com/office/2006/metadata/properties"/>
    <ds:schemaRef ds:uri="2e89cfda-a374-4413-9f0d-8b601eddeb70"/>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purl.org/dc/elements/1.1/"/>
    <ds:schemaRef ds:uri="1ecf5648-3750-43f5-867d-bfaa16e6e17e"/>
    <ds:schemaRef ds:uri="http://www.w3.org/XML/1998/namespace"/>
  </ds:schemaRefs>
</ds:datastoreItem>
</file>

<file path=customXml/itemProps3.xml><?xml version="1.0" encoding="utf-8"?>
<ds:datastoreItem xmlns:ds="http://schemas.openxmlformats.org/officeDocument/2006/customXml" ds:itemID="{4AF84AE3-E069-40B4-AB43-8DF254B11A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F78E9AB-776D-4E82-93CA-0FADEE3E29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27</Pages>
  <Words>10738</Words>
  <Characters>59762</Characters>
  <Application>Microsoft Office Word</Application>
  <DocSecurity>0</DocSecurity>
  <Lines>1221</Lines>
  <Paragraphs>249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70730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Morris,Bethan swp6415</cp:lastModifiedBy>
  <cp:revision>9</cp:revision>
  <cp:lastPrinted>2020-01-03T22:30:00Z</cp:lastPrinted>
  <dcterms:created xsi:type="dcterms:W3CDTF">2019-08-13T11:48:00Z</dcterms:created>
  <dcterms:modified xsi:type="dcterms:W3CDTF">2020-01-05T20:28:00Z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5bfcf9e2-068e-4720-871c-8453750e4201</vt:lpwstr>
  </property>
  <property fmtid="{D5CDD505-2E9C-101B-9397-08002B2CF9AE}" pid="4" name="Classification">
    <vt:lpwstr>OFFICIAL</vt:lpwstr>
  </property>
  <property fmtid="{D5CDD505-2E9C-101B-9397-08002B2CF9AE}" pid="5" name="Visibility">
    <vt:lpwstr>NOT VISIBLE</vt:lpwstr>
  </property>
</Properties>
</file>