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E3E093B" w14:textId="77777777" w:rsidR="00F65BED" w:rsidRDefault="00F65BED">
      <w:pPr>
        <w:pStyle w:val="Title"/>
      </w:pPr>
      <w:bookmarkStart w:id="0" w:name="_r7wfks4lbpl5" w:colFirst="0" w:colLast="0"/>
      <w:bookmarkEnd w:id="0"/>
    </w:p>
    <w:p w14:paraId="6862BD99" w14:textId="77777777" w:rsidR="00F65BED" w:rsidRDefault="00F65BED">
      <w:pPr>
        <w:pStyle w:val="Title"/>
      </w:pPr>
    </w:p>
    <w:p w14:paraId="26453EEF" w14:textId="77777777" w:rsidR="00F65BED" w:rsidRDefault="00F65BED">
      <w:pPr>
        <w:pStyle w:val="Title"/>
      </w:pPr>
    </w:p>
    <w:p w14:paraId="20BEFEDC" w14:textId="77777777" w:rsidR="00A5658C" w:rsidRDefault="00A5658C">
      <w:pPr>
        <w:pStyle w:val="Title"/>
        <w:rPr>
          <w:rFonts w:ascii="Algerian" w:hAnsi="Algerian"/>
        </w:rPr>
      </w:pPr>
    </w:p>
    <w:p w14:paraId="4C479048" w14:textId="4D41FA4E" w:rsidR="00F13646" w:rsidRPr="00F65BED" w:rsidRDefault="007B349A">
      <w:pPr>
        <w:pStyle w:val="Title"/>
        <w:rPr>
          <w:rFonts w:ascii="Algerian" w:hAnsi="Algerian"/>
        </w:rPr>
      </w:pPr>
      <w:r w:rsidRPr="00F65BED">
        <w:rPr>
          <w:rFonts w:ascii="Algerian" w:hAnsi="Algerian"/>
        </w:rPr>
        <w:t xml:space="preserve">BMSW6104 Strategic Management for </w:t>
      </w:r>
      <w:proofErr w:type="spellStart"/>
      <w:r w:rsidRPr="00F65BED">
        <w:rPr>
          <w:rFonts w:ascii="Algerian" w:hAnsi="Algerian"/>
        </w:rPr>
        <w:t>S</w:t>
      </w:r>
      <w:r w:rsidR="000E0691">
        <w:rPr>
          <w:rFonts w:ascii="Algerian" w:hAnsi="Algerian"/>
        </w:rPr>
        <w:t>mes</w:t>
      </w:r>
      <w:proofErr w:type="spellEnd"/>
    </w:p>
    <w:p w14:paraId="4C479049" w14:textId="3C21712D" w:rsidR="00F13646" w:rsidRPr="00F65BED" w:rsidRDefault="007B349A">
      <w:pPr>
        <w:pStyle w:val="Title"/>
        <w:rPr>
          <w:rFonts w:ascii="Algerian" w:hAnsi="Algerian"/>
        </w:rPr>
      </w:pPr>
      <w:bookmarkStart w:id="1" w:name="_qprqohcvtdzb" w:colFirst="0" w:colLast="0"/>
      <w:bookmarkEnd w:id="1"/>
      <w:r w:rsidRPr="00F65BED">
        <w:rPr>
          <w:rFonts w:ascii="Algerian" w:hAnsi="Algerian"/>
        </w:rPr>
        <w:t>Student Name:</w:t>
      </w:r>
      <w:r w:rsidR="001C43E9" w:rsidRPr="00F65BED">
        <w:rPr>
          <w:rFonts w:ascii="Algerian" w:hAnsi="Algerian"/>
        </w:rPr>
        <w:t xml:space="preserve"> </w:t>
      </w:r>
      <w:r w:rsidR="00F65BED" w:rsidRPr="00F65BED">
        <w:rPr>
          <w:rFonts w:ascii="Algerian" w:hAnsi="Algerian"/>
        </w:rPr>
        <w:t>STEFANIA FLORENTINA ENOAICA</w:t>
      </w:r>
    </w:p>
    <w:p w14:paraId="4C47904A" w14:textId="61301966" w:rsidR="00F13646" w:rsidRPr="00BF6631" w:rsidRDefault="007B349A">
      <w:pPr>
        <w:pStyle w:val="Title"/>
      </w:pPr>
      <w:bookmarkStart w:id="2" w:name="_e8fp3qlub0lt" w:colFirst="0" w:colLast="0"/>
      <w:bookmarkEnd w:id="2"/>
      <w:r w:rsidRPr="00F65BED">
        <w:rPr>
          <w:rFonts w:ascii="Algerian" w:hAnsi="Algerian"/>
        </w:rPr>
        <w:t xml:space="preserve">Student ID: </w:t>
      </w:r>
      <w:r w:rsidR="00F65BED" w:rsidRPr="00F65BED">
        <w:rPr>
          <w:rFonts w:ascii="Algerian" w:hAnsi="Algerian"/>
        </w:rPr>
        <w:t>2124107</w:t>
      </w:r>
      <w:r w:rsidRPr="00BF6631">
        <w:br w:type="page"/>
      </w:r>
    </w:p>
    <w:bookmarkStart w:id="3" w:name="_sh3ihmgjkopz" w:colFirst="0" w:colLast="0" w:displacedByCustomXml="next"/>
    <w:bookmarkEnd w:id="3" w:displacedByCustomXml="next"/>
    <w:sdt>
      <w:sdtPr>
        <w:rPr>
          <w:rFonts w:ascii="Arial" w:eastAsia="Arial" w:hAnsi="Arial" w:cs="Arial"/>
          <w:b w:val="0"/>
          <w:bCs w:val="0"/>
          <w:color w:val="auto"/>
          <w:sz w:val="22"/>
          <w:szCs w:val="22"/>
          <w:lang w:val="en-GB" w:eastAsia="en-US"/>
        </w:rPr>
        <w:id w:val="351457269"/>
        <w:docPartObj>
          <w:docPartGallery w:val="Table of Contents"/>
          <w:docPartUnique/>
        </w:docPartObj>
      </w:sdtPr>
      <w:sdtEndPr>
        <w:rPr>
          <w:noProof/>
        </w:rPr>
      </w:sdtEndPr>
      <w:sdtContent>
        <w:p w14:paraId="4C47904B" w14:textId="77777777" w:rsidR="00BF6631" w:rsidRPr="00BF6631" w:rsidRDefault="00BF6631" w:rsidP="00BF6631">
          <w:pPr>
            <w:pStyle w:val="TOCHeading"/>
            <w:spacing w:line="360" w:lineRule="auto"/>
            <w:jc w:val="center"/>
            <w:rPr>
              <w:rFonts w:ascii="Times New Roman" w:hAnsi="Times New Roman" w:cs="Times New Roman"/>
              <w:color w:val="auto"/>
              <w:sz w:val="24"/>
              <w:szCs w:val="24"/>
              <w:lang w:val="en-GB"/>
            </w:rPr>
          </w:pPr>
          <w:r w:rsidRPr="00BF6631">
            <w:rPr>
              <w:rFonts w:ascii="Times New Roman" w:hAnsi="Times New Roman" w:cs="Times New Roman"/>
              <w:color w:val="auto"/>
              <w:sz w:val="24"/>
              <w:szCs w:val="24"/>
              <w:lang w:val="en-GB"/>
            </w:rPr>
            <w:t>Table of Contents</w:t>
          </w:r>
        </w:p>
        <w:p w14:paraId="4C47904C" w14:textId="2511E6B8" w:rsidR="00BF6631" w:rsidRPr="00BF6631" w:rsidRDefault="00BF6631" w:rsidP="00BF6631">
          <w:pPr>
            <w:pStyle w:val="TOC1"/>
            <w:tabs>
              <w:tab w:val="right" w:leader="dot" w:pos="9019"/>
            </w:tabs>
            <w:spacing w:line="360" w:lineRule="auto"/>
            <w:jc w:val="both"/>
            <w:rPr>
              <w:rFonts w:ascii="Times New Roman" w:hAnsi="Times New Roman" w:cs="Times New Roman"/>
              <w:noProof/>
              <w:sz w:val="24"/>
              <w:szCs w:val="24"/>
            </w:rPr>
          </w:pPr>
          <w:r w:rsidRPr="00BF6631">
            <w:rPr>
              <w:rFonts w:ascii="Times New Roman" w:hAnsi="Times New Roman" w:cs="Times New Roman"/>
              <w:sz w:val="24"/>
              <w:szCs w:val="24"/>
            </w:rPr>
            <w:fldChar w:fldCharType="begin"/>
          </w:r>
          <w:r w:rsidRPr="00BF6631">
            <w:rPr>
              <w:rFonts w:ascii="Times New Roman" w:hAnsi="Times New Roman" w:cs="Times New Roman"/>
              <w:sz w:val="24"/>
              <w:szCs w:val="24"/>
            </w:rPr>
            <w:instrText xml:space="preserve"> TOC \o "1-3" \h \z \u </w:instrText>
          </w:r>
          <w:r w:rsidRPr="00BF6631">
            <w:rPr>
              <w:rFonts w:ascii="Times New Roman" w:hAnsi="Times New Roman" w:cs="Times New Roman"/>
              <w:sz w:val="24"/>
              <w:szCs w:val="24"/>
            </w:rPr>
            <w:fldChar w:fldCharType="separate"/>
          </w:r>
          <w:hyperlink w:anchor="_Toc170581928" w:history="1">
            <w:r w:rsidRPr="00BF6631">
              <w:rPr>
                <w:rStyle w:val="Hyperlink"/>
                <w:rFonts w:ascii="Times New Roman" w:hAnsi="Times New Roman" w:cs="Times New Roman"/>
                <w:noProof/>
                <w:sz w:val="24"/>
                <w:szCs w:val="24"/>
              </w:rPr>
              <w:t>Task 1</w:t>
            </w:r>
            <w:r w:rsidRPr="00BF6631">
              <w:rPr>
                <w:rFonts w:ascii="Times New Roman" w:hAnsi="Times New Roman" w:cs="Times New Roman"/>
                <w:noProof/>
                <w:webHidden/>
                <w:sz w:val="24"/>
                <w:szCs w:val="24"/>
              </w:rPr>
              <w:tab/>
            </w:r>
            <w:r w:rsidRPr="00BF6631">
              <w:rPr>
                <w:rFonts w:ascii="Times New Roman" w:hAnsi="Times New Roman" w:cs="Times New Roman"/>
                <w:noProof/>
                <w:webHidden/>
                <w:sz w:val="24"/>
                <w:szCs w:val="24"/>
              </w:rPr>
              <w:fldChar w:fldCharType="begin"/>
            </w:r>
            <w:r w:rsidRPr="00BF6631">
              <w:rPr>
                <w:rFonts w:ascii="Times New Roman" w:hAnsi="Times New Roman" w:cs="Times New Roman"/>
                <w:noProof/>
                <w:webHidden/>
                <w:sz w:val="24"/>
                <w:szCs w:val="24"/>
              </w:rPr>
              <w:instrText xml:space="preserve"> PAGEREF _Toc170581928 \h </w:instrText>
            </w:r>
            <w:r w:rsidRPr="00BF6631">
              <w:rPr>
                <w:rFonts w:ascii="Times New Roman" w:hAnsi="Times New Roman" w:cs="Times New Roman"/>
                <w:noProof/>
                <w:webHidden/>
                <w:sz w:val="24"/>
                <w:szCs w:val="24"/>
              </w:rPr>
            </w:r>
            <w:r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3</w:t>
            </w:r>
            <w:r w:rsidRPr="00BF6631">
              <w:rPr>
                <w:rFonts w:ascii="Times New Roman" w:hAnsi="Times New Roman" w:cs="Times New Roman"/>
                <w:noProof/>
                <w:webHidden/>
                <w:sz w:val="24"/>
                <w:szCs w:val="24"/>
              </w:rPr>
              <w:fldChar w:fldCharType="end"/>
            </w:r>
          </w:hyperlink>
        </w:p>
        <w:p w14:paraId="4C47904D" w14:textId="63892AF4" w:rsidR="00BF6631" w:rsidRPr="00BF6631" w:rsidRDefault="0004137E" w:rsidP="00BF6631">
          <w:pPr>
            <w:pStyle w:val="TOC2"/>
            <w:tabs>
              <w:tab w:val="right" w:leader="dot" w:pos="9019"/>
            </w:tabs>
            <w:spacing w:line="360" w:lineRule="auto"/>
            <w:jc w:val="both"/>
            <w:rPr>
              <w:rFonts w:ascii="Times New Roman" w:hAnsi="Times New Roman" w:cs="Times New Roman"/>
              <w:noProof/>
              <w:sz w:val="24"/>
              <w:szCs w:val="24"/>
            </w:rPr>
          </w:pPr>
          <w:hyperlink w:anchor="_Toc170581929" w:history="1">
            <w:r w:rsidR="00BF6631" w:rsidRPr="00BF6631">
              <w:rPr>
                <w:rStyle w:val="Hyperlink"/>
                <w:rFonts w:ascii="Times New Roman" w:hAnsi="Times New Roman" w:cs="Times New Roman"/>
                <w:noProof/>
                <w:sz w:val="24"/>
                <w:szCs w:val="24"/>
              </w:rPr>
              <w:t>Overview of the organisation</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_Toc170581929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3</w:t>
            </w:r>
            <w:r w:rsidR="00BF6631" w:rsidRPr="00BF6631">
              <w:rPr>
                <w:rFonts w:ascii="Times New Roman" w:hAnsi="Times New Roman" w:cs="Times New Roman"/>
                <w:noProof/>
                <w:webHidden/>
                <w:sz w:val="24"/>
                <w:szCs w:val="24"/>
              </w:rPr>
              <w:fldChar w:fldCharType="end"/>
            </w:r>
          </w:hyperlink>
        </w:p>
        <w:p w14:paraId="4C47904E" w14:textId="14AAA387" w:rsidR="00BF6631" w:rsidRPr="00BF6631" w:rsidRDefault="0004137E" w:rsidP="00BF6631">
          <w:pPr>
            <w:pStyle w:val="TOC2"/>
            <w:tabs>
              <w:tab w:val="right" w:leader="dot" w:pos="9019"/>
            </w:tabs>
            <w:spacing w:line="360" w:lineRule="auto"/>
            <w:jc w:val="both"/>
            <w:rPr>
              <w:rFonts w:ascii="Times New Roman" w:hAnsi="Times New Roman" w:cs="Times New Roman"/>
              <w:noProof/>
              <w:sz w:val="24"/>
              <w:szCs w:val="24"/>
            </w:rPr>
          </w:pPr>
          <w:hyperlink w:anchor="_Toc170581930" w:history="1">
            <w:r w:rsidR="00BF6631" w:rsidRPr="00BF6631">
              <w:rPr>
                <w:rStyle w:val="Hyperlink"/>
                <w:rFonts w:ascii="Times New Roman" w:hAnsi="Times New Roman" w:cs="Times New Roman"/>
                <w:noProof/>
                <w:sz w:val="24"/>
                <w:szCs w:val="24"/>
              </w:rPr>
              <w:t>Organisation’s current strategic direction</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_Toc170581930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3</w:t>
            </w:r>
            <w:r w:rsidR="00BF6631" w:rsidRPr="00BF6631">
              <w:rPr>
                <w:rFonts w:ascii="Times New Roman" w:hAnsi="Times New Roman" w:cs="Times New Roman"/>
                <w:noProof/>
                <w:webHidden/>
                <w:sz w:val="24"/>
                <w:szCs w:val="24"/>
              </w:rPr>
              <w:fldChar w:fldCharType="end"/>
            </w:r>
          </w:hyperlink>
        </w:p>
        <w:p w14:paraId="4C47904F" w14:textId="2CD2D8EF" w:rsidR="00BF6631" w:rsidRPr="00BF6631" w:rsidRDefault="0004137E" w:rsidP="00BF6631">
          <w:pPr>
            <w:pStyle w:val="TOC2"/>
            <w:tabs>
              <w:tab w:val="right" w:leader="dot" w:pos="9019"/>
            </w:tabs>
            <w:spacing w:line="360" w:lineRule="auto"/>
            <w:jc w:val="both"/>
            <w:rPr>
              <w:rFonts w:ascii="Times New Roman" w:hAnsi="Times New Roman" w:cs="Times New Roman"/>
              <w:noProof/>
              <w:sz w:val="24"/>
              <w:szCs w:val="24"/>
            </w:rPr>
          </w:pPr>
          <w:hyperlink w:anchor="_Toc170581931" w:history="1">
            <w:r w:rsidR="00BF6631" w:rsidRPr="00BF6631">
              <w:rPr>
                <w:rStyle w:val="Hyperlink"/>
                <w:rFonts w:ascii="Times New Roman" w:hAnsi="Times New Roman" w:cs="Times New Roman"/>
                <w:noProof/>
                <w:sz w:val="24"/>
                <w:szCs w:val="24"/>
              </w:rPr>
              <w:t>Evaluation of the external and internal environment using environmental scanning tools</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_Toc170581931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4</w:t>
            </w:r>
            <w:r w:rsidR="00BF6631" w:rsidRPr="00BF6631">
              <w:rPr>
                <w:rFonts w:ascii="Times New Roman" w:hAnsi="Times New Roman" w:cs="Times New Roman"/>
                <w:noProof/>
                <w:webHidden/>
                <w:sz w:val="24"/>
                <w:szCs w:val="24"/>
              </w:rPr>
              <w:fldChar w:fldCharType="end"/>
            </w:r>
          </w:hyperlink>
        </w:p>
        <w:p w14:paraId="4C479050" w14:textId="381F24EA" w:rsidR="00BF6631" w:rsidRPr="00BF6631" w:rsidRDefault="0004137E" w:rsidP="00BF6631">
          <w:pPr>
            <w:pStyle w:val="TOC2"/>
            <w:tabs>
              <w:tab w:val="right" w:leader="dot" w:pos="9019"/>
            </w:tabs>
            <w:spacing w:line="360" w:lineRule="auto"/>
            <w:jc w:val="both"/>
            <w:rPr>
              <w:rFonts w:ascii="Times New Roman" w:hAnsi="Times New Roman" w:cs="Times New Roman"/>
              <w:noProof/>
              <w:sz w:val="24"/>
              <w:szCs w:val="24"/>
            </w:rPr>
          </w:pPr>
          <w:hyperlink w:anchor="_Toc170581932" w:history="1">
            <w:r w:rsidR="00BF6631" w:rsidRPr="00BF6631">
              <w:rPr>
                <w:rStyle w:val="Hyperlink"/>
                <w:rFonts w:ascii="Times New Roman" w:hAnsi="Times New Roman" w:cs="Times New Roman"/>
                <w:noProof/>
                <w:sz w:val="24"/>
                <w:szCs w:val="24"/>
              </w:rPr>
              <w:t>Stakeholder analysis and expectations of the different stakeholders</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_Toc170581932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6</w:t>
            </w:r>
            <w:r w:rsidR="00BF6631" w:rsidRPr="00BF6631">
              <w:rPr>
                <w:rFonts w:ascii="Times New Roman" w:hAnsi="Times New Roman" w:cs="Times New Roman"/>
                <w:noProof/>
                <w:webHidden/>
                <w:sz w:val="24"/>
                <w:szCs w:val="24"/>
              </w:rPr>
              <w:fldChar w:fldCharType="end"/>
            </w:r>
          </w:hyperlink>
        </w:p>
        <w:p w14:paraId="4C479051" w14:textId="7FCEF9BA" w:rsidR="00BF6631" w:rsidRPr="00BF6631" w:rsidRDefault="0004137E" w:rsidP="00BF6631">
          <w:pPr>
            <w:pStyle w:val="TOC2"/>
            <w:tabs>
              <w:tab w:val="right" w:leader="dot" w:pos="9019"/>
            </w:tabs>
            <w:spacing w:line="360" w:lineRule="auto"/>
            <w:jc w:val="both"/>
            <w:rPr>
              <w:rFonts w:ascii="Times New Roman" w:hAnsi="Times New Roman" w:cs="Times New Roman"/>
              <w:noProof/>
              <w:sz w:val="24"/>
              <w:szCs w:val="24"/>
            </w:rPr>
          </w:pPr>
          <w:hyperlink w:anchor="_Toc170581933" w:history="1">
            <w:r w:rsidR="00BF6631" w:rsidRPr="00BF6631">
              <w:rPr>
                <w:rStyle w:val="Hyperlink"/>
                <w:rFonts w:ascii="Times New Roman" w:hAnsi="Times New Roman" w:cs="Times New Roman"/>
                <w:noProof/>
                <w:sz w:val="24"/>
                <w:szCs w:val="24"/>
              </w:rPr>
              <w:t>Current and future strategic growth choices for SMEs in markets</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_Toc170581933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8</w:t>
            </w:r>
            <w:r w:rsidR="00BF6631" w:rsidRPr="00BF6631">
              <w:rPr>
                <w:rFonts w:ascii="Times New Roman" w:hAnsi="Times New Roman" w:cs="Times New Roman"/>
                <w:noProof/>
                <w:webHidden/>
                <w:sz w:val="24"/>
                <w:szCs w:val="24"/>
              </w:rPr>
              <w:fldChar w:fldCharType="end"/>
            </w:r>
          </w:hyperlink>
        </w:p>
        <w:p w14:paraId="4C479052" w14:textId="79FAF016" w:rsidR="00BF6631" w:rsidRPr="00BF6631" w:rsidRDefault="0004137E" w:rsidP="00BF6631">
          <w:pPr>
            <w:pStyle w:val="TOC2"/>
            <w:tabs>
              <w:tab w:val="right" w:leader="dot" w:pos="9019"/>
            </w:tabs>
            <w:spacing w:line="360" w:lineRule="auto"/>
            <w:jc w:val="both"/>
            <w:rPr>
              <w:rFonts w:ascii="Times New Roman" w:hAnsi="Times New Roman" w:cs="Times New Roman"/>
              <w:noProof/>
              <w:sz w:val="24"/>
              <w:szCs w:val="24"/>
            </w:rPr>
          </w:pPr>
          <w:hyperlink w:anchor="_Toc170581934" w:history="1">
            <w:r w:rsidR="00BF6631" w:rsidRPr="00BF6631">
              <w:rPr>
                <w:rStyle w:val="Hyperlink"/>
                <w:rFonts w:ascii="Times New Roman" w:hAnsi="Times New Roman" w:cs="Times New Roman"/>
                <w:noProof/>
                <w:sz w:val="24"/>
                <w:szCs w:val="24"/>
              </w:rPr>
              <w:t>Strategic recommendations for future developments and implementation to implement strategic direction</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_Toc170581934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11</w:t>
            </w:r>
            <w:r w:rsidR="00BF6631" w:rsidRPr="00BF6631">
              <w:rPr>
                <w:rFonts w:ascii="Times New Roman" w:hAnsi="Times New Roman" w:cs="Times New Roman"/>
                <w:noProof/>
                <w:webHidden/>
                <w:sz w:val="24"/>
                <w:szCs w:val="24"/>
              </w:rPr>
              <w:fldChar w:fldCharType="end"/>
            </w:r>
          </w:hyperlink>
        </w:p>
        <w:p w14:paraId="4C47905D" w14:textId="71F79915" w:rsidR="00BF6631" w:rsidRPr="00BF6631" w:rsidRDefault="0004137E" w:rsidP="00571C2C">
          <w:pPr>
            <w:pStyle w:val="TOC2"/>
            <w:tabs>
              <w:tab w:val="right" w:leader="dot" w:pos="9019"/>
            </w:tabs>
            <w:spacing w:line="360" w:lineRule="auto"/>
            <w:jc w:val="both"/>
            <w:rPr>
              <w:rFonts w:ascii="Times New Roman" w:hAnsi="Times New Roman" w:cs="Times New Roman"/>
              <w:noProof/>
              <w:sz w:val="24"/>
              <w:szCs w:val="24"/>
            </w:rPr>
          </w:pPr>
          <w:hyperlink w:anchor="_Toc170581935" w:history="1">
            <w:r w:rsidR="00BF6631" w:rsidRPr="00BF6631">
              <w:rPr>
                <w:rStyle w:val="Hyperlink"/>
                <w:rFonts w:ascii="Times New Roman" w:hAnsi="Times New Roman" w:cs="Times New Roman"/>
                <w:noProof/>
                <w:sz w:val="24"/>
                <w:szCs w:val="24"/>
              </w:rPr>
              <w:t>Conclusion</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_Toc170581935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12</w:t>
            </w:r>
            <w:r w:rsidR="00BF6631" w:rsidRPr="00BF6631">
              <w:rPr>
                <w:rFonts w:ascii="Times New Roman" w:hAnsi="Times New Roman" w:cs="Times New Roman"/>
                <w:noProof/>
                <w:webHidden/>
                <w:sz w:val="24"/>
                <w:szCs w:val="24"/>
              </w:rPr>
              <w:fldChar w:fldCharType="end"/>
            </w:r>
          </w:hyperlink>
        </w:p>
        <w:p w14:paraId="4C47905E" w14:textId="41240EE3" w:rsidR="00BF6631" w:rsidRPr="00BF6631" w:rsidRDefault="0004137E" w:rsidP="00BF6631">
          <w:pPr>
            <w:pStyle w:val="TOC1"/>
            <w:tabs>
              <w:tab w:val="right" w:leader="dot" w:pos="9019"/>
            </w:tabs>
            <w:spacing w:line="360" w:lineRule="auto"/>
            <w:jc w:val="both"/>
            <w:rPr>
              <w:rFonts w:ascii="Times New Roman" w:hAnsi="Times New Roman" w:cs="Times New Roman"/>
              <w:noProof/>
              <w:sz w:val="24"/>
              <w:szCs w:val="24"/>
            </w:rPr>
          </w:pPr>
          <w:hyperlink w:anchor="_Toc170581946" w:history="1">
            <w:r w:rsidR="00BF6631" w:rsidRPr="00BF6631">
              <w:rPr>
                <w:rStyle w:val="Hyperlink"/>
                <w:rFonts w:ascii="Times New Roman" w:hAnsi="Times New Roman" w:cs="Times New Roman"/>
                <w:noProof/>
                <w:sz w:val="24"/>
                <w:szCs w:val="24"/>
              </w:rPr>
              <w:t>References</w:t>
            </w:r>
            <w:r w:rsidR="00BF6631" w:rsidRPr="00BF6631">
              <w:rPr>
                <w:rFonts w:ascii="Times New Roman" w:hAnsi="Times New Roman" w:cs="Times New Roman"/>
                <w:noProof/>
                <w:webHidden/>
                <w:sz w:val="24"/>
                <w:szCs w:val="24"/>
              </w:rPr>
              <w:tab/>
            </w:r>
            <w:r w:rsidR="00BF6631" w:rsidRPr="00BF6631">
              <w:rPr>
                <w:rFonts w:ascii="Times New Roman" w:hAnsi="Times New Roman" w:cs="Times New Roman"/>
                <w:noProof/>
                <w:webHidden/>
                <w:sz w:val="24"/>
                <w:szCs w:val="24"/>
              </w:rPr>
              <w:fldChar w:fldCharType="begin"/>
            </w:r>
            <w:r w:rsidR="00BF6631" w:rsidRPr="00BF6631">
              <w:rPr>
                <w:rFonts w:ascii="Times New Roman" w:hAnsi="Times New Roman" w:cs="Times New Roman"/>
                <w:noProof/>
                <w:webHidden/>
                <w:sz w:val="24"/>
                <w:szCs w:val="24"/>
              </w:rPr>
              <w:instrText xml:space="preserve"> PAGEREF _Toc170581946 \h </w:instrText>
            </w:r>
            <w:r w:rsidR="00BF6631" w:rsidRPr="00BF6631">
              <w:rPr>
                <w:rFonts w:ascii="Times New Roman" w:hAnsi="Times New Roman" w:cs="Times New Roman"/>
                <w:noProof/>
                <w:webHidden/>
                <w:sz w:val="24"/>
                <w:szCs w:val="24"/>
              </w:rPr>
            </w:r>
            <w:r w:rsidR="00BF6631" w:rsidRPr="00BF6631">
              <w:rPr>
                <w:rFonts w:ascii="Times New Roman" w:hAnsi="Times New Roman" w:cs="Times New Roman"/>
                <w:noProof/>
                <w:webHidden/>
                <w:sz w:val="24"/>
                <w:szCs w:val="24"/>
              </w:rPr>
              <w:fldChar w:fldCharType="separate"/>
            </w:r>
            <w:r w:rsidR="00A5658C">
              <w:rPr>
                <w:rFonts w:ascii="Times New Roman" w:hAnsi="Times New Roman" w:cs="Times New Roman"/>
                <w:noProof/>
                <w:webHidden/>
                <w:sz w:val="24"/>
                <w:szCs w:val="24"/>
              </w:rPr>
              <w:t>13</w:t>
            </w:r>
            <w:r w:rsidR="00BF6631" w:rsidRPr="00BF6631">
              <w:rPr>
                <w:rFonts w:ascii="Times New Roman" w:hAnsi="Times New Roman" w:cs="Times New Roman"/>
                <w:noProof/>
                <w:webHidden/>
                <w:sz w:val="24"/>
                <w:szCs w:val="24"/>
              </w:rPr>
              <w:fldChar w:fldCharType="end"/>
            </w:r>
          </w:hyperlink>
        </w:p>
        <w:p w14:paraId="4C47905F" w14:textId="77777777" w:rsidR="00BF6631" w:rsidRPr="00BF6631" w:rsidRDefault="00BF6631" w:rsidP="00BF6631">
          <w:pPr>
            <w:spacing w:line="360" w:lineRule="auto"/>
            <w:jc w:val="both"/>
          </w:pPr>
          <w:r w:rsidRPr="00BF6631">
            <w:rPr>
              <w:rFonts w:ascii="Times New Roman" w:hAnsi="Times New Roman" w:cs="Times New Roman"/>
              <w:b/>
              <w:bCs/>
              <w:noProof/>
              <w:sz w:val="24"/>
              <w:szCs w:val="24"/>
            </w:rPr>
            <w:fldChar w:fldCharType="end"/>
          </w:r>
        </w:p>
      </w:sdtContent>
    </w:sdt>
    <w:p w14:paraId="4C479060" w14:textId="77777777" w:rsidR="00BF6631" w:rsidRPr="00BF6631" w:rsidRDefault="00BF6631">
      <w:pPr>
        <w:rPr>
          <w:rFonts w:ascii="Times New Roman" w:eastAsia="Times New Roman" w:hAnsi="Times New Roman" w:cs="Times New Roman"/>
          <w:b/>
          <w:sz w:val="24"/>
          <w:szCs w:val="24"/>
        </w:rPr>
      </w:pPr>
      <w:r w:rsidRPr="00BF6631">
        <w:br w:type="page"/>
      </w:r>
    </w:p>
    <w:p w14:paraId="4C479061" w14:textId="77777777" w:rsidR="00F13646" w:rsidRPr="00BF6631" w:rsidRDefault="007B349A">
      <w:pPr>
        <w:pStyle w:val="Heading1"/>
      </w:pPr>
      <w:bookmarkStart w:id="4" w:name="_Toc170581928"/>
      <w:r w:rsidRPr="00BF6631">
        <w:lastRenderedPageBreak/>
        <w:t>Task 1</w:t>
      </w:r>
      <w:bookmarkEnd w:id="4"/>
      <w:r w:rsidRPr="00BF6631">
        <w:t xml:space="preserve"> </w:t>
      </w:r>
    </w:p>
    <w:p w14:paraId="4C479062" w14:textId="77777777" w:rsidR="00F13646" w:rsidRPr="00BF6631" w:rsidRDefault="007B349A">
      <w:pPr>
        <w:pStyle w:val="Heading2"/>
      </w:pPr>
      <w:bookmarkStart w:id="5" w:name="_nar4i4ohz4o" w:colFirst="0" w:colLast="0"/>
      <w:bookmarkStart w:id="6" w:name="_Toc170581929"/>
      <w:bookmarkEnd w:id="5"/>
      <w:r w:rsidRPr="00BF6631">
        <w:t>Overview of the organisation</w:t>
      </w:r>
      <w:bookmarkEnd w:id="6"/>
      <w:r w:rsidRPr="00BF6631">
        <w:t xml:space="preserve"> </w:t>
      </w:r>
    </w:p>
    <w:p w14:paraId="4C479063"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Hook Norton Brewery is a UK-based traditional SME organisation which is operated by a family brewery that was established in 1849. The organisation is particularly known for their wide dedication towards the traditional mode of Brewing method by using hops, yeast and Maris Otter Barley </w:t>
      </w:r>
      <w:r w:rsidRPr="00BF6631">
        <w:rPr>
          <w:rFonts w:ascii="Times New Roman" w:eastAsia="Times New Roman" w:hAnsi="Times New Roman" w:cs="Times New Roman"/>
          <w:sz w:val="24"/>
          <w:szCs w:val="24"/>
          <w:highlight w:val="white"/>
        </w:rPr>
        <w:t>(Hook Norton Brewery, 2024)</w:t>
      </w:r>
      <w:r w:rsidRPr="00BF6631">
        <w:rPr>
          <w:rFonts w:ascii="Times New Roman" w:eastAsia="Times New Roman" w:hAnsi="Times New Roman" w:cs="Times New Roman"/>
          <w:sz w:val="24"/>
          <w:szCs w:val="24"/>
        </w:rPr>
        <w:t xml:space="preserve">. The organisation indulges in the process of involving the utilisation of wooden barrels as well as steam engines that are currently operationalized and particularly initiated for the mode of brewing tasks. The steam engine of the organisation that is initiated for bringing methods is particularly used to possess effective aspects regarding the procedure which leads to adding historical charm as well as authenticity within the SME </w:t>
      </w:r>
      <w:r w:rsidRPr="00BF6631">
        <w:rPr>
          <w:rFonts w:ascii="Times New Roman" w:eastAsia="Times New Roman" w:hAnsi="Times New Roman" w:cs="Times New Roman"/>
          <w:sz w:val="24"/>
          <w:szCs w:val="24"/>
          <w:highlight w:val="white"/>
        </w:rPr>
        <w:t>(Historic Houses, 2024)</w:t>
      </w:r>
      <w:r w:rsidRPr="00BF6631">
        <w:rPr>
          <w:rFonts w:ascii="Times New Roman" w:eastAsia="Times New Roman" w:hAnsi="Times New Roman" w:cs="Times New Roman"/>
          <w:sz w:val="24"/>
          <w:szCs w:val="24"/>
        </w:rPr>
        <w:t>. Hook Norton Brewery manufactures different ranges of beers which involve classic English ales including Old Hooky as well as Twelve Days. The products possess effective quality as well as traditional flavours that create an appealing aspect in the market customers in the local marketplace as well as targeting the wider aspect of the audiences.</w:t>
      </w:r>
    </w:p>
    <w:p w14:paraId="4C479064" w14:textId="77777777" w:rsidR="00F13646" w:rsidRPr="00BF6631" w:rsidRDefault="007B349A">
      <w:pPr>
        <w:pStyle w:val="Heading2"/>
      </w:pPr>
      <w:bookmarkStart w:id="7" w:name="_xrv7w86iaq1q" w:colFirst="0" w:colLast="0"/>
      <w:bookmarkStart w:id="8" w:name="_Toc170581930"/>
      <w:bookmarkEnd w:id="7"/>
      <w:r w:rsidRPr="00BF6631">
        <w:t>Organisation’s current strategic direction</w:t>
      </w:r>
      <w:bookmarkEnd w:id="8"/>
      <w:r w:rsidRPr="00BF6631">
        <w:t xml:space="preserve"> </w:t>
      </w:r>
    </w:p>
    <w:p w14:paraId="4C479065"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The </w:t>
      </w:r>
      <w:r w:rsidR="00BF6631" w:rsidRPr="00BF6631">
        <w:rPr>
          <w:rFonts w:ascii="Times New Roman" w:eastAsia="Times New Roman" w:hAnsi="Times New Roman" w:cs="Times New Roman"/>
          <w:sz w:val="24"/>
          <w:szCs w:val="24"/>
        </w:rPr>
        <w:t xml:space="preserve">current strategic direction of </w:t>
      </w:r>
      <w:r w:rsidRPr="00BF6631">
        <w:rPr>
          <w:rFonts w:ascii="Times New Roman" w:eastAsia="Times New Roman" w:hAnsi="Times New Roman" w:cs="Times New Roman"/>
          <w:sz w:val="24"/>
          <w:szCs w:val="24"/>
        </w:rPr>
        <w:t xml:space="preserve">Hook Norton Brewery focuses on preserving the heritage while constantly leveraging the historical mode of brewing techniques as well as equipment so that differentiation, as well as authenticity within the organisation, is maintained in the target market. The organisation also conducts their brewery tours as well as a historical demonstration to attract visitors towards their heritage which also leads to brand loyalty and fostering tourism (Sharpley, 2022). This strategic direction of the SME also focuses on product development as well as innovation as day incorporates expanding their range of products to different markets with a focus on innovative products which appeal to the contemporary taste of the marketplace. This also focuses on meeting the market trends without compromising on the quality efficiency of the products. Product development, as well as innovation, is also ensured </w:t>
      </w:r>
      <w:r w:rsidR="00BF6631" w:rsidRPr="00BF6631">
        <w:rPr>
          <w:rFonts w:ascii="Times New Roman" w:eastAsia="Times New Roman" w:hAnsi="Times New Roman" w:cs="Times New Roman"/>
          <w:sz w:val="24"/>
          <w:szCs w:val="24"/>
        </w:rPr>
        <w:t>in the strategic direction of</w:t>
      </w:r>
      <w:r w:rsidRPr="00BF6631">
        <w:rPr>
          <w:rFonts w:ascii="Times New Roman" w:eastAsia="Times New Roman" w:hAnsi="Times New Roman" w:cs="Times New Roman"/>
          <w:sz w:val="24"/>
          <w:szCs w:val="24"/>
        </w:rPr>
        <w:t xml:space="preserve"> Hook Norton Brewery by engaging in the introduction of </w:t>
      </w:r>
      <w:proofErr w:type="gramStart"/>
      <w:r w:rsidRPr="00BF6631">
        <w:rPr>
          <w:rFonts w:ascii="Times New Roman" w:eastAsia="Times New Roman" w:hAnsi="Times New Roman" w:cs="Times New Roman"/>
          <w:sz w:val="24"/>
          <w:szCs w:val="24"/>
        </w:rPr>
        <w:t>limited edition</w:t>
      </w:r>
      <w:proofErr w:type="gramEnd"/>
      <w:r w:rsidRPr="00BF6631">
        <w:rPr>
          <w:rFonts w:ascii="Times New Roman" w:eastAsia="Times New Roman" w:hAnsi="Times New Roman" w:cs="Times New Roman"/>
          <w:sz w:val="24"/>
          <w:szCs w:val="24"/>
        </w:rPr>
        <w:t xml:space="preserve"> beers to effectively maintain a fresh line of products as well as attract market consumers </w:t>
      </w:r>
      <w:r w:rsidRPr="00BF6631">
        <w:rPr>
          <w:rFonts w:ascii="Times New Roman" w:eastAsia="Times New Roman" w:hAnsi="Times New Roman" w:cs="Times New Roman"/>
          <w:sz w:val="24"/>
          <w:szCs w:val="24"/>
          <w:highlight w:val="white"/>
        </w:rPr>
        <w:t>(Hook Norton Brewery, 2024)</w:t>
      </w:r>
      <w:r w:rsidRPr="00BF6631">
        <w:rPr>
          <w:rFonts w:ascii="Times New Roman" w:eastAsia="Times New Roman" w:hAnsi="Times New Roman" w:cs="Times New Roman"/>
          <w:sz w:val="24"/>
          <w:szCs w:val="24"/>
        </w:rPr>
        <w:t xml:space="preserve">. The business also implements different aspects of sustainable practices by initiating eco-friendly aspects in the operations of brewery practices. The sustainability aspect is initiated by the organisation through implementing recycling West utilising renewable energy as well as sourcing local products to reduce carbon emissions from the organisation. Sustainability as well as </w:t>
      </w:r>
      <w:r w:rsidR="00BF6631" w:rsidRPr="00BF6631">
        <w:rPr>
          <w:rFonts w:ascii="Times New Roman" w:eastAsia="Times New Roman" w:hAnsi="Times New Roman" w:cs="Times New Roman"/>
          <w:sz w:val="24"/>
          <w:szCs w:val="24"/>
        </w:rPr>
        <w:t>eco-friendly</w:t>
      </w:r>
      <w:r w:rsidRPr="00BF6631">
        <w:rPr>
          <w:rFonts w:ascii="Times New Roman" w:eastAsia="Times New Roman" w:hAnsi="Times New Roman" w:cs="Times New Roman"/>
          <w:sz w:val="24"/>
          <w:szCs w:val="24"/>
        </w:rPr>
        <w:t xml:space="preserve"> are also maintained through fostering community </w:t>
      </w:r>
      <w:r w:rsidRPr="00BF6631">
        <w:rPr>
          <w:rFonts w:ascii="Times New Roman" w:eastAsia="Times New Roman" w:hAnsi="Times New Roman" w:cs="Times New Roman"/>
          <w:sz w:val="24"/>
          <w:szCs w:val="24"/>
        </w:rPr>
        <w:lastRenderedPageBreak/>
        <w:t>engagement participating in different local events enriching the community as well as enriching the branch's reputation in the local business.</w:t>
      </w:r>
    </w:p>
    <w:p w14:paraId="4C479066" w14:textId="77777777" w:rsidR="00F13646" w:rsidRPr="00BF6631" w:rsidRDefault="007B349A">
      <w:pPr>
        <w:pStyle w:val="Heading2"/>
        <w:ind w:right="-40"/>
      </w:pPr>
      <w:bookmarkStart w:id="9" w:name="_747fzcwkjvbm" w:colFirst="0" w:colLast="0"/>
      <w:bookmarkStart w:id="10" w:name="_Toc170581931"/>
      <w:bookmarkEnd w:id="9"/>
      <w:r w:rsidRPr="00BF6631">
        <w:t>Evaluation of the external and internal environment using environmental scanning tools</w:t>
      </w:r>
      <w:bookmarkEnd w:id="10"/>
    </w:p>
    <w:p w14:paraId="4C479067" w14:textId="77777777" w:rsidR="00F13646" w:rsidRPr="00BF6631" w:rsidRDefault="007B349A">
      <w:pPr>
        <w:spacing w:line="360" w:lineRule="auto"/>
        <w:ind w:right="-40"/>
        <w:jc w:val="both"/>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PESTLE Analysis</w:t>
      </w:r>
    </w:p>
    <w:p w14:paraId="4C479068"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Political factors: </w:t>
      </w:r>
      <w:r w:rsidRPr="00BF6631">
        <w:rPr>
          <w:rFonts w:ascii="Times New Roman" w:eastAsia="Times New Roman" w:hAnsi="Times New Roman" w:cs="Times New Roman"/>
          <w:sz w:val="24"/>
          <w:szCs w:val="24"/>
        </w:rPr>
        <w:t xml:space="preserve">The intervention of the UK government regarding the regulations and compliance level creates an influence on the distribution of brewery products. The changes within the laws create an impact on the operations level. The post-Brexit policies on trade and tariffs create a negative on the importing cost of the product ingredients and equipment </w:t>
      </w:r>
      <w:proofErr w:type="gramStart"/>
      <w:r w:rsidRPr="00BF6631">
        <w:rPr>
          <w:rFonts w:ascii="Times New Roman" w:eastAsia="Times New Roman" w:hAnsi="Times New Roman" w:cs="Times New Roman"/>
          <w:sz w:val="24"/>
          <w:szCs w:val="24"/>
        </w:rPr>
        <w:t>and also</w:t>
      </w:r>
      <w:proofErr w:type="gramEnd"/>
      <w:r w:rsidRPr="00BF6631">
        <w:rPr>
          <w:rFonts w:ascii="Times New Roman" w:eastAsia="Times New Roman" w:hAnsi="Times New Roman" w:cs="Times New Roman"/>
          <w:sz w:val="24"/>
          <w:szCs w:val="24"/>
        </w:rPr>
        <w:t xml:space="preserve"> reduce the method of exporting minimising the opportunities of the brewery sector. The on</w:t>
      </w:r>
      <w:r w:rsidR="00BF6631" w:rsidRPr="00BF6631">
        <w:rPr>
          <w:rFonts w:ascii="Times New Roman" w:eastAsia="Times New Roman" w:hAnsi="Times New Roman" w:cs="Times New Roman"/>
          <w:sz w:val="24"/>
          <w:szCs w:val="24"/>
        </w:rPr>
        <w:t>-</w:t>
      </w:r>
      <w:r w:rsidRPr="00BF6631">
        <w:rPr>
          <w:rFonts w:ascii="Times New Roman" w:eastAsia="Times New Roman" w:hAnsi="Times New Roman" w:cs="Times New Roman"/>
          <w:sz w:val="24"/>
          <w:szCs w:val="24"/>
        </w:rPr>
        <w:t xml:space="preserve">going war between Russia and Ukraine also creates a negative impact as it creates difficulty in the export and import pattern of business (Braun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2023). </w:t>
      </w:r>
    </w:p>
    <w:p w14:paraId="4C479069"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Economic factors: </w:t>
      </w:r>
      <w:r w:rsidRPr="00BF6631">
        <w:rPr>
          <w:rFonts w:ascii="Times New Roman" w:eastAsia="Times New Roman" w:hAnsi="Times New Roman" w:cs="Times New Roman"/>
          <w:sz w:val="24"/>
          <w:szCs w:val="24"/>
        </w:rPr>
        <w:t xml:space="preserve">The current inflation rate as of May 2024 was 2.8% which constantly changes due to the shift in consumer spending </w:t>
      </w:r>
      <w:r w:rsidRPr="00BF6631">
        <w:rPr>
          <w:rFonts w:ascii="Times New Roman" w:eastAsia="Times New Roman" w:hAnsi="Times New Roman" w:cs="Times New Roman"/>
          <w:sz w:val="24"/>
          <w:szCs w:val="24"/>
          <w:highlight w:val="white"/>
        </w:rPr>
        <w:t>(Ons.gov.uk, 2021)</w:t>
      </w:r>
      <w:r w:rsidRPr="00BF6631">
        <w:rPr>
          <w:rFonts w:ascii="Times New Roman" w:eastAsia="Times New Roman" w:hAnsi="Times New Roman" w:cs="Times New Roman"/>
          <w:sz w:val="24"/>
          <w:szCs w:val="24"/>
        </w:rPr>
        <w:t xml:space="preserve">. This leads to a negative factor for Hook Norton Brewery as it reduces the spending and buying products of the customers from the brand. The interest rate of the UK is 5.25% which was reduced by 2% due to the inflation in the country creating a negative aspect for the organisation </w:t>
      </w:r>
      <w:r w:rsidRPr="00BF6631">
        <w:rPr>
          <w:rFonts w:ascii="Times New Roman" w:eastAsia="Times New Roman" w:hAnsi="Times New Roman" w:cs="Times New Roman"/>
          <w:sz w:val="24"/>
          <w:szCs w:val="24"/>
          <w:highlight w:val="white"/>
        </w:rPr>
        <w:t xml:space="preserve">(Peachey, 2021). The employment rate in the UK as of 2023 was 75% which saw a potential increase of 3.8% from 2022 (Watson, 2024). This creates a positive influence for </w:t>
      </w:r>
      <w:r w:rsidRPr="00BF6631">
        <w:rPr>
          <w:rFonts w:ascii="Times New Roman" w:eastAsia="Times New Roman" w:hAnsi="Times New Roman" w:cs="Times New Roman"/>
          <w:sz w:val="24"/>
          <w:szCs w:val="24"/>
        </w:rPr>
        <w:t xml:space="preserve">Hook Norton Brewery in offering employment within the brewing marketplace. </w:t>
      </w:r>
      <w:r w:rsidRPr="00BF6631">
        <w:rPr>
          <w:rFonts w:ascii="Times New Roman" w:eastAsia="Times New Roman" w:hAnsi="Times New Roman" w:cs="Times New Roman"/>
          <w:sz w:val="24"/>
          <w:szCs w:val="24"/>
          <w:highlight w:val="white"/>
        </w:rPr>
        <w:t xml:space="preserve"> </w:t>
      </w:r>
      <w:r w:rsidRPr="00BF6631">
        <w:rPr>
          <w:rFonts w:ascii="Times New Roman" w:eastAsia="Times New Roman" w:hAnsi="Times New Roman" w:cs="Times New Roman"/>
          <w:sz w:val="24"/>
          <w:szCs w:val="24"/>
        </w:rPr>
        <w:t xml:space="preserve"> </w:t>
      </w:r>
    </w:p>
    <w:p w14:paraId="4C47906A"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Social factors: </w:t>
      </w:r>
      <w:r w:rsidRPr="00BF6631">
        <w:rPr>
          <w:rFonts w:ascii="Times New Roman" w:eastAsia="Times New Roman" w:hAnsi="Times New Roman" w:cs="Times New Roman"/>
          <w:sz w:val="24"/>
          <w:szCs w:val="24"/>
        </w:rPr>
        <w:t xml:space="preserve">The increasing market demand for traditional and crafted brewery products creates a positive influence. This leads to meeting the requirements of the locally sourced artisanal products that also help in creating an advantage for Hook Norton Brewery. The increasing demand of customers regarding the health-consciousness aspects can create an impact on the drinking habits of the customers (Pappalardo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2020). This might influence the buying process of the customers for Hook Norton Brewery which can also reduce the consumption of alcohol. The changes in the demographics within the population including age patterns can create a negative impact on the demand for the products in the marketplace. </w:t>
      </w:r>
    </w:p>
    <w:p w14:paraId="4C47906B"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Technological factors: </w:t>
      </w:r>
      <w:r w:rsidRPr="00BF6631">
        <w:rPr>
          <w:rFonts w:ascii="Times New Roman" w:eastAsia="Times New Roman" w:hAnsi="Times New Roman" w:cs="Times New Roman"/>
          <w:sz w:val="24"/>
          <w:szCs w:val="24"/>
        </w:rPr>
        <w:t>The advancement in brewing technology can create a positive impact in enriching the production effectiveness as well as on product quality. Hook Norton Brewery can face a positive influence from such an aspect as it will lead to maintaining innovation with their traditional brewing methods. The increase in the e-commerce market also creates a positive impact on the brewery sector as it leads towards developing the opportunity while enhancing direct-to-consumer sales as well as reaching the broader aspect of the marketplace (</w:t>
      </w:r>
      <w:proofErr w:type="spellStart"/>
      <w:r w:rsidRPr="00BF6631">
        <w:rPr>
          <w:rFonts w:ascii="Times New Roman" w:eastAsia="Times New Roman" w:hAnsi="Times New Roman" w:cs="Times New Roman"/>
          <w:sz w:val="24"/>
          <w:szCs w:val="24"/>
        </w:rPr>
        <w:t>Rîpa</w:t>
      </w:r>
      <w:proofErr w:type="spellEnd"/>
      <w:r w:rsidRPr="00BF6631">
        <w:rPr>
          <w:rFonts w:ascii="Times New Roman" w:eastAsia="Times New Roman" w:hAnsi="Times New Roman" w:cs="Times New Roman"/>
          <w:sz w:val="24"/>
          <w:szCs w:val="24"/>
        </w:rPr>
        <w:t xml:space="preserve"> and Nicolescu, 2023). Data security while technological advancement can create a </w:t>
      </w:r>
      <w:r w:rsidRPr="00BF6631">
        <w:rPr>
          <w:rFonts w:ascii="Times New Roman" w:eastAsia="Times New Roman" w:hAnsi="Times New Roman" w:cs="Times New Roman"/>
          <w:sz w:val="24"/>
          <w:szCs w:val="24"/>
        </w:rPr>
        <w:lastRenderedPageBreak/>
        <w:t xml:space="preserve">negative factor for Hook Norton Brewery as it might lead to the theft of privacy and information of customers. This might reduce the transparency and visibility of the organisation. </w:t>
      </w:r>
    </w:p>
    <w:p w14:paraId="4C47906C"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Legal factors: </w:t>
      </w:r>
      <w:r w:rsidRPr="00BF6631">
        <w:rPr>
          <w:rFonts w:ascii="Times New Roman" w:eastAsia="Times New Roman" w:hAnsi="Times New Roman" w:cs="Times New Roman"/>
          <w:sz w:val="24"/>
          <w:szCs w:val="24"/>
        </w:rPr>
        <w:t xml:space="preserve">The UK government has implemented different legislations to maintain the effective security and privacy of the brewery sector. The government of the UK has implemented the “Employment Rights Act 1996” which highlights maintaining effective transparency by protecting the rights of the employees by the employers </w:t>
      </w:r>
      <w:r w:rsidRPr="00BF6631">
        <w:rPr>
          <w:rFonts w:ascii="Times New Roman" w:eastAsia="Times New Roman" w:hAnsi="Times New Roman" w:cs="Times New Roman"/>
          <w:sz w:val="24"/>
          <w:szCs w:val="24"/>
          <w:highlight w:val="white"/>
        </w:rPr>
        <w:t>(Legislation.gov.uk, 2024)</w:t>
      </w:r>
      <w:r w:rsidRPr="00BF6631">
        <w:rPr>
          <w:rFonts w:ascii="Times New Roman" w:eastAsia="Times New Roman" w:hAnsi="Times New Roman" w:cs="Times New Roman"/>
          <w:sz w:val="24"/>
          <w:szCs w:val="24"/>
        </w:rPr>
        <w:t xml:space="preserve">. The negligence of the legislation creates a legal obligation for Hook Norton Brewery. The brewery sector also ensures the implementation of the IPR to protect the recipes and brand through their trademarks. This might create a positive impact for Hook Norton Brewery in securing and maintaining its competitive edge in the marketplace. </w:t>
      </w:r>
    </w:p>
    <w:p w14:paraId="4C47906D"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Environmental factors: </w:t>
      </w:r>
      <w:r w:rsidRPr="00BF6631">
        <w:rPr>
          <w:rFonts w:ascii="Times New Roman" w:eastAsia="Times New Roman" w:hAnsi="Times New Roman" w:cs="Times New Roman"/>
          <w:sz w:val="24"/>
          <w:szCs w:val="24"/>
        </w:rPr>
        <w:t xml:space="preserve">The increasing focus on sustainability needs the brewery to effectively initiate the eco-friendly aspects. Such practices include energy effectiveness, recycling and reduction of waste. The UK government has also implemented the “Environmental Protection Act of 1990” to ensure initiating sustainability and eco-friendly practices </w:t>
      </w:r>
      <w:r w:rsidRPr="00BF6631">
        <w:rPr>
          <w:rFonts w:ascii="Times New Roman" w:eastAsia="Times New Roman" w:hAnsi="Times New Roman" w:cs="Times New Roman"/>
          <w:sz w:val="24"/>
          <w:szCs w:val="24"/>
          <w:highlight w:val="white"/>
        </w:rPr>
        <w:t>(Legislation.gov.uk, 2024)</w:t>
      </w:r>
      <w:r w:rsidRPr="00BF6631">
        <w:rPr>
          <w:rFonts w:ascii="Times New Roman" w:eastAsia="Times New Roman" w:hAnsi="Times New Roman" w:cs="Times New Roman"/>
          <w:sz w:val="24"/>
          <w:szCs w:val="24"/>
        </w:rPr>
        <w:t xml:space="preserve">. The constant changes in the climatic patterns also create a negative impact on the raw materials cost and the availability of the products. Compliance with the regulations on carbon emission, waste disposal and the use of resources is crucial to neglect the issues and penalties of Hook Norton Brewery. </w:t>
      </w:r>
    </w:p>
    <w:p w14:paraId="4C47906E" w14:textId="77777777" w:rsidR="00F13646" w:rsidRPr="00BF6631" w:rsidRDefault="007B349A">
      <w:pPr>
        <w:spacing w:line="360" w:lineRule="auto"/>
        <w:ind w:right="-40"/>
        <w:jc w:val="both"/>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SWOT Analysis </w:t>
      </w:r>
    </w:p>
    <w:p w14:paraId="4C47906F" w14:textId="77777777" w:rsidR="00F13646" w:rsidRPr="00BF6631" w:rsidRDefault="007B349A">
      <w:pPr>
        <w:spacing w:line="360" w:lineRule="auto"/>
        <w:ind w:right="-40"/>
        <w:jc w:val="both"/>
      </w:pPr>
      <w:r w:rsidRPr="00BF6631">
        <w:rPr>
          <w:rFonts w:ascii="Times New Roman" w:eastAsia="Times New Roman" w:hAnsi="Times New Roman" w:cs="Times New Roman"/>
          <w:b/>
          <w:sz w:val="24"/>
          <w:szCs w:val="24"/>
        </w:rPr>
        <w:t xml:space="preserve">Strengths: </w:t>
      </w:r>
      <w:r w:rsidRPr="00BF6631">
        <w:rPr>
          <w:rFonts w:ascii="Times New Roman" w:eastAsia="Times New Roman" w:hAnsi="Times New Roman" w:cs="Times New Roman"/>
          <w:sz w:val="24"/>
          <w:szCs w:val="24"/>
        </w:rPr>
        <w:t>Hook Norton Brewery possesses a history of a great traditional grieving technique that leads to attracting the consumers of the marketplace who value traditions and authenticity. The brand e</w:t>
      </w:r>
      <w:r w:rsidR="00BF6631" w:rsidRPr="00BF6631">
        <w:rPr>
          <w:rFonts w:ascii="Times New Roman" w:eastAsia="Times New Roman" w:hAnsi="Times New Roman" w:cs="Times New Roman"/>
          <w:sz w:val="24"/>
          <w:szCs w:val="24"/>
        </w:rPr>
        <w:t>ngages in producing different ra</w:t>
      </w:r>
      <w:r w:rsidRPr="00BF6631">
        <w:rPr>
          <w:rFonts w:ascii="Times New Roman" w:eastAsia="Times New Roman" w:hAnsi="Times New Roman" w:cs="Times New Roman"/>
          <w:sz w:val="24"/>
          <w:szCs w:val="24"/>
        </w:rPr>
        <w:t>nges of bravery products which are widely known for their effective quality as well as flavours which leads to attracting the traditional market. Hook Norton Brewery possesses a great local presence as it engages with the local community which leads to enhancing its loyalty in the marketplace (Hook Norton Brewery, 2024). Hook Norton Brewery also leads in attracting the visitor experience through enriching brand loyalty with their sustainable efforts which focus on their commitment towards enhancing the customer value within the marketplace.</w:t>
      </w:r>
    </w:p>
    <w:p w14:paraId="4C479070" w14:textId="77777777" w:rsidR="00F13646" w:rsidRPr="00BF6631" w:rsidRDefault="007B349A">
      <w:pPr>
        <w:spacing w:line="360" w:lineRule="auto"/>
        <w:ind w:right="-40"/>
        <w:jc w:val="both"/>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Weaknesses: </w:t>
      </w:r>
      <w:r w:rsidRPr="00BF6631">
        <w:rPr>
          <w:rFonts w:ascii="Times New Roman" w:eastAsia="Times New Roman" w:hAnsi="Times New Roman" w:cs="Times New Roman"/>
          <w:sz w:val="24"/>
          <w:szCs w:val="24"/>
        </w:rPr>
        <w:t xml:space="preserve">Hook Norton Brewery faces certain weaknesses of limited reach within the marketplace which can reduce their effective growth opportunities as compared with the other large market competitors. The over-reliance of the brand on traditional methods creates a weakness of reliability as well as adaptability within the new demands of the marketplace (Historic Houses, 2024). The traditional mode of brewing pattern as well as high ingredients </w:t>
      </w:r>
      <w:r w:rsidRPr="00BF6631">
        <w:rPr>
          <w:rFonts w:ascii="Times New Roman" w:eastAsia="Times New Roman" w:hAnsi="Times New Roman" w:cs="Times New Roman"/>
          <w:sz w:val="24"/>
          <w:szCs w:val="24"/>
        </w:rPr>
        <w:lastRenderedPageBreak/>
        <w:t xml:space="preserve">creates a weakness of increase in the production cost which leads to influencing their price competitiveness. </w:t>
      </w:r>
    </w:p>
    <w:p w14:paraId="4C479071" w14:textId="77777777" w:rsidR="00F13646" w:rsidRPr="00BF6631" w:rsidRDefault="007B349A">
      <w:pPr>
        <w:spacing w:line="360" w:lineRule="auto"/>
        <w:ind w:right="-40"/>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 xml:space="preserve">Opportunities: </w:t>
      </w:r>
      <w:r w:rsidRPr="00BF6631">
        <w:rPr>
          <w:rFonts w:ascii="Times New Roman" w:eastAsia="Times New Roman" w:hAnsi="Times New Roman" w:cs="Times New Roman"/>
          <w:sz w:val="24"/>
          <w:szCs w:val="24"/>
        </w:rPr>
        <w:t xml:space="preserve">There are certain opportunities that can be encountered by Hook Norton Brewery which focus on the expansion within the new markets. The organisation can face the opportunity to expand into new local markets that will help in attracting new target customers. The brand can also deal in developing new products that will help in attracting a wider audience as well as sustain the changes in market preferences. The advancement of digital marketing, as well as e-commerce platforms, will also support in advance in divisibility as well as the sales medium of the brand (Naujoks, 2020). Hook Norton Brewery can also create a strategic alliance with other local businesses as well as international organisations which will help in forming a partnership as well as tapping into new marketplaces. </w:t>
      </w:r>
    </w:p>
    <w:p w14:paraId="4C479072" w14:textId="77777777" w:rsidR="00F13646" w:rsidRPr="00BF6631" w:rsidRDefault="007B349A">
      <w:pPr>
        <w:spacing w:line="360" w:lineRule="auto"/>
        <w:ind w:right="-40"/>
        <w:jc w:val="both"/>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Threats: </w:t>
      </w:r>
      <w:r w:rsidRPr="00BF6631">
        <w:rPr>
          <w:rFonts w:ascii="Times New Roman" w:eastAsia="Times New Roman" w:hAnsi="Times New Roman" w:cs="Times New Roman"/>
          <w:sz w:val="24"/>
          <w:szCs w:val="24"/>
        </w:rPr>
        <w:t xml:space="preserve">Hook Norton Brewery can face the threat of an economic downturn which might be caused due to fluctuations that can create an influence on the spending of the market customers within the brand's premium range of products. The changes in the regulatory patterns imposed by the government can create a negative impact on the cost as well as operations of the brand for the brewery market (Ramjaun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2024). High competition in the marketplace might create a threat to expanding their offering in a new market. Disruption in the supply chain medium can also create a threat as it might be to environmental uncertainty within the brand.</w:t>
      </w:r>
    </w:p>
    <w:p w14:paraId="4C479073" w14:textId="77777777" w:rsidR="00F13646" w:rsidRPr="00BF6631" w:rsidRDefault="007B349A">
      <w:pPr>
        <w:pStyle w:val="Heading2"/>
      </w:pPr>
      <w:bookmarkStart w:id="11" w:name="_4c9iasd6x92b" w:colFirst="0" w:colLast="0"/>
      <w:bookmarkStart w:id="12" w:name="_Toc170581932"/>
      <w:bookmarkEnd w:id="11"/>
      <w:r w:rsidRPr="00BF6631">
        <w:t>Stakeholder analysis and expectations of the different stakeholders</w:t>
      </w:r>
      <w:bookmarkEnd w:id="12"/>
      <w:r w:rsidRPr="00BF6631">
        <w:t xml:space="preserv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F13646" w:rsidRPr="00BF6631" w14:paraId="4C479077" w14:textId="77777777">
        <w:tc>
          <w:tcPr>
            <w:tcW w:w="3009" w:type="dxa"/>
            <w:shd w:val="clear" w:color="auto" w:fill="0000FF"/>
            <w:tcMar>
              <w:top w:w="100" w:type="dxa"/>
              <w:left w:w="100" w:type="dxa"/>
              <w:bottom w:w="100" w:type="dxa"/>
              <w:right w:w="100" w:type="dxa"/>
            </w:tcMar>
          </w:tcPr>
          <w:p w14:paraId="4C479074"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Stakeholders </w:t>
            </w:r>
          </w:p>
        </w:tc>
        <w:tc>
          <w:tcPr>
            <w:tcW w:w="3009" w:type="dxa"/>
            <w:shd w:val="clear" w:color="auto" w:fill="0000FF"/>
            <w:tcMar>
              <w:top w:w="100" w:type="dxa"/>
              <w:left w:w="100" w:type="dxa"/>
              <w:bottom w:w="100" w:type="dxa"/>
              <w:right w:w="100" w:type="dxa"/>
            </w:tcMar>
          </w:tcPr>
          <w:p w14:paraId="4C479075"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Expectations </w:t>
            </w:r>
          </w:p>
        </w:tc>
        <w:tc>
          <w:tcPr>
            <w:tcW w:w="3009" w:type="dxa"/>
            <w:shd w:val="clear" w:color="auto" w:fill="0000FF"/>
            <w:tcMar>
              <w:top w:w="100" w:type="dxa"/>
              <w:left w:w="100" w:type="dxa"/>
              <w:bottom w:w="100" w:type="dxa"/>
              <w:right w:w="100" w:type="dxa"/>
            </w:tcMar>
          </w:tcPr>
          <w:p w14:paraId="4C479076"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Power/Influence </w:t>
            </w:r>
          </w:p>
        </w:tc>
      </w:tr>
      <w:tr w:rsidR="00F13646" w:rsidRPr="00BF6631" w14:paraId="4C47907B" w14:textId="77777777">
        <w:tc>
          <w:tcPr>
            <w:tcW w:w="3009" w:type="dxa"/>
            <w:shd w:val="clear" w:color="auto" w:fill="C9DAF8"/>
            <w:tcMar>
              <w:top w:w="100" w:type="dxa"/>
              <w:left w:w="100" w:type="dxa"/>
              <w:bottom w:w="100" w:type="dxa"/>
              <w:right w:w="100" w:type="dxa"/>
            </w:tcMar>
          </w:tcPr>
          <w:p w14:paraId="4C479078"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Owners </w:t>
            </w:r>
          </w:p>
        </w:tc>
        <w:tc>
          <w:tcPr>
            <w:tcW w:w="3009" w:type="dxa"/>
            <w:shd w:val="clear" w:color="auto" w:fill="C9DAF8"/>
            <w:tcMar>
              <w:top w:w="100" w:type="dxa"/>
              <w:left w:w="100" w:type="dxa"/>
              <w:bottom w:w="100" w:type="dxa"/>
              <w:right w:w="100" w:type="dxa"/>
            </w:tcMar>
          </w:tcPr>
          <w:p w14:paraId="4C479079"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Sustainable growth, profitability, preserving the brand </w:t>
            </w:r>
          </w:p>
        </w:tc>
        <w:tc>
          <w:tcPr>
            <w:tcW w:w="3009" w:type="dxa"/>
            <w:shd w:val="clear" w:color="auto" w:fill="C9DAF8"/>
            <w:tcMar>
              <w:top w:w="100" w:type="dxa"/>
              <w:left w:w="100" w:type="dxa"/>
              <w:bottom w:w="100" w:type="dxa"/>
              <w:right w:w="100" w:type="dxa"/>
            </w:tcMar>
          </w:tcPr>
          <w:p w14:paraId="4C47907A"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High </w:t>
            </w:r>
          </w:p>
        </w:tc>
      </w:tr>
      <w:tr w:rsidR="00F13646" w:rsidRPr="00BF6631" w14:paraId="4C47907F" w14:textId="77777777">
        <w:tc>
          <w:tcPr>
            <w:tcW w:w="3009" w:type="dxa"/>
            <w:shd w:val="clear" w:color="auto" w:fill="C9DAF8"/>
            <w:tcMar>
              <w:top w:w="100" w:type="dxa"/>
              <w:left w:w="100" w:type="dxa"/>
              <w:bottom w:w="100" w:type="dxa"/>
              <w:right w:w="100" w:type="dxa"/>
            </w:tcMar>
          </w:tcPr>
          <w:p w14:paraId="4C47907C"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Customers </w:t>
            </w:r>
          </w:p>
        </w:tc>
        <w:tc>
          <w:tcPr>
            <w:tcW w:w="3009" w:type="dxa"/>
            <w:shd w:val="clear" w:color="auto" w:fill="C9DAF8"/>
            <w:tcMar>
              <w:top w:w="100" w:type="dxa"/>
              <w:left w:w="100" w:type="dxa"/>
              <w:bottom w:w="100" w:type="dxa"/>
              <w:right w:w="100" w:type="dxa"/>
            </w:tcMar>
          </w:tcPr>
          <w:p w14:paraId="4C47907D"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High product quality, fair and competitive pricing and differentiated ranges of products </w:t>
            </w:r>
          </w:p>
        </w:tc>
        <w:tc>
          <w:tcPr>
            <w:tcW w:w="3009" w:type="dxa"/>
            <w:shd w:val="clear" w:color="auto" w:fill="C9DAF8"/>
            <w:tcMar>
              <w:top w:w="100" w:type="dxa"/>
              <w:left w:w="100" w:type="dxa"/>
              <w:bottom w:w="100" w:type="dxa"/>
              <w:right w:w="100" w:type="dxa"/>
            </w:tcMar>
          </w:tcPr>
          <w:p w14:paraId="4C47907E"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Medium </w:t>
            </w:r>
          </w:p>
        </w:tc>
      </w:tr>
      <w:tr w:rsidR="00F13646" w:rsidRPr="00BF6631" w14:paraId="4C479083" w14:textId="77777777">
        <w:tc>
          <w:tcPr>
            <w:tcW w:w="3009" w:type="dxa"/>
            <w:shd w:val="clear" w:color="auto" w:fill="C9DAF8"/>
            <w:tcMar>
              <w:top w:w="100" w:type="dxa"/>
              <w:left w:w="100" w:type="dxa"/>
              <w:bottom w:w="100" w:type="dxa"/>
              <w:right w:w="100" w:type="dxa"/>
            </w:tcMar>
          </w:tcPr>
          <w:p w14:paraId="4C479080"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Regulatory bodies </w:t>
            </w:r>
          </w:p>
        </w:tc>
        <w:tc>
          <w:tcPr>
            <w:tcW w:w="3009" w:type="dxa"/>
            <w:shd w:val="clear" w:color="auto" w:fill="C9DAF8"/>
            <w:tcMar>
              <w:top w:w="100" w:type="dxa"/>
              <w:left w:w="100" w:type="dxa"/>
              <w:bottom w:w="100" w:type="dxa"/>
              <w:right w:w="100" w:type="dxa"/>
            </w:tcMar>
          </w:tcPr>
          <w:p w14:paraId="4C479081"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Legal compliance with regulations and laws involving environmental </w:t>
            </w:r>
            <w:r w:rsidRPr="00BF6631">
              <w:rPr>
                <w:rFonts w:ascii="Times New Roman" w:eastAsia="Times New Roman" w:hAnsi="Times New Roman" w:cs="Times New Roman"/>
                <w:sz w:val="24"/>
                <w:szCs w:val="24"/>
              </w:rPr>
              <w:lastRenderedPageBreak/>
              <w:t xml:space="preserve">standards and health and safety </w:t>
            </w:r>
          </w:p>
        </w:tc>
        <w:tc>
          <w:tcPr>
            <w:tcW w:w="3009" w:type="dxa"/>
            <w:shd w:val="clear" w:color="auto" w:fill="C9DAF8"/>
            <w:tcMar>
              <w:top w:w="100" w:type="dxa"/>
              <w:left w:w="100" w:type="dxa"/>
              <w:bottom w:w="100" w:type="dxa"/>
              <w:right w:w="100" w:type="dxa"/>
            </w:tcMar>
          </w:tcPr>
          <w:p w14:paraId="4C479082"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lastRenderedPageBreak/>
              <w:t xml:space="preserve">High </w:t>
            </w:r>
          </w:p>
        </w:tc>
      </w:tr>
      <w:tr w:rsidR="00F13646" w:rsidRPr="00BF6631" w14:paraId="4C479087" w14:textId="77777777">
        <w:tc>
          <w:tcPr>
            <w:tcW w:w="3009" w:type="dxa"/>
            <w:shd w:val="clear" w:color="auto" w:fill="C9DAF8"/>
            <w:tcMar>
              <w:top w:w="100" w:type="dxa"/>
              <w:left w:w="100" w:type="dxa"/>
              <w:bottom w:w="100" w:type="dxa"/>
              <w:right w:w="100" w:type="dxa"/>
            </w:tcMar>
          </w:tcPr>
          <w:p w14:paraId="4C479084"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Employees </w:t>
            </w:r>
          </w:p>
        </w:tc>
        <w:tc>
          <w:tcPr>
            <w:tcW w:w="3009" w:type="dxa"/>
            <w:shd w:val="clear" w:color="auto" w:fill="C9DAF8"/>
            <w:tcMar>
              <w:top w:w="100" w:type="dxa"/>
              <w:left w:w="100" w:type="dxa"/>
              <w:bottom w:w="100" w:type="dxa"/>
              <w:right w:w="100" w:type="dxa"/>
            </w:tcMar>
          </w:tcPr>
          <w:p w14:paraId="4C479085"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Fair wages, working environment, job security and career growth </w:t>
            </w:r>
          </w:p>
        </w:tc>
        <w:tc>
          <w:tcPr>
            <w:tcW w:w="3009" w:type="dxa"/>
            <w:shd w:val="clear" w:color="auto" w:fill="C9DAF8"/>
            <w:tcMar>
              <w:top w:w="100" w:type="dxa"/>
              <w:left w:w="100" w:type="dxa"/>
              <w:bottom w:w="100" w:type="dxa"/>
              <w:right w:w="100" w:type="dxa"/>
            </w:tcMar>
          </w:tcPr>
          <w:p w14:paraId="4C479086" w14:textId="77777777" w:rsidR="00F13646" w:rsidRPr="00BF6631" w:rsidRDefault="00F13646">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p>
        </w:tc>
      </w:tr>
      <w:tr w:rsidR="00F13646" w:rsidRPr="00BF6631" w14:paraId="4C47908B" w14:textId="77777777">
        <w:tc>
          <w:tcPr>
            <w:tcW w:w="3009" w:type="dxa"/>
            <w:shd w:val="clear" w:color="auto" w:fill="C9DAF8"/>
            <w:tcMar>
              <w:top w:w="100" w:type="dxa"/>
              <w:left w:w="100" w:type="dxa"/>
              <w:bottom w:w="100" w:type="dxa"/>
              <w:right w:w="100" w:type="dxa"/>
            </w:tcMar>
          </w:tcPr>
          <w:p w14:paraId="4C479088"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Local community </w:t>
            </w:r>
          </w:p>
        </w:tc>
        <w:tc>
          <w:tcPr>
            <w:tcW w:w="3009" w:type="dxa"/>
            <w:shd w:val="clear" w:color="auto" w:fill="C9DAF8"/>
            <w:tcMar>
              <w:top w:w="100" w:type="dxa"/>
              <w:left w:w="100" w:type="dxa"/>
              <w:bottom w:w="100" w:type="dxa"/>
              <w:right w:w="100" w:type="dxa"/>
            </w:tcMar>
          </w:tcPr>
          <w:p w14:paraId="4C479089"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Job opportunities, economic contribution and local events support </w:t>
            </w:r>
          </w:p>
        </w:tc>
        <w:tc>
          <w:tcPr>
            <w:tcW w:w="3009" w:type="dxa"/>
            <w:shd w:val="clear" w:color="auto" w:fill="C9DAF8"/>
            <w:tcMar>
              <w:top w:w="100" w:type="dxa"/>
              <w:left w:w="100" w:type="dxa"/>
              <w:bottom w:w="100" w:type="dxa"/>
              <w:right w:w="100" w:type="dxa"/>
            </w:tcMar>
          </w:tcPr>
          <w:p w14:paraId="4C47908A"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Medium </w:t>
            </w:r>
          </w:p>
        </w:tc>
      </w:tr>
      <w:tr w:rsidR="00F13646" w:rsidRPr="00BF6631" w14:paraId="4C47908F" w14:textId="77777777">
        <w:tc>
          <w:tcPr>
            <w:tcW w:w="3009" w:type="dxa"/>
            <w:shd w:val="clear" w:color="auto" w:fill="C9DAF8"/>
            <w:tcMar>
              <w:top w:w="100" w:type="dxa"/>
              <w:left w:w="100" w:type="dxa"/>
              <w:bottom w:w="100" w:type="dxa"/>
              <w:right w:w="100" w:type="dxa"/>
            </w:tcMar>
          </w:tcPr>
          <w:p w14:paraId="4C47908C"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Competitors </w:t>
            </w:r>
          </w:p>
        </w:tc>
        <w:tc>
          <w:tcPr>
            <w:tcW w:w="3009" w:type="dxa"/>
            <w:shd w:val="clear" w:color="auto" w:fill="C9DAF8"/>
            <w:tcMar>
              <w:top w:w="100" w:type="dxa"/>
              <w:left w:w="100" w:type="dxa"/>
              <w:bottom w:w="100" w:type="dxa"/>
              <w:right w:w="100" w:type="dxa"/>
            </w:tcMar>
          </w:tcPr>
          <w:p w14:paraId="4C47908D"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Competitive market, on</w:t>
            </w:r>
            <w:r w:rsidR="00BF6631" w:rsidRPr="00BF6631">
              <w:rPr>
                <w:rFonts w:ascii="Times New Roman" w:eastAsia="Times New Roman" w:hAnsi="Times New Roman" w:cs="Times New Roman"/>
                <w:sz w:val="24"/>
                <w:szCs w:val="24"/>
              </w:rPr>
              <w:t>-</w:t>
            </w:r>
            <w:r w:rsidRPr="00BF6631">
              <w:rPr>
                <w:rFonts w:ascii="Times New Roman" w:eastAsia="Times New Roman" w:hAnsi="Times New Roman" w:cs="Times New Roman"/>
                <w:sz w:val="24"/>
                <w:szCs w:val="24"/>
              </w:rPr>
              <w:t>going market trends and industry policies and standards</w:t>
            </w:r>
          </w:p>
        </w:tc>
        <w:tc>
          <w:tcPr>
            <w:tcW w:w="3009" w:type="dxa"/>
            <w:shd w:val="clear" w:color="auto" w:fill="C9DAF8"/>
            <w:tcMar>
              <w:top w:w="100" w:type="dxa"/>
              <w:left w:w="100" w:type="dxa"/>
              <w:bottom w:w="100" w:type="dxa"/>
              <w:right w:w="100" w:type="dxa"/>
            </w:tcMar>
          </w:tcPr>
          <w:p w14:paraId="4C47908E"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Low </w:t>
            </w:r>
          </w:p>
        </w:tc>
      </w:tr>
      <w:tr w:rsidR="00F13646" w:rsidRPr="00BF6631" w14:paraId="4C479093" w14:textId="77777777">
        <w:tc>
          <w:tcPr>
            <w:tcW w:w="3009" w:type="dxa"/>
            <w:shd w:val="clear" w:color="auto" w:fill="C9DAF8"/>
            <w:tcMar>
              <w:top w:w="100" w:type="dxa"/>
              <w:left w:w="100" w:type="dxa"/>
              <w:bottom w:w="100" w:type="dxa"/>
              <w:right w:w="100" w:type="dxa"/>
            </w:tcMar>
          </w:tcPr>
          <w:p w14:paraId="4C479090"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BF6631">
              <w:rPr>
                <w:rFonts w:ascii="Times New Roman" w:eastAsia="Times New Roman" w:hAnsi="Times New Roman" w:cs="Times New Roman"/>
                <w:b/>
                <w:i/>
                <w:sz w:val="24"/>
                <w:szCs w:val="24"/>
              </w:rPr>
              <w:t xml:space="preserve">Suppliers </w:t>
            </w:r>
          </w:p>
        </w:tc>
        <w:tc>
          <w:tcPr>
            <w:tcW w:w="3009" w:type="dxa"/>
            <w:shd w:val="clear" w:color="auto" w:fill="C9DAF8"/>
            <w:tcMar>
              <w:top w:w="100" w:type="dxa"/>
              <w:left w:w="100" w:type="dxa"/>
              <w:bottom w:w="100" w:type="dxa"/>
              <w:right w:w="100" w:type="dxa"/>
            </w:tcMar>
          </w:tcPr>
          <w:p w14:paraId="4C479091" w14:textId="77777777" w:rsidR="00F13646" w:rsidRPr="00BF6631" w:rsidRDefault="007B349A">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Long-term contracts, sustainable practices and fair payment </w:t>
            </w:r>
          </w:p>
        </w:tc>
        <w:tc>
          <w:tcPr>
            <w:tcW w:w="3009" w:type="dxa"/>
            <w:shd w:val="clear" w:color="auto" w:fill="C9DAF8"/>
            <w:tcMar>
              <w:top w:w="100" w:type="dxa"/>
              <w:left w:w="100" w:type="dxa"/>
              <w:bottom w:w="100" w:type="dxa"/>
              <w:right w:w="100" w:type="dxa"/>
            </w:tcMar>
          </w:tcPr>
          <w:p w14:paraId="4C479092" w14:textId="77777777" w:rsidR="00F13646" w:rsidRPr="00BF6631" w:rsidRDefault="007B349A">
            <w:pPr>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Medium</w:t>
            </w:r>
          </w:p>
        </w:tc>
      </w:tr>
    </w:tbl>
    <w:p w14:paraId="4C479094" w14:textId="77777777" w:rsidR="00F13646" w:rsidRPr="00BF6631" w:rsidRDefault="007B349A">
      <w:pPr>
        <w:spacing w:line="360" w:lineRule="auto"/>
        <w:ind w:right="-182"/>
        <w:jc w:val="center"/>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Table 1: Stakeholder Analysis </w:t>
      </w:r>
    </w:p>
    <w:p w14:paraId="4C479095" w14:textId="77777777" w:rsidR="00F13646" w:rsidRPr="00BF6631" w:rsidRDefault="007B349A">
      <w:pPr>
        <w:spacing w:line="360" w:lineRule="auto"/>
        <w:ind w:right="-182"/>
        <w:jc w:val="center"/>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(Source: Created by the learner)</w:t>
      </w:r>
    </w:p>
    <w:p w14:paraId="4C479096"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The owners of Hook Norton Brewery are decision makers as they have potential influence on the strategic direction of the organisation. They ensured making questions so that effective growth and development within the brand is maintained. Customers possess medium power and an engagement towards the brand through different expectations incorporating their experience in high product quality and fair pricing. The customers within the marketplace possess medium power as they create a direct influence on the revenue and sales perception offering a moderate impact on the marketplace (Pappalardo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2020). Such impact is emphasised in the offerings of Hook Norton Brewery and its effective marketing strategies. Another stakeholder that influences the organisation's strategic decision is regulatory bodies as they ensure meeting regulations which incorporate environmental standards as well as health and safety policy. The regulatory bodies involving the government process the high power of influence to ensure different enforcement of compliance levels within the organisation (Ramjaun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2024). This creates and influences the operations as well as the financial aspect of the performance of the brand. Employees are also regarded as crucial stakeholders of the brand as they cause different </w:t>
      </w:r>
      <w:r w:rsidRPr="00BF6631">
        <w:rPr>
          <w:rFonts w:ascii="Times New Roman" w:eastAsia="Times New Roman" w:hAnsi="Times New Roman" w:cs="Times New Roman"/>
          <w:sz w:val="24"/>
          <w:szCs w:val="24"/>
        </w:rPr>
        <w:lastRenderedPageBreak/>
        <w:t xml:space="preserve">expectations focusing on job security, working environment, career development opportunities as well and fair wages within the workplace environment. The employees of Hook Norton Brewery </w:t>
      </w:r>
      <w:r w:rsidR="00BF6631" w:rsidRPr="00BF6631">
        <w:rPr>
          <w:rFonts w:ascii="Times New Roman" w:eastAsia="Times New Roman" w:hAnsi="Times New Roman" w:cs="Times New Roman"/>
          <w:sz w:val="24"/>
          <w:szCs w:val="24"/>
        </w:rPr>
        <w:t xml:space="preserve">possess </w:t>
      </w:r>
      <w:r w:rsidRPr="00BF6631">
        <w:rPr>
          <w:rFonts w:ascii="Times New Roman" w:eastAsia="Times New Roman" w:hAnsi="Times New Roman" w:cs="Times New Roman"/>
          <w:sz w:val="24"/>
          <w:szCs w:val="24"/>
        </w:rPr>
        <w:t>medium power of influence as they are necessary for maintaining effective operations within the organisation. The power of employees is often indulged in management decisions. The influence of management aspects creates implications for their role within the organisation (Goel and Singh, 2024).</w:t>
      </w:r>
    </w:p>
    <w:p w14:paraId="4C479097"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Another stakeholder that creates an influence in the organisation is the local community as they are necessary for maintaining effective economic distribution, conducting local events as well and job creation within the environment. Local community caterers have medium power of influence as the brand engages in creating strong ties with the local community (</w:t>
      </w:r>
      <w:proofErr w:type="spellStart"/>
      <w:r w:rsidRPr="00BF6631">
        <w:rPr>
          <w:rFonts w:ascii="Times New Roman" w:eastAsia="Times New Roman" w:hAnsi="Times New Roman" w:cs="Times New Roman"/>
          <w:sz w:val="24"/>
          <w:szCs w:val="24"/>
        </w:rPr>
        <w:t>Discetti</w:t>
      </w:r>
      <w:proofErr w:type="spellEnd"/>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2020). The relationship and engagement with the local community create an influence on the local support of the brand as well as leading towards the reputation of the organisation within the marketplace. The other stakeholder that influences the strategic direction of Hook Norton Brewery is market competitors as they engage in analysing different competitive behaviour market Trends and the standards that are initiated within the sector. Competitors pose low power of influence as they do not create a direct influence on the decision of the brand but engage in creating an impact on the market environment and industry practices (Ramjaun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2024). Suppliers are regarded as crucial stakeholders as they initiate engaging with the supply of the raw materials for the organisation. The expectation of the stakeholder includes the long-term contract and sustainable practices through following the ethical sourcing criteria. They create a medium power of influence as a trustable supply chain is necessary as it leads to maintaining positive relations with the market suppliers. </w:t>
      </w:r>
    </w:p>
    <w:p w14:paraId="4C479098" w14:textId="77777777" w:rsidR="00F13646" w:rsidRPr="00BF6631" w:rsidRDefault="007B349A">
      <w:pPr>
        <w:pStyle w:val="Heading2"/>
      </w:pPr>
      <w:bookmarkStart w:id="13" w:name="_3vdexnmpymb1" w:colFirst="0" w:colLast="0"/>
      <w:bookmarkStart w:id="14" w:name="_Toc170581933"/>
      <w:bookmarkEnd w:id="13"/>
      <w:r w:rsidRPr="00BF6631">
        <w:t>Current and future strategic growth choices for SMEs in markets</w:t>
      </w:r>
      <w:bookmarkEnd w:id="14"/>
      <w:r w:rsidRPr="00BF6631">
        <w:t xml:space="preserve"> </w:t>
      </w:r>
    </w:p>
    <w:p w14:paraId="4C479099"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The current strategy of Hook Norton Brewery focuses on creating a balance within the tradition of innovation as well as developing a strong connection with the community. </w:t>
      </w:r>
      <w:proofErr w:type="gramStart"/>
      <w:r w:rsidRPr="00BF6631">
        <w:rPr>
          <w:rFonts w:ascii="Times New Roman" w:eastAsia="Times New Roman" w:hAnsi="Times New Roman" w:cs="Times New Roman"/>
          <w:sz w:val="24"/>
          <w:szCs w:val="24"/>
        </w:rPr>
        <w:t>Moreover</w:t>
      </w:r>
      <w:proofErr w:type="gramEnd"/>
      <w:r w:rsidRPr="00BF6631">
        <w:rPr>
          <w:rFonts w:ascii="Times New Roman" w:eastAsia="Times New Roman" w:hAnsi="Times New Roman" w:cs="Times New Roman"/>
          <w:sz w:val="24"/>
          <w:szCs w:val="24"/>
        </w:rPr>
        <w:t xml:space="preserve"> to maintain the long-term aspect of sustainability as well as market competitiveness within the dynamic marketplace the focus on new strategies can be initiated within the organisation. The new strategy that can be implemented by Hook Norton Brewery centralises product diversification with details on sustainability and health aspects. </w:t>
      </w:r>
    </w:p>
    <w:p w14:paraId="4C47909A" w14:textId="77777777" w:rsidR="00F13646" w:rsidRPr="00BF6631" w:rsidRDefault="007B349A">
      <w:pPr>
        <w:spacing w:line="360" w:lineRule="auto"/>
        <w:ind w:right="-182"/>
        <w:jc w:val="both"/>
        <w:rPr>
          <w:rFonts w:ascii="Times New Roman" w:eastAsia="Times New Roman" w:hAnsi="Times New Roman" w:cs="Times New Roman"/>
          <w:b/>
          <w:sz w:val="24"/>
          <w:szCs w:val="24"/>
        </w:rPr>
      </w:pPr>
      <w:r w:rsidRPr="00BF6631">
        <w:rPr>
          <w:rFonts w:ascii="Times New Roman" w:eastAsia="Times New Roman" w:hAnsi="Times New Roman" w:cs="Times New Roman"/>
          <w:b/>
          <w:sz w:val="24"/>
          <w:szCs w:val="24"/>
        </w:rPr>
        <w:t xml:space="preserve">Ansoff Matrix </w:t>
      </w:r>
    </w:p>
    <w:p w14:paraId="4C47909B"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 xml:space="preserve">Market penetration: </w:t>
      </w:r>
      <w:r w:rsidRPr="00BF6631">
        <w:rPr>
          <w:rFonts w:ascii="Times New Roman" w:eastAsia="Times New Roman" w:hAnsi="Times New Roman" w:cs="Times New Roman"/>
          <w:sz w:val="24"/>
          <w:szCs w:val="24"/>
        </w:rPr>
        <w:t xml:space="preserve">The understanding of market penetration details the ways of the process of how services and products are used by the market customers as compared with the total marketplace based on their services and products. Market penetration creates the advantage of effective diffusion as well as adapting to the products in the marketplace. This strategy details </w:t>
      </w:r>
      <w:r w:rsidRPr="00BF6631">
        <w:rPr>
          <w:rFonts w:ascii="Times New Roman" w:eastAsia="Times New Roman" w:hAnsi="Times New Roman" w:cs="Times New Roman"/>
          <w:sz w:val="24"/>
          <w:szCs w:val="24"/>
        </w:rPr>
        <w:lastRenderedPageBreak/>
        <w:t xml:space="preserve">the incentives to be effective and reduces the market competition (Choi and Koo, 2023). The strategy also creates the disadvantage of limited profit margins, reducing brand image and pricing war and risks.  </w:t>
      </w:r>
    </w:p>
    <w:p w14:paraId="4C47909C"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Market development:</w:t>
      </w:r>
      <w:r w:rsidRPr="00BF6631">
        <w:rPr>
          <w:rFonts w:ascii="Times New Roman" w:eastAsia="Times New Roman" w:hAnsi="Times New Roman" w:cs="Times New Roman"/>
          <w:sz w:val="24"/>
          <w:szCs w:val="24"/>
        </w:rPr>
        <w:t xml:space="preserve"> The market development strategy focuses on including the selling of existing services and products to new market customers. Market development creates the advantage of increasing the leads, revenue and sales by attracting a new market audience. The strategy also creates the disadvantage of high risks and expense on the products (Buccieri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2023). The current strategy of Hook Norton Brewery focuses on initiating market development as they focus on expanding their presence of the brand in different existing markets through enriching their local presence. </w:t>
      </w:r>
    </w:p>
    <w:p w14:paraId="4C47909D"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Product development:</w:t>
      </w:r>
      <w:r w:rsidRPr="00BF6631">
        <w:rPr>
          <w:rFonts w:ascii="Times New Roman" w:eastAsia="Times New Roman" w:hAnsi="Times New Roman" w:cs="Times New Roman"/>
          <w:sz w:val="24"/>
          <w:szCs w:val="24"/>
        </w:rPr>
        <w:t xml:space="preserve"> The strategy entails the marketing of the services and products on different existing markets or to a different market based on the demographic aspect. Product development creates the advantage of innovation and new opportunities for product growth (Anderson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2024). The strategy also creates the disadvantage of high cost of product development and political instability. Hook Norton Brewery implements such a strategy within its current practices by constantly developing its traditional brewery products within the marketplace. </w:t>
      </w:r>
    </w:p>
    <w:p w14:paraId="4C47909E"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Diversification:</w:t>
      </w:r>
      <w:r w:rsidRPr="00BF6631">
        <w:rPr>
          <w:rFonts w:ascii="Times New Roman" w:eastAsia="Times New Roman" w:hAnsi="Times New Roman" w:cs="Times New Roman"/>
          <w:sz w:val="24"/>
          <w:szCs w:val="24"/>
        </w:rPr>
        <w:t xml:space="preserve"> The diversification strategy focuses on the use of the aspect for the aspect of expanding the business in the new marketplaces. The strategy details focusing on the new product development in markets which can help the organisation to enhance its financial security, attracting larger target markets and effective industry growth (</w:t>
      </w:r>
      <w:proofErr w:type="spellStart"/>
      <w:r w:rsidRPr="00BF6631">
        <w:rPr>
          <w:rFonts w:ascii="Times New Roman" w:eastAsia="Times New Roman" w:hAnsi="Times New Roman" w:cs="Times New Roman"/>
          <w:sz w:val="24"/>
          <w:szCs w:val="24"/>
        </w:rPr>
        <w:t>Aljumah</w:t>
      </w:r>
      <w:proofErr w:type="spellEnd"/>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2021). Diversification creates the advantage of reducing the risk of investment failure. The strategy also creates the disadvantage of managing different portfolios and high investment risks due to wrong security levels. The proposed strategy based on product diversification can be initiated through this strategy by Hook Norton Brewery. The brand can implement a product diversification strategy by entering new markets with new ranges of products while sustaining the changes in customer preferences. This will ensure in meeting the requirements of the brewery products in the marketplace. </w:t>
      </w:r>
    </w:p>
    <w:p w14:paraId="4C47909F"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sz w:val="24"/>
          <w:szCs w:val="24"/>
        </w:rPr>
        <w:t>Porter’s Generic Strategies</w:t>
      </w:r>
      <w:r w:rsidRPr="00BF6631">
        <w:rPr>
          <w:rFonts w:ascii="Times New Roman" w:eastAsia="Times New Roman" w:hAnsi="Times New Roman" w:cs="Times New Roman"/>
          <w:sz w:val="24"/>
          <w:szCs w:val="24"/>
        </w:rPr>
        <w:t xml:space="preserve"> </w:t>
      </w:r>
    </w:p>
    <w:p w14:paraId="4C4790A0"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 xml:space="preserve">Cost leadership: </w:t>
      </w:r>
      <w:r w:rsidRPr="00BF6631">
        <w:rPr>
          <w:rFonts w:ascii="Times New Roman" w:eastAsia="Times New Roman" w:hAnsi="Times New Roman" w:cs="Times New Roman"/>
          <w:sz w:val="24"/>
          <w:szCs w:val="24"/>
        </w:rPr>
        <w:t>The understanding of cost leadership focuses on the minimising of production based on causes as well as offerings of the lowest products within their pricing range (</w:t>
      </w:r>
      <w:proofErr w:type="spellStart"/>
      <w:r w:rsidRPr="00BF6631">
        <w:rPr>
          <w:rFonts w:ascii="Times New Roman" w:eastAsia="Times New Roman" w:hAnsi="Times New Roman" w:cs="Times New Roman"/>
          <w:sz w:val="24"/>
          <w:szCs w:val="24"/>
        </w:rPr>
        <w:t>Kharub</w:t>
      </w:r>
      <w:proofErr w:type="spellEnd"/>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2022). This creates in outperforming the market competitors and obtaining an effective market share within the brand. The strategy creates the advantages of operational effectiveness, continuous improvement as well as effective market share within the brand. Cost leadership </w:t>
      </w:r>
      <w:r w:rsidRPr="00BF6631">
        <w:rPr>
          <w:rFonts w:ascii="Times New Roman" w:eastAsia="Times New Roman" w:hAnsi="Times New Roman" w:cs="Times New Roman"/>
          <w:sz w:val="24"/>
          <w:szCs w:val="24"/>
        </w:rPr>
        <w:lastRenderedPageBreak/>
        <w:t xml:space="preserve">also creates the disadvantages of high sales volume and limited adaptability to market changes. Cost leadership by Hook Norton Brewery is ensured through their premium range and competitive pricing range that leads to attracting the market customers within their brewery product ranges. </w:t>
      </w:r>
    </w:p>
    <w:p w14:paraId="4C4790A1"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Differentiation:</w:t>
      </w:r>
      <w:r w:rsidRPr="00BF6631">
        <w:rPr>
          <w:rFonts w:ascii="Times New Roman" w:eastAsia="Times New Roman" w:hAnsi="Times New Roman" w:cs="Times New Roman"/>
          <w:sz w:val="24"/>
          <w:szCs w:val="24"/>
        </w:rPr>
        <w:t xml:space="preserve"> A strategy is an approach which is initiated by a business to create a developing aspect in offering the market customers something new and unique by maintaining effective differentiation. Such differentiation is maintained from different ranges of items than their market committed within the marketplace</w:t>
      </w:r>
      <w:r w:rsidR="00BF6631" w:rsidRPr="00BF6631">
        <w:rPr>
          <w:rFonts w:ascii="Times New Roman" w:eastAsia="Times New Roman" w:hAnsi="Times New Roman" w:cs="Times New Roman"/>
          <w:sz w:val="24"/>
          <w:szCs w:val="24"/>
        </w:rPr>
        <w:t>.</w:t>
      </w:r>
      <w:r w:rsidRPr="00BF6631">
        <w:rPr>
          <w:rFonts w:ascii="Times New Roman" w:eastAsia="Times New Roman" w:hAnsi="Times New Roman" w:cs="Times New Roman"/>
          <w:sz w:val="24"/>
          <w:szCs w:val="24"/>
        </w:rPr>
        <w:t xml:space="preserve"> The crucial objective of initiating a differentiation strategy within the brand is to increase potential competitive advantage within the marketplace (</w:t>
      </w:r>
      <w:proofErr w:type="spellStart"/>
      <w:r w:rsidRPr="00BF6631">
        <w:rPr>
          <w:rFonts w:ascii="Times New Roman" w:eastAsia="Times New Roman" w:hAnsi="Times New Roman" w:cs="Times New Roman"/>
          <w:sz w:val="24"/>
          <w:szCs w:val="24"/>
        </w:rPr>
        <w:t>Aljumah</w:t>
      </w:r>
      <w:proofErr w:type="spellEnd"/>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2021). The strategy creates the advantage of product uniqueness while increasing the profit margin by maintaining customer loyalty.  The strategy also creates the disadvantage of limited resources and high requirements of time. The differentiation strategy can be implemented by Hook Norton Brewery to effectively engage in product diversification by maintaining health-conscious products. This will help in creating a wider range of products while </w:t>
      </w:r>
      <w:proofErr w:type="gramStart"/>
      <w:r w:rsidRPr="00BF6631">
        <w:rPr>
          <w:rFonts w:ascii="Times New Roman" w:eastAsia="Times New Roman" w:hAnsi="Times New Roman" w:cs="Times New Roman"/>
          <w:sz w:val="24"/>
          <w:szCs w:val="24"/>
        </w:rPr>
        <w:t>entering into</w:t>
      </w:r>
      <w:proofErr w:type="gramEnd"/>
      <w:r w:rsidRPr="00BF6631">
        <w:rPr>
          <w:rFonts w:ascii="Times New Roman" w:eastAsia="Times New Roman" w:hAnsi="Times New Roman" w:cs="Times New Roman"/>
          <w:sz w:val="24"/>
          <w:szCs w:val="24"/>
        </w:rPr>
        <w:t xml:space="preserve"> new marketplaces.  </w:t>
      </w:r>
    </w:p>
    <w:p w14:paraId="4C4790A2"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b/>
          <w:i/>
          <w:sz w:val="24"/>
          <w:szCs w:val="24"/>
        </w:rPr>
        <w:t>Focus:</w:t>
      </w:r>
      <w:r w:rsidRPr="00BF6631">
        <w:rPr>
          <w:rFonts w:ascii="Times New Roman" w:eastAsia="Times New Roman" w:hAnsi="Times New Roman" w:cs="Times New Roman"/>
          <w:sz w:val="24"/>
          <w:szCs w:val="24"/>
        </w:rPr>
        <w:t xml:space="preserve"> The aspects of the focus strategies centralisation on the method which is an initiative by businesses to incorporate within apply on the niche market of the target customers. The focus strategy creates the advantage of effective capabilities to sustain the issues in an effective way as implemented by other larger brands (Anderson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2024). The strategy also creates the disadvantage of a niche market which leads to disappearance due to the market changes as it is caused due to shifts within technology and regulations. Hook Norton Brewery implements the focus strategy to target their market customers through their traditional brewery product partners which also leads to enriching the growth of the brand. </w:t>
      </w:r>
    </w:p>
    <w:p w14:paraId="4C4790A3"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The proposed strategy can lead to an alignment with the trends of the market customers. The market demand is growing towards healthier options of lifestyle choices which also include the reduction of bravery consumption. Through developing the differentiation of the brewery products, Hook Norton Brewery can sustain the focus on the demography aspect by expanding the customer market base. The increasing demand from customers based on environmental products focuses on the aspect of sustainable brewing aspects (</w:t>
      </w:r>
      <w:proofErr w:type="spellStart"/>
      <w:r w:rsidRPr="00BF6631">
        <w:rPr>
          <w:rFonts w:ascii="Times New Roman" w:eastAsia="Times New Roman" w:hAnsi="Times New Roman" w:cs="Times New Roman"/>
          <w:sz w:val="24"/>
          <w:szCs w:val="24"/>
        </w:rPr>
        <w:t>Discetti</w:t>
      </w:r>
      <w:proofErr w:type="spellEnd"/>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2020). This can also be incorporated into enriching the branch appeal on the </w:t>
      </w:r>
      <w:r w:rsidR="00BF6631" w:rsidRPr="00BF6631">
        <w:rPr>
          <w:rFonts w:ascii="Times New Roman" w:eastAsia="Times New Roman" w:hAnsi="Times New Roman" w:cs="Times New Roman"/>
          <w:sz w:val="24"/>
          <w:szCs w:val="24"/>
        </w:rPr>
        <w:t>differentiated</w:t>
      </w:r>
      <w:r w:rsidRPr="00BF6631">
        <w:rPr>
          <w:rFonts w:ascii="Times New Roman" w:eastAsia="Times New Roman" w:hAnsi="Times New Roman" w:cs="Times New Roman"/>
          <w:sz w:val="24"/>
          <w:szCs w:val="24"/>
        </w:rPr>
        <w:t xml:space="preserve"> products within the marketplace. This strategy will ensure in creating diversification within their revenue streams through introducing new ranges of product lines which will help in fostering their market growth. The diversification of the revenue streams can be initiated by reducing the focus on a </w:t>
      </w:r>
      <w:r w:rsidRPr="00BF6631">
        <w:rPr>
          <w:rFonts w:ascii="Times New Roman" w:eastAsia="Times New Roman" w:hAnsi="Times New Roman" w:cs="Times New Roman"/>
          <w:sz w:val="24"/>
          <w:szCs w:val="24"/>
        </w:rPr>
        <w:lastRenderedPageBreak/>
        <w:t xml:space="preserve">single category of the product and sustaining this which is linked with the market fluctuations based on the traditional brewery product selling. </w:t>
      </w:r>
    </w:p>
    <w:p w14:paraId="4C4790A4"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Hook Norton Brewery, through the implementation of the diversification strategy, can ensure it meets the social expectations of the stakeholders and regulatory requirements. The brand can ensure focus on different sustainable practices as well as health-oriented items which will help in maintaining regulatory changes and expectations of the stakeholders (Lubowiecki-</w:t>
      </w:r>
      <w:proofErr w:type="spellStart"/>
      <w:r w:rsidRPr="00BF6631">
        <w:rPr>
          <w:rFonts w:ascii="Times New Roman" w:eastAsia="Times New Roman" w:hAnsi="Times New Roman" w:cs="Times New Roman"/>
          <w:sz w:val="24"/>
          <w:szCs w:val="24"/>
        </w:rPr>
        <w:t>Vikuk</w:t>
      </w:r>
      <w:proofErr w:type="spellEnd"/>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xml:space="preserve">., 2021). Such expectations will help in meeting the environmental influence as well as consumption of the brewery product. The strategy will also ensure </w:t>
      </w:r>
      <w:r w:rsidR="00BF6631" w:rsidRPr="00BF6631">
        <w:rPr>
          <w:rFonts w:ascii="Times New Roman" w:eastAsia="Times New Roman" w:hAnsi="Times New Roman" w:cs="Times New Roman"/>
          <w:sz w:val="24"/>
          <w:szCs w:val="24"/>
        </w:rPr>
        <w:t>fostering</w:t>
      </w:r>
      <w:r w:rsidRPr="00BF6631">
        <w:rPr>
          <w:rFonts w:ascii="Times New Roman" w:eastAsia="Times New Roman" w:hAnsi="Times New Roman" w:cs="Times New Roman"/>
          <w:sz w:val="24"/>
          <w:szCs w:val="24"/>
        </w:rPr>
        <w:t xml:space="preserve"> global market opportunities as it will meet the requirements of health conscious as well as sustainable products which will lead to enrich the brand's reputation. Hook Norton Brewery can incorporate facilitating their expansion on the international marketplaces through leveraging the traditional heritage of the bravery products as a part of their unique selling point. This will ensure meeting the preferences of the global market customers of Hook Norton Brewery.</w:t>
      </w:r>
    </w:p>
    <w:p w14:paraId="4C4790A5" w14:textId="77777777" w:rsidR="00F13646" w:rsidRPr="00BF6631" w:rsidRDefault="007B349A">
      <w:pPr>
        <w:pStyle w:val="Heading2"/>
      </w:pPr>
      <w:bookmarkStart w:id="15" w:name="_9mucwizhfbds" w:colFirst="0" w:colLast="0"/>
      <w:bookmarkStart w:id="16" w:name="_Toc170581934"/>
      <w:bookmarkEnd w:id="15"/>
      <w:r w:rsidRPr="00BF6631">
        <w:t>Strategic recommendations for future developments and implementation to implement strategic direction</w:t>
      </w:r>
      <w:bookmarkEnd w:id="16"/>
    </w:p>
    <w:p w14:paraId="4C4790A6" w14:textId="77777777" w:rsidR="00F13646" w:rsidRPr="00BF6631" w:rsidRDefault="007B349A">
      <w:pPr>
        <w:spacing w:line="360" w:lineRule="auto"/>
        <w:ind w:right="-182"/>
        <w:jc w:val="both"/>
        <w:rPr>
          <w:rFonts w:ascii="Times New Roman" w:eastAsia="Times New Roman" w:hAnsi="Times New Roman" w:cs="Times New Roman"/>
          <w:b/>
          <w:sz w:val="24"/>
          <w:szCs w:val="24"/>
        </w:rPr>
      </w:pPr>
      <w:r w:rsidRPr="00BF6631">
        <w:rPr>
          <w:rFonts w:ascii="Times New Roman" w:eastAsia="Times New Roman" w:hAnsi="Times New Roman" w:cs="Times New Roman"/>
          <w:sz w:val="24"/>
          <w:szCs w:val="24"/>
        </w:rPr>
        <w:t xml:space="preserve">Hook Norton Brewery can enhance its future development and initiation through enriching digital presence capabilities. The SME can incorporate developing robustness within their e-commerce platform which will help in reaching the brother audience of the marketplace in different </w:t>
      </w:r>
      <w:proofErr w:type="gramStart"/>
      <w:r w:rsidRPr="00BF6631">
        <w:rPr>
          <w:rFonts w:ascii="Times New Roman" w:eastAsia="Times New Roman" w:hAnsi="Times New Roman" w:cs="Times New Roman"/>
          <w:sz w:val="24"/>
          <w:szCs w:val="24"/>
        </w:rPr>
        <w:t>International</w:t>
      </w:r>
      <w:proofErr w:type="gramEnd"/>
      <w:r w:rsidRPr="00BF6631">
        <w:rPr>
          <w:rFonts w:ascii="Times New Roman" w:eastAsia="Times New Roman" w:hAnsi="Times New Roman" w:cs="Times New Roman"/>
          <w:sz w:val="24"/>
          <w:szCs w:val="24"/>
        </w:rPr>
        <w:t xml:space="preserve"> markets (Burns, 2022). The enhancement of the digital presence within the brand can also be implemented through digital marketing strategy by using SEO optimisation and content marketing to enhance the online visibility of the brand in the market. This can be initiated by conducting social media campaigns and website upgrades through a secure payment method. The recommendation can also create challenges of budget constraint which can be solved through seeking funding from other partners and maintaining digital literacy through training methods. The other aspect of improvement within the strategic criteria of Hook Norton Brewery is implementing sustainable brewing practices. The business can enhance its sustainable practices through production sourcing as well as packaging so that attracting the environmentally conscious market consumers is initiated. The brand can implement such aspects by engaging in research and development investment by creating new services and products to enhance their quality (Duque‐Grisales </w:t>
      </w:r>
      <w:r w:rsidRPr="00BF6631">
        <w:rPr>
          <w:rFonts w:ascii="Times New Roman" w:eastAsia="Times New Roman" w:hAnsi="Times New Roman" w:cs="Times New Roman"/>
          <w:i/>
          <w:sz w:val="24"/>
          <w:szCs w:val="24"/>
        </w:rPr>
        <w:t>et al</w:t>
      </w:r>
      <w:r w:rsidRPr="00BF6631">
        <w:rPr>
          <w:rFonts w:ascii="Times New Roman" w:eastAsia="Times New Roman" w:hAnsi="Times New Roman" w:cs="Times New Roman"/>
          <w:sz w:val="24"/>
          <w:szCs w:val="24"/>
        </w:rPr>
        <w:t>., 2020). The implementation can also be done through a sustainable certificate by focusing on developing credibility within their sustainable claims. Hook Norton Brewery can face the challenge of product development costs that can be solved through engaging in partnerships with the government or other regulatory bodies.</w:t>
      </w:r>
    </w:p>
    <w:p w14:paraId="4C4790A7" w14:textId="77777777" w:rsidR="00F13646" w:rsidRPr="00BF6631" w:rsidRDefault="007B349A">
      <w:pPr>
        <w:pStyle w:val="Heading2"/>
      </w:pPr>
      <w:bookmarkStart w:id="17" w:name="_z6quxblgy2v0" w:colFirst="0" w:colLast="0"/>
      <w:bookmarkStart w:id="18" w:name="_Toc170581935"/>
      <w:bookmarkEnd w:id="17"/>
      <w:r w:rsidRPr="00BF6631">
        <w:lastRenderedPageBreak/>
        <w:t>Conclusion</w:t>
      </w:r>
      <w:bookmarkEnd w:id="18"/>
      <w:r w:rsidRPr="00BF6631">
        <w:t xml:space="preserve"> </w:t>
      </w:r>
    </w:p>
    <w:p w14:paraId="4C4790A8" w14:textId="77777777" w:rsidR="00F13646" w:rsidRPr="00BF6631" w:rsidRDefault="007B349A">
      <w:pPr>
        <w:spacing w:line="360" w:lineRule="auto"/>
        <w:ind w:right="-182"/>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The report has focused on the overview of Hook Norton Brewery which is regarded as a UK-based traditional organisation of brewing techniques. The discussion has included the strategic direction of the organisation and the internal as well as external environmental analysis using PESTLE and SWOT methods. The report also included stakeholder analysis and their expectations with the power of different organisational stakeholders. The future as well as the current strategic growth of the brand in the marketplace has been discussed through the Ansoff matrix and Porter's generic strategies. Recommendations have been included to enhance the strategic direction.</w:t>
      </w:r>
    </w:p>
    <w:p w14:paraId="4C4790AA" w14:textId="4420993A" w:rsidR="00F13646" w:rsidRDefault="007B349A" w:rsidP="00A5658C">
      <w:pPr>
        <w:spacing w:line="360" w:lineRule="auto"/>
        <w:ind w:right="-182"/>
        <w:jc w:val="both"/>
      </w:pPr>
      <w:r w:rsidRPr="00BF6631">
        <w:br w:type="page"/>
      </w:r>
      <w:bookmarkStart w:id="19" w:name="_yc6xoxvazqdk" w:colFirst="0" w:colLast="0"/>
      <w:bookmarkEnd w:id="19"/>
    </w:p>
    <w:p w14:paraId="593A28C2" w14:textId="77777777" w:rsidR="00A5658C" w:rsidRPr="00A5658C" w:rsidRDefault="00A5658C" w:rsidP="00A5658C">
      <w:pPr>
        <w:spacing w:line="360" w:lineRule="auto"/>
        <w:ind w:right="-182"/>
        <w:jc w:val="both"/>
        <w:rPr>
          <w:rFonts w:ascii="Times New Roman" w:eastAsia="Times New Roman" w:hAnsi="Times New Roman" w:cs="Times New Roman"/>
          <w:b/>
          <w:sz w:val="24"/>
          <w:szCs w:val="24"/>
        </w:rPr>
      </w:pPr>
    </w:p>
    <w:p w14:paraId="4C4790C7" w14:textId="77777777" w:rsidR="00F13646" w:rsidRPr="00BF6631" w:rsidRDefault="007B349A">
      <w:pPr>
        <w:pStyle w:val="Heading1"/>
        <w:ind w:right="140"/>
      </w:pPr>
      <w:bookmarkStart w:id="20" w:name="_401b5jdl50es" w:colFirst="0" w:colLast="0"/>
      <w:bookmarkStart w:id="21" w:name="_1kpf9g7iwcqt" w:colFirst="0" w:colLast="0"/>
      <w:bookmarkStart w:id="22" w:name="_Toc170581946"/>
      <w:bookmarkEnd w:id="20"/>
      <w:bookmarkEnd w:id="21"/>
      <w:r w:rsidRPr="00BF6631">
        <w:t>References</w:t>
      </w:r>
      <w:bookmarkEnd w:id="22"/>
      <w:r w:rsidRPr="00BF6631">
        <w:t xml:space="preserve"> </w:t>
      </w:r>
    </w:p>
    <w:p w14:paraId="4C4790C8" w14:textId="77777777" w:rsidR="00BF6631" w:rsidRPr="00BF6631" w:rsidRDefault="00BF6631">
      <w:pPr>
        <w:spacing w:line="360" w:lineRule="auto"/>
        <w:jc w:val="both"/>
        <w:rPr>
          <w:rFonts w:ascii="Times New Roman" w:eastAsia="Times New Roman" w:hAnsi="Times New Roman" w:cs="Times New Roman"/>
          <w:sz w:val="24"/>
          <w:szCs w:val="24"/>
        </w:rPr>
      </w:pPr>
      <w:proofErr w:type="spellStart"/>
      <w:r w:rsidRPr="00BF6631">
        <w:rPr>
          <w:rFonts w:ascii="Times New Roman" w:eastAsia="Times New Roman" w:hAnsi="Times New Roman" w:cs="Times New Roman"/>
          <w:color w:val="222222"/>
          <w:sz w:val="24"/>
          <w:szCs w:val="24"/>
          <w:highlight w:val="white"/>
        </w:rPr>
        <w:t>Aljumah</w:t>
      </w:r>
      <w:proofErr w:type="spellEnd"/>
      <w:r w:rsidRPr="00BF6631">
        <w:rPr>
          <w:rFonts w:ascii="Times New Roman" w:eastAsia="Times New Roman" w:hAnsi="Times New Roman" w:cs="Times New Roman"/>
          <w:color w:val="222222"/>
          <w:sz w:val="24"/>
          <w:szCs w:val="24"/>
          <w:highlight w:val="white"/>
        </w:rPr>
        <w:t xml:space="preserve">, A.I., </w:t>
      </w:r>
      <w:proofErr w:type="spellStart"/>
      <w:r w:rsidRPr="00BF6631">
        <w:rPr>
          <w:rFonts w:ascii="Times New Roman" w:eastAsia="Times New Roman" w:hAnsi="Times New Roman" w:cs="Times New Roman"/>
          <w:color w:val="222222"/>
          <w:sz w:val="24"/>
          <w:szCs w:val="24"/>
          <w:highlight w:val="white"/>
        </w:rPr>
        <w:t>Nuseir</w:t>
      </w:r>
      <w:proofErr w:type="spellEnd"/>
      <w:r w:rsidRPr="00BF6631">
        <w:rPr>
          <w:rFonts w:ascii="Times New Roman" w:eastAsia="Times New Roman" w:hAnsi="Times New Roman" w:cs="Times New Roman"/>
          <w:color w:val="222222"/>
          <w:sz w:val="24"/>
          <w:szCs w:val="24"/>
          <w:highlight w:val="white"/>
        </w:rPr>
        <w:t xml:space="preserve">, M.T. and Alam, M.M.,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2021). Traditional marketing analytics, big data analytics and big data system quality and the success of new product development. </w:t>
      </w:r>
      <w:r w:rsidRPr="00BF6631">
        <w:rPr>
          <w:rFonts w:ascii="Times New Roman" w:eastAsia="Times New Roman" w:hAnsi="Times New Roman" w:cs="Times New Roman"/>
          <w:i/>
          <w:sz w:val="24"/>
          <w:szCs w:val="24"/>
        </w:rPr>
        <w:t>Business Process Management Journal</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27</w:t>
      </w:r>
      <w:r w:rsidRPr="00BF6631">
        <w:rPr>
          <w:rFonts w:ascii="Times New Roman" w:eastAsia="Times New Roman" w:hAnsi="Times New Roman" w:cs="Times New Roman"/>
          <w:sz w:val="24"/>
          <w:szCs w:val="24"/>
        </w:rPr>
        <w:t>(4), pp.1108-1125.</w:t>
      </w:r>
    </w:p>
    <w:p w14:paraId="4C4790C9"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Anderson, A., McAllister, C. and Harris, E.,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2024). </w:t>
      </w:r>
      <w:r w:rsidRPr="00BF6631">
        <w:rPr>
          <w:rFonts w:ascii="Times New Roman" w:eastAsia="Times New Roman" w:hAnsi="Times New Roman" w:cs="Times New Roman"/>
          <w:i/>
          <w:sz w:val="24"/>
          <w:szCs w:val="24"/>
        </w:rPr>
        <w:t>Product Development and Management Body of Knowledge: A Guidebook for Product Innovation Training and Certification</w:t>
      </w:r>
      <w:r w:rsidRPr="00BF6631">
        <w:rPr>
          <w:rFonts w:ascii="Times New Roman" w:eastAsia="Times New Roman" w:hAnsi="Times New Roman" w:cs="Times New Roman"/>
          <w:sz w:val="24"/>
          <w:szCs w:val="24"/>
        </w:rPr>
        <w:t>. John Wiley &amp; Sons.</w:t>
      </w:r>
    </w:p>
    <w:p w14:paraId="4C4790CA"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Braun, E., Braun, E., Gyimesi, A., </w:t>
      </w:r>
      <w:proofErr w:type="spellStart"/>
      <w:r w:rsidRPr="00BF6631">
        <w:rPr>
          <w:rFonts w:ascii="Times New Roman" w:eastAsia="Times New Roman" w:hAnsi="Times New Roman" w:cs="Times New Roman"/>
          <w:color w:val="222222"/>
          <w:sz w:val="24"/>
          <w:szCs w:val="24"/>
          <w:highlight w:val="white"/>
        </w:rPr>
        <w:t>Iloskics</w:t>
      </w:r>
      <w:proofErr w:type="spellEnd"/>
      <w:r w:rsidRPr="00BF6631">
        <w:rPr>
          <w:rFonts w:ascii="Times New Roman" w:eastAsia="Times New Roman" w:hAnsi="Times New Roman" w:cs="Times New Roman"/>
          <w:color w:val="222222"/>
          <w:sz w:val="24"/>
          <w:szCs w:val="24"/>
          <w:highlight w:val="white"/>
        </w:rPr>
        <w:t xml:space="preserve">, Z. and Sebestyén, T.,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2023). Exposure to trade disruptions in case of the Russia–Ukraine conflict: A product network approach. </w:t>
      </w:r>
      <w:r w:rsidRPr="00BF6631">
        <w:rPr>
          <w:rFonts w:ascii="Times New Roman" w:eastAsia="Times New Roman" w:hAnsi="Times New Roman" w:cs="Times New Roman"/>
          <w:i/>
          <w:sz w:val="24"/>
          <w:szCs w:val="24"/>
        </w:rPr>
        <w:t>The World Economy</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46</w:t>
      </w:r>
      <w:r w:rsidRPr="00BF6631">
        <w:rPr>
          <w:rFonts w:ascii="Times New Roman" w:eastAsia="Times New Roman" w:hAnsi="Times New Roman" w:cs="Times New Roman"/>
          <w:sz w:val="24"/>
          <w:szCs w:val="24"/>
        </w:rPr>
        <w:t>(10), pp.2950-2982.</w:t>
      </w:r>
    </w:p>
    <w:p w14:paraId="4C4790CB"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Buccieri, D., </w:t>
      </w:r>
      <w:proofErr w:type="spellStart"/>
      <w:r w:rsidRPr="00BF6631">
        <w:rPr>
          <w:rFonts w:ascii="Times New Roman" w:eastAsia="Times New Roman" w:hAnsi="Times New Roman" w:cs="Times New Roman"/>
          <w:color w:val="222222"/>
          <w:sz w:val="24"/>
          <w:szCs w:val="24"/>
          <w:highlight w:val="white"/>
        </w:rPr>
        <w:t>Javalgi</w:t>
      </w:r>
      <w:proofErr w:type="spellEnd"/>
      <w:r w:rsidRPr="00BF6631">
        <w:rPr>
          <w:rFonts w:ascii="Times New Roman" w:eastAsia="Times New Roman" w:hAnsi="Times New Roman" w:cs="Times New Roman"/>
          <w:color w:val="222222"/>
          <w:sz w:val="24"/>
          <w:szCs w:val="24"/>
          <w:highlight w:val="white"/>
        </w:rPr>
        <w:t xml:space="preserve">, R.R.G. and Gross, A.,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2023). Innovation and differentiation of emerging market international new ventures the role of entrepreneurial marketing. </w:t>
      </w:r>
      <w:r w:rsidRPr="00BF6631">
        <w:rPr>
          <w:rFonts w:ascii="Times New Roman" w:eastAsia="Times New Roman" w:hAnsi="Times New Roman" w:cs="Times New Roman"/>
          <w:i/>
          <w:sz w:val="24"/>
          <w:szCs w:val="24"/>
        </w:rPr>
        <w:t>Journal of Strategic Marketing</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31</w:t>
      </w:r>
      <w:r w:rsidRPr="00BF6631">
        <w:rPr>
          <w:rFonts w:ascii="Times New Roman" w:eastAsia="Times New Roman" w:hAnsi="Times New Roman" w:cs="Times New Roman"/>
          <w:sz w:val="24"/>
          <w:szCs w:val="24"/>
        </w:rPr>
        <w:t>(3), pp.549-577.</w:t>
      </w:r>
    </w:p>
    <w:p w14:paraId="4C4790CC"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Burns, P.,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2022). </w:t>
      </w:r>
      <w:r w:rsidRPr="00BF6631">
        <w:rPr>
          <w:rFonts w:ascii="Times New Roman" w:eastAsia="Times New Roman" w:hAnsi="Times New Roman" w:cs="Times New Roman"/>
          <w:i/>
          <w:sz w:val="24"/>
          <w:szCs w:val="24"/>
        </w:rPr>
        <w:t>Entrepreneurship and small business</w:t>
      </w:r>
      <w:r w:rsidRPr="00BF6631">
        <w:rPr>
          <w:rFonts w:ascii="Times New Roman" w:eastAsia="Times New Roman" w:hAnsi="Times New Roman" w:cs="Times New Roman"/>
          <w:sz w:val="24"/>
          <w:szCs w:val="24"/>
        </w:rPr>
        <w:t>. Bloomsbury Publishing.</w:t>
      </w:r>
    </w:p>
    <w:p w14:paraId="4C4790CD"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Choi, H. and Koo, Y.,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2023). New technology product introduction strategy with considerations for consumer-targeted policy intervention and new market entrant. </w:t>
      </w:r>
      <w:r w:rsidRPr="00BF6631">
        <w:rPr>
          <w:rFonts w:ascii="Times New Roman" w:eastAsia="Times New Roman" w:hAnsi="Times New Roman" w:cs="Times New Roman"/>
          <w:i/>
          <w:sz w:val="24"/>
          <w:szCs w:val="24"/>
        </w:rPr>
        <w:t>Technological Forecasting and Social Change</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186</w:t>
      </w:r>
      <w:r w:rsidRPr="00BF6631">
        <w:rPr>
          <w:rFonts w:ascii="Times New Roman" w:eastAsia="Times New Roman" w:hAnsi="Times New Roman" w:cs="Times New Roman"/>
          <w:sz w:val="24"/>
          <w:szCs w:val="24"/>
        </w:rPr>
        <w:t>, p.122126.</w:t>
      </w:r>
    </w:p>
    <w:p w14:paraId="4C4790CE" w14:textId="77777777" w:rsidR="00BF6631" w:rsidRPr="00BF6631" w:rsidRDefault="00BF6631">
      <w:pPr>
        <w:spacing w:line="360" w:lineRule="auto"/>
        <w:jc w:val="both"/>
        <w:rPr>
          <w:rFonts w:ascii="Times New Roman" w:eastAsia="Times New Roman" w:hAnsi="Times New Roman" w:cs="Times New Roman"/>
          <w:sz w:val="24"/>
          <w:szCs w:val="24"/>
        </w:rPr>
      </w:pPr>
      <w:proofErr w:type="spellStart"/>
      <w:r w:rsidRPr="00BF6631">
        <w:rPr>
          <w:rFonts w:ascii="Times New Roman" w:eastAsia="Times New Roman" w:hAnsi="Times New Roman" w:cs="Times New Roman"/>
          <w:color w:val="222222"/>
          <w:sz w:val="24"/>
          <w:szCs w:val="24"/>
          <w:highlight w:val="white"/>
        </w:rPr>
        <w:t>Discetti</w:t>
      </w:r>
      <w:proofErr w:type="spellEnd"/>
      <w:r w:rsidRPr="00BF6631">
        <w:rPr>
          <w:rFonts w:ascii="Times New Roman" w:eastAsia="Times New Roman" w:hAnsi="Times New Roman" w:cs="Times New Roman"/>
          <w:color w:val="222222"/>
          <w:sz w:val="24"/>
          <w:szCs w:val="24"/>
          <w:highlight w:val="white"/>
        </w:rPr>
        <w:t xml:space="preserve">, R., Anderson, M. and Gardner, A.,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2020). Campaign spaces for sustainable development: A power analysis of the Fairtrade Town campaign in the UK. </w:t>
      </w:r>
      <w:r w:rsidRPr="00BF6631">
        <w:rPr>
          <w:rFonts w:ascii="Times New Roman" w:eastAsia="Times New Roman" w:hAnsi="Times New Roman" w:cs="Times New Roman"/>
          <w:i/>
          <w:sz w:val="24"/>
          <w:szCs w:val="24"/>
        </w:rPr>
        <w:t>Food Chain</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9</w:t>
      </w:r>
      <w:r w:rsidRPr="00BF6631">
        <w:rPr>
          <w:rFonts w:ascii="Times New Roman" w:eastAsia="Times New Roman" w:hAnsi="Times New Roman" w:cs="Times New Roman"/>
          <w:sz w:val="24"/>
          <w:szCs w:val="24"/>
        </w:rPr>
        <w:t>(1), pp.8-28.</w:t>
      </w:r>
    </w:p>
    <w:p w14:paraId="4C4790CF"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Duque‐Grisales, E., Aguilera‐</w:t>
      </w:r>
      <w:proofErr w:type="spellStart"/>
      <w:r w:rsidRPr="00BF6631">
        <w:rPr>
          <w:rFonts w:ascii="Times New Roman" w:eastAsia="Times New Roman" w:hAnsi="Times New Roman" w:cs="Times New Roman"/>
          <w:color w:val="222222"/>
          <w:sz w:val="24"/>
          <w:szCs w:val="24"/>
          <w:highlight w:val="white"/>
        </w:rPr>
        <w:t>Caracuel</w:t>
      </w:r>
      <w:proofErr w:type="spellEnd"/>
      <w:r w:rsidRPr="00BF6631">
        <w:rPr>
          <w:rFonts w:ascii="Times New Roman" w:eastAsia="Times New Roman" w:hAnsi="Times New Roman" w:cs="Times New Roman"/>
          <w:color w:val="222222"/>
          <w:sz w:val="24"/>
          <w:szCs w:val="24"/>
          <w:highlight w:val="white"/>
        </w:rPr>
        <w:t xml:space="preserve">, J., Guerrero‐Villegas, J. and García‐Sánchez, E.,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2020). Does green innovation affect the financial performance of </w:t>
      </w:r>
      <w:proofErr w:type="spellStart"/>
      <w:r w:rsidRPr="00BF6631">
        <w:rPr>
          <w:rFonts w:ascii="Times New Roman" w:eastAsia="Times New Roman" w:hAnsi="Times New Roman" w:cs="Times New Roman"/>
          <w:color w:val="222222"/>
          <w:sz w:val="24"/>
          <w:szCs w:val="24"/>
          <w:highlight w:val="white"/>
        </w:rPr>
        <w:t>Multilatinas</w:t>
      </w:r>
      <w:proofErr w:type="spellEnd"/>
      <w:r w:rsidRPr="00BF6631">
        <w:rPr>
          <w:rFonts w:ascii="Times New Roman" w:eastAsia="Times New Roman" w:hAnsi="Times New Roman" w:cs="Times New Roman"/>
          <w:color w:val="222222"/>
          <w:sz w:val="24"/>
          <w:szCs w:val="24"/>
          <w:highlight w:val="white"/>
        </w:rPr>
        <w:t xml:space="preserve">? The moderating role of ISO 14001 and R&amp;D investment. </w:t>
      </w:r>
      <w:r w:rsidRPr="00BF6631">
        <w:rPr>
          <w:rFonts w:ascii="Times New Roman" w:eastAsia="Times New Roman" w:hAnsi="Times New Roman" w:cs="Times New Roman"/>
          <w:i/>
          <w:sz w:val="24"/>
          <w:szCs w:val="24"/>
        </w:rPr>
        <w:t>Business Strategy and the Environment</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29</w:t>
      </w:r>
      <w:r w:rsidRPr="00BF6631">
        <w:rPr>
          <w:rFonts w:ascii="Times New Roman" w:eastAsia="Times New Roman" w:hAnsi="Times New Roman" w:cs="Times New Roman"/>
          <w:sz w:val="24"/>
          <w:szCs w:val="24"/>
        </w:rPr>
        <w:t>(8), pp.3286-3302.</w:t>
      </w:r>
    </w:p>
    <w:p w14:paraId="4C4790D0"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Goel, P. and Singh, A.,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2024). The mediating role of organisational learning capabilities between workplace happiness and organisational citizenship behaviour. </w:t>
      </w:r>
      <w:r w:rsidRPr="00BF6631">
        <w:rPr>
          <w:rFonts w:ascii="Times New Roman" w:eastAsia="Times New Roman" w:hAnsi="Times New Roman" w:cs="Times New Roman"/>
          <w:i/>
          <w:sz w:val="24"/>
          <w:szCs w:val="24"/>
        </w:rPr>
        <w:t>Journal of Workplace Learning</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36</w:t>
      </w:r>
      <w:r w:rsidRPr="00BF6631">
        <w:rPr>
          <w:rFonts w:ascii="Times New Roman" w:eastAsia="Times New Roman" w:hAnsi="Times New Roman" w:cs="Times New Roman"/>
          <w:sz w:val="24"/>
          <w:szCs w:val="24"/>
        </w:rPr>
        <w:t>(1), pp.59-76.</w:t>
      </w:r>
    </w:p>
    <w:p w14:paraId="4C4790D1"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‌Historic Houses., (2024). </w:t>
      </w:r>
      <w:r w:rsidRPr="00BF6631">
        <w:rPr>
          <w:rFonts w:ascii="Times New Roman" w:eastAsia="Times New Roman" w:hAnsi="Times New Roman" w:cs="Times New Roman"/>
          <w:i/>
          <w:sz w:val="24"/>
          <w:szCs w:val="24"/>
        </w:rPr>
        <w:t>Hook Norton Brewery - Historic Houses</w:t>
      </w:r>
      <w:r w:rsidRPr="00BF6631">
        <w:rPr>
          <w:rFonts w:ascii="Times New Roman" w:eastAsia="Times New Roman" w:hAnsi="Times New Roman" w:cs="Times New Roman"/>
          <w:sz w:val="24"/>
          <w:szCs w:val="24"/>
        </w:rPr>
        <w:t>. [online] Available at: https://www.historichouses.org/house/hook-norton-brewery/visit/ [Accessed 29 Jun. 2024].</w:t>
      </w:r>
    </w:p>
    <w:p w14:paraId="4C4790D2"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Hook Norton Brewery., (2024). </w:t>
      </w:r>
      <w:r w:rsidRPr="00BF6631">
        <w:rPr>
          <w:rFonts w:ascii="Times New Roman" w:eastAsia="Times New Roman" w:hAnsi="Times New Roman" w:cs="Times New Roman"/>
          <w:i/>
          <w:sz w:val="24"/>
          <w:szCs w:val="24"/>
        </w:rPr>
        <w:t>Welcome to Hook Norton Brewery | Award-winning real ales and bottled beers</w:t>
      </w:r>
      <w:r w:rsidRPr="00BF6631">
        <w:rPr>
          <w:rFonts w:ascii="Times New Roman" w:eastAsia="Times New Roman" w:hAnsi="Times New Roman" w:cs="Times New Roman"/>
          <w:sz w:val="24"/>
          <w:szCs w:val="24"/>
        </w:rPr>
        <w:t>. [online] Available at: https://www.hooky.co.uk/ [Accessed 29 Jun. 2024].</w:t>
      </w:r>
    </w:p>
    <w:p w14:paraId="4C4790D3"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lastRenderedPageBreak/>
        <w:t xml:space="preserve">Khan, M.S., </w:t>
      </w:r>
      <w:proofErr w:type="spellStart"/>
      <w:r w:rsidRPr="00BF6631">
        <w:rPr>
          <w:rFonts w:ascii="Times New Roman" w:eastAsia="Times New Roman" w:hAnsi="Times New Roman" w:cs="Times New Roman"/>
          <w:color w:val="222222"/>
          <w:sz w:val="24"/>
          <w:szCs w:val="24"/>
          <w:highlight w:val="white"/>
        </w:rPr>
        <w:t>Saengon</w:t>
      </w:r>
      <w:proofErr w:type="spellEnd"/>
      <w:r w:rsidRPr="00BF6631">
        <w:rPr>
          <w:rFonts w:ascii="Times New Roman" w:eastAsia="Times New Roman" w:hAnsi="Times New Roman" w:cs="Times New Roman"/>
          <w:color w:val="222222"/>
          <w:sz w:val="24"/>
          <w:szCs w:val="24"/>
          <w:highlight w:val="white"/>
        </w:rPr>
        <w:t xml:space="preserve">, P., Alganad, A.M.N., </w:t>
      </w:r>
      <w:proofErr w:type="spellStart"/>
      <w:r w:rsidRPr="00BF6631">
        <w:rPr>
          <w:rFonts w:ascii="Times New Roman" w:eastAsia="Times New Roman" w:hAnsi="Times New Roman" w:cs="Times New Roman"/>
          <w:color w:val="222222"/>
          <w:sz w:val="24"/>
          <w:szCs w:val="24"/>
          <w:highlight w:val="white"/>
        </w:rPr>
        <w:t>Chongcharoen</w:t>
      </w:r>
      <w:proofErr w:type="spellEnd"/>
      <w:r w:rsidRPr="00BF6631">
        <w:rPr>
          <w:rFonts w:ascii="Times New Roman" w:eastAsia="Times New Roman" w:hAnsi="Times New Roman" w:cs="Times New Roman"/>
          <w:color w:val="222222"/>
          <w:sz w:val="24"/>
          <w:szCs w:val="24"/>
          <w:highlight w:val="white"/>
        </w:rPr>
        <w:t xml:space="preserve">, D. and Farrukh, M.,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2020). Consumer green behaviour: An approach towards environmental sustainability. </w:t>
      </w:r>
      <w:r w:rsidRPr="00BF6631">
        <w:rPr>
          <w:rFonts w:ascii="Times New Roman" w:eastAsia="Times New Roman" w:hAnsi="Times New Roman" w:cs="Times New Roman"/>
          <w:i/>
          <w:sz w:val="24"/>
          <w:szCs w:val="24"/>
        </w:rPr>
        <w:t>Sustainable Development</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28</w:t>
      </w:r>
      <w:r w:rsidRPr="00BF6631">
        <w:rPr>
          <w:rFonts w:ascii="Times New Roman" w:eastAsia="Times New Roman" w:hAnsi="Times New Roman" w:cs="Times New Roman"/>
          <w:sz w:val="24"/>
          <w:szCs w:val="24"/>
        </w:rPr>
        <w:t>(5), pp.1168-1180.</w:t>
      </w:r>
    </w:p>
    <w:p w14:paraId="4C4790D4" w14:textId="77777777" w:rsidR="00BF6631" w:rsidRPr="00BF6631" w:rsidRDefault="00BF6631">
      <w:pPr>
        <w:spacing w:line="360" w:lineRule="auto"/>
        <w:jc w:val="both"/>
        <w:rPr>
          <w:rFonts w:ascii="Times New Roman" w:eastAsia="Times New Roman" w:hAnsi="Times New Roman" w:cs="Times New Roman"/>
          <w:sz w:val="24"/>
          <w:szCs w:val="24"/>
        </w:rPr>
      </w:pPr>
      <w:proofErr w:type="spellStart"/>
      <w:r w:rsidRPr="00BF6631">
        <w:rPr>
          <w:rFonts w:ascii="Times New Roman" w:eastAsia="Times New Roman" w:hAnsi="Times New Roman" w:cs="Times New Roman"/>
          <w:color w:val="222222"/>
          <w:sz w:val="24"/>
          <w:szCs w:val="24"/>
          <w:highlight w:val="white"/>
        </w:rPr>
        <w:t>Kharub</w:t>
      </w:r>
      <w:proofErr w:type="spellEnd"/>
      <w:r w:rsidRPr="00BF6631">
        <w:rPr>
          <w:rFonts w:ascii="Times New Roman" w:eastAsia="Times New Roman" w:hAnsi="Times New Roman" w:cs="Times New Roman"/>
          <w:color w:val="222222"/>
          <w:sz w:val="24"/>
          <w:szCs w:val="24"/>
          <w:highlight w:val="white"/>
        </w:rPr>
        <w:t xml:space="preserve">, M., Mor, R.S. and Rana, S.,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2022). Mediating role of manufacturing strategy in the competitive strategy and firm performance: evidence from SMEs. </w:t>
      </w:r>
      <w:r w:rsidRPr="00BF6631">
        <w:rPr>
          <w:rFonts w:ascii="Times New Roman" w:eastAsia="Times New Roman" w:hAnsi="Times New Roman" w:cs="Times New Roman"/>
          <w:i/>
          <w:sz w:val="24"/>
          <w:szCs w:val="24"/>
        </w:rPr>
        <w:t>Benchmarking: An International Journal</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29</w:t>
      </w:r>
      <w:r w:rsidRPr="00BF6631">
        <w:rPr>
          <w:rFonts w:ascii="Times New Roman" w:eastAsia="Times New Roman" w:hAnsi="Times New Roman" w:cs="Times New Roman"/>
          <w:sz w:val="24"/>
          <w:szCs w:val="24"/>
        </w:rPr>
        <w:t>(10), pp.3275-3301.</w:t>
      </w:r>
    </w:p>
    <w:p w14:paraId="4C4790D5"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‌Legislation.gov.uk., (2024). </w:t>
      </w:r>
      <w:r w:rsidRPr="00BF6631">
        <w:rPr>
          <w:rFonts w:ascii="Times New Roman" w:eastAsia="Times New Roman" w:hAnsi="Times New Roman" w:cs="Times New Roman"/>
          <w:i/>
          <w:sz w:val="24"/>
          <w:szCs w:val="24"/>
        </w:rPr>
        <w:t>Employment Rights Act 1996</w:t>
      </w:r>
      <w:r w:rsidRPr="00BF6631">
        <w:rPr>
          <w:rFonts w:ascii="Times New Roman" w:eastAsia="Times New Roman" w:hAnsi="Times New Roman" w:cs="Times New Roman"/>
          <w:sz w:val="24"/>
          <w:szCs w:val="24"/>
        </w:rPr>
        <w:t>. [online] Available at: https://www.legislation.gov.uk/ukpga/1996/18/contents [Accessed 28 Jun. 2024].</w:t>
      </w:r>
    </w:p>
    <w:p w14:paraId="4C4790D6"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‌Legislation.gov.uk., (2024). </w:t>
      </w:r>
      <w:r w:rsidRPr="00BF6631">
        <w:rPr>
          <w:rFonts w:ascii="Times New Roman" w:eastAsia="Times New Roman" w:hAnsi="Times New Roman" w:cs="Times New Roman"/>
          <w:i/>
          <w:sz w:val="24"/>
          <w:szCs w:val="24"/>
        </w:rPr>
        <w:t>Environmental Protection Act 1990</w:t>
      </w:r>
      <w:r w:rsidRPr="00BF6631">
        <w:rPr>
          <w:rFonts w:ascii="Times New Roman" w:eastAsia="Times New Roman" w:hAnsi="Times New Roman" w:cs="Times New Roman"/>
          <w:sz w:val="24"/>
          <w:szCs w:val="24"/>
        </w:rPr>
        <w:t>. [online] Available at: https://www.legislation.gov.uk/ukpga/1990/43/contents [Accessed 28 Jun. 2024].</w:t>
      </w:r>
    </w:p>
    <w:p w14:paraId="4C4790D7"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Lubowiecki-</w:t>
      </w:r>
      <w:proofErr w:type="spellStart"/>
      <w:r w:rsidRPr="00BF6631">
        <w:rPr>
          <w:rFonts w:ascii="Times New Roman" w:eastAsia="Times New Roman" w:hAnsi="Times New Roman" w:cs="Times New Roman"/>
          <w:color w:val="222222"/>
          <w:sz w:val="24"/>
          <w:szCs w:val="24"/>
          <w:highlight w:val="white"/>
        </w:rPr>
        <w:t>Vikuk</w:t>
      </w:r>
      <w:proofErr w:type="spellEnd"/>
      <w:r w:rsidRPr="00BF6631">
        <w:rPr>
          <w:rFonts w:ascii="Times New Roman" w:eastAsia="Times New Roman" w:hAnsi="Times New Roman" w:cs="Times New Roman"/>
          <w:color w:val="222222"/>
          <w:sz w:val="24"/>
          <w:szCs w:val="24"/>
          <w:highlight w:val="white"/>
        </w:rPr>
        <w:t xml:space="preserve">, A., </w:t>
      </w:r>
      <w:proofErr w:type="spellStart"/>
      <w:r w:rsidRPr="00BF6631">
        <w:rPr>
          <w:rFonts w:ascii="Times New Roman" w:eastAsia="Times New Roman" w:hAnsi="Times New Roman" w:cs="Times New Roman"/>
          <w:color w:val="222222"/>
          <w:sz w:val="24"/>
          <w:szCs w:val="24"/>
          <w:highlight w:val="white"/>
        </w:rPr>
        <w:t>Dąbrowska</w:t>
      </w:r>
      <w:proofErr w:type="spellEnd"/>
      <w:r w:rsidRPr="00BF6631">
        <w:rPr>
          <w:rFonts w:ascii="Times New Roman" w:eastAsia="Times New Roman" w:hAnsi="Times New Roman" w:cs="Times New Roman"/>
          <w:color w:val="222222"/>
          <w:sz w:val="24"/>
          <w:szCs w:val="24"/>
          <w:highlight w:val="white"/>
        </w:rPr>
        <w:t xml:space="preserve">, A. and Machnik, A.,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2021). Responsible consumer and lifestyle: Sustainability insights. </w:t>
      </w:r>
      <w:r w:rsidRPr="00BF6631">
        <w:rPr>
          <w:rFonts w:ascii="Times New Roman" w:eastAsia="Times New Roman" w:hAnsi="Times New Roman" w:cs="Times New Roman"/>
          <w:i/>
          <w:sz w:val="24"/>
          <w:szCs w:val="24"/>
        </w:rPr>
        <w:t>Sustainable production and consumption</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25</w:t>
      </w:r>
      <w:r w:rsidRPr="00BF6631">
        <w:rPr>
          <w:rFonts w:ascii="Times New Roman" w:eastAsia="Times New Roman" w:hAnsi="Times New Roman" w:cs="Times New Roman"/>
          <w:sz w:val="24"/>
          <w:szCs w:val="24"/>
        </w:rPr>
        <w:t>, pp.91-101.</w:t>
      </w:r>
    </w:p>
    <w:p w14:paraId="4C4790D8" w14:textId="77777777" w:rsidR="00BF6631" w:rsidRPr="00BF6631" w:rsidRDefault="00BF6631">
      <w:pPr>
        <w:spacing w:line="360" w:lineRule="auto"/>
        <w:jc w:val="both"/>
        <w:rPr>
          <w:rFonts w:ascii="Times New Roman" w:eastAsia="Times New Roman" w:hAnsi="Times New Roman" w:cs="Times New Roman"/>
          <w:sz w:val="24"/>
          <w:szCs w:val="24"/>
        </w:rPr>
      </w:pPr>
      <w:proofErr w:type="spellStart"/>
      <w:r w:rsidRPr="00BF6631">
        <w:rPr>
          <w:rFonts w:ascii="Times New Roman" w:eastAsia="Times New Roman" w:hAnsi="Times New Roman" w:cs="Times New Roman"/>
          <w:color w:val="222222"/>
          <w:sz w:val="24"/>
          <w:szCs w:val="24"/>
          <w:highlight w:val="white"/>
        </w:rPr>
        <w:t>Moughari</w:t>
      </w:r>
      <w:proofErr w:type="spellEnd"/>
      <w:r w:rsidRPr="00BF6631">
        <w:rPr>
          <w:rFonts w:ascii="Times New Roman" w:eastAsia="Times New Roman" w:hAnsi="Times New Roman" w:cs="Times New Roman"/>
          <w:color w:val="222222"/>
          <w:sz w:val="24"/>
          <w:szCs w:val="24"/>
          <w:highlight w:val="white"/>
        </w:rPr>
        <w:t xml:space="preserve">, M.M. and Daim, T.U.,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2023). Developing a model of technological innovation for export development in developing countries. </w:t>
      </w:r>
      <w:r w:rsidRPr="00BF6631">
        <w:rPr>
          <w:rFonts w:ascii="Times New Roman" w:eastAsia="Times New Roman" w:hAnsi="Times New Roman" w:cs="Times New Roman"/>
          <w:i/>
          <w:sz w:val="24"/>
          <w:szCs w:val="24"/>
        </w:rPr>
        <w:t>Technology in Society</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75</w:t>
      </w:r>
      <w:r w:rsidRPr="00BF6631">
        <w:rPr>
          <w:rFonts w:ascii="Times New Roman" w:eastAsia="Times New Roman" w:hAnsi="Times New Roman" w:cs="Times New Roman"/>
          <w:sz w:val="24"/>
          <w:szCs w:val="24"/>
        </w:rPr>
        <w:t>, p.102338.</w:t>
      </w:r>
    </w:p>
    <w:p w14:paraId="4C4790D9"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Nadeem, W., Tan, T.M., </w:t>
      </w:r>
      <w:proofErr w:type="spellStart"/>
      <w:r w:rsidRPr="00BF6631">
        <w:rPr>
          <w:rFonts w:ascii="Times New Roman" w:eastAsia="Times New Roman" w:hAnsi="Times New Roman" w:cs="Times New Roman"/>
          <w:color w:val="222222"/>
          <w:sz w:val="24"/>
          <w:szCs w:val="24"/>
          <w:highlight w:val="white"/>
        </w:rPr>
        <w:t>Tajvidi</w:t>
      </w:r>
      <w:proofErr w:type="spellEnd"/>
      <w:r w:rsidRPr="00BF6631">
        <w:rPr>
          <w:rFonts w:ascii="Times New Roman" w:eastAsia="Times New Roman" w:hAnsi="Times New Roman" w:cs="Times New Roman"/>
          <w:color w:val="222222"/>
          <w:sz w:val="24"/>
          <w:szCs w:val="24"/>
          <w:highlight w:val="white"/>
        </w:rPr>
        <w:t xml:space="preserve">, M. and </w:t>
      </w:r>
      <w:proofErr w:type="spellStart"/>
      <w:r w:rsidRPr="00BF6631">
        <w:rPr>
          <w:rFonts w:ascii="Times New Roman" w:eastAsia="Times New Roman" w:hAnsi="Times New Roman" w:cs="Times New Roman"/>
          <w:color w:val="222222"/>
          <w:sz w:val="24"/>
          <w:szCs w:val="24"/>
          <w:highlight w:val="white"/>
        </w:rPr>
        <w:t>Hajli</w:t>
      </w:r>
      <w:proofErr w:type="spellEnd"/>
      <w:r w:rsidRPr="00BF6631">
        <w:rPr>
          <w:rFonts w:ascii="Times New Roman" w:eastAsia="Times New Roman" w:hAnsi="Times New Roman" w:cs="Times New Roman"/>
          <w:color w:val="222222"/>
          <w:sz w:val="24"/>
          <w:szCs w:val="24"/>
          <w:highlight w:val="white"/>
        </w:rPr>
        <w:t xml:space="preserve">, N.,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2021). How do experiences enhance brand relationship performance and value co-creation in social commerce? The role of consumer engagement and </w:t>
      </w:r>
      <w:proofErr w:type="spellStart"/>
      <w:r w:rsidRPr="00BF6631">
        <w:rPr>
          <w:rFonts w:ascii="Times New Roman" w:eastAsia="Times New Roman" w:hAnsi="Times New Roman" w:cs="Times New Roman"/>
          <w:color w:val="222222"/>
          <w:sz w:val="24"/>
          <w:szCs w:val="24"/>
          <w:highlight w:val="white"/>
        </w:rPr>
        <w:t>self brand</w:t>
      </w:r>
      <w:proofErr w:type="spellEnd"/>
      <w:r w:rsidRPr="00BF6631">
        <w:rPr>
          <w:rFonts w:ascii="Times New Roman" w:eastAsia="Times New Roman" w:hAnsi="Times New Roman" w:cs="Times New Roman"/>
          <w:color w:val="222222"/>
          <w:sz w:val="24"/>
          <w:szCs w:val="24"/>
          <w:highlight w:val="white"/>
        </w:rPr>
        <w:t xml:space="preserve">-connection. </w:t>
      </w:r>
      <w:r w:rsidRPr="00BF6631">
        <w:rPr>
          <w:rFonts w:ascii="Times New Roman" w:eastAsia="Times New Roman" w:hAnsi="Times New Roman" w:cs="Times New Roman"/>
          <w:i/>
          <w:sz w:val="24"/>
          <w:szCs w:val="24"/>
        </w:rPr>
        <w:t>Technological Forecasting and Social Change</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171</w:t>
      </w:r>
      <w:r w:rsidRPr="00BF6631">
        <w:rPr>
          <w:rFonts w:ascii="Times New Roman" w:eastAsia="Times New Roman" w:hAnsi="Times New Roman" w:cs="Times New Roman"/>
          <w:sz w:val="24"/>
          <w:szCs w:val="24"/>
        </w:rPr>
        <w:t>, p.120952.</w:t>
      </w:r>
    </w:p>
    <w:p w14:paraId="4C4790DA"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Naujoks, T.,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2020). Marketing functions and B2C e-marketplaces: An exploratory analysis. </w:t>
      </w:r>
      <w:r w:rsidRPr="00BF6631">
        <w:rPr>
          <w:rFonts w:ascii="Times New Roman" w:eastAsia="Times New Roman" w:hAnsi="Times New Roman" w:cs="Times New Roman"/>
          <w:i/>
          <w:sz w:val="24"/>
          <w:szCs w:val="24"/>
        </w:rPr>
        <w:t>Journal of marketing channels</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26</w:t>
      </w:r>
      <w:r w:rsidRPr="00BF6631">
        <w:rPr>
          <w:rFonts w:ascii="Times New Roman" w:eastAsia="Times New Roman" w:hAnsi="Times New Roman" w:cs="Times New Roman"/>
          <w:sz w:val="24"/>
          <w:szCs w:val="24"/>
        </w:rPr>
        <w:t>(4), pp.250-262.</w:t>
      </w:r>
    </w:p>
    <w:p w14:paraId="4C4790DB"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Ons.gov.uk., (2021). </w:t>
      </w:r>
      <w:r w:rsidRPr="00BF6631">
        <w:rPr>
          <w:rFonts w:ascii="Times New Roman" w:eastAsia="Times New Roman" w:hAnsi="Times New Roman" w:cs="Times New Roman"/>
          <w:i/>
          <w:sz w:val="24"/>
          <w:szCs w:val="24"/>
        </w:rPr>
        <w:t>Inflation and price indices - Office for National Statistics</w:t>
      </w:r>
      <w:r w:rsidRPr="00BF6631">
        <w:rPr>
          <w:rFonts w:ascii="Times New Roman" w:eastAsia="Times New Roman" w:hAnsi="Times New Roman" w:cs="Times New Roman"/>
          <w:sz w:val="24"/>
          <w:szCs w:val="24"/>
        </w:rPr>
        <w:t>. [online] Available at: https://www.ons.gov.uk/economy/inflationandpriceindices [Accessed 28 Jun. 2024].</w:t>
      </w:r>
    </w:p>
    <w:p w14:paraId="4C4790DC"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Pappalardo, G., Di Vita, G., </w:t>
      </w:r>
      <w:proofErr w:type="spellStart"/>
      <w:r w:rsidRPr="00BF6631">
        <w:rPr>
          <w:rFonts w:ascii="Times New Roman" w:eastAsia="Times New Roman" w:hAnsi="Times New Roman" w:cs="Times New Roman"/>
          <w:color w:val="222222"/>
          <w:sz w:val="24"/>
          <w:szCs w:val="24"/>
          <w:highlight w:val="white"/>
        </w:rPr>
        <w:t>Zanchini</w:t>
      </w:r>
      <w:proofErr w:type="spellEnd"/>
      <w:r w:rsidRPr="00BF6631">
        <w:rPr>
          <w:rFonts w:ascii="Times New Roman" w:eastAsia="Times New Roman" w:hAnsi="Times New Roman" w:cs="Times New Roman"/>
          <w:color w:val="222222"/>
          <w:sz w:val="24"/>
          <w:szCs w:val="24"/>
          <w:highlight w:val="white"/>
        </w:rPr>
        <w:t xml:space="preserve">, R., La Via, G. and D’Amico, M.,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2020). Do consumers care about antioxidants in wine? The role of naturally resveratrol-enhanced wines in potential health-conscious drinkers’ preferences. </w:t>
      </w:r>
      <w:r w:rsidRPr="00BF6631">
        <w:rPr>
          <w:rFonts w:ascii="Times New Roman" w:eastAsia="Times New Roman" w:hAnsi="Times New Roman" w:cs="Times New Roman"/>
          <w:i/>
          <w:sz w:val="24"/>
          <w:szCs w:val="24"/>
        </w:rPr>
        <w:t>British Food Journal</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122</w:t>
      </w:r>
      <w:r w:rsidRPr="00BF6631">
        <w:rPr>
          <w:rFonts w:ascii="Times New Roman" w:eastAsia="Times New Roman" w:hAnsi="Times New Roman" w:cs="Times New Roman"/>
          <w:sz w:val="24"/>
          <w:szCs w:val="24"/>
        </w:rPr>
        <w:t>(8), pp.2689-2705.</w:t>
      </w:r>
    </w:p>
    <w:p w14:paraId="4C4790DD"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‌Peachey, K., (2021). </w:t>
      </w:r>
      <w:r w:rsidRPr="00BF6631">
        <w:rPr>
          <w:rFonts w:ascii="Times New Roman" w:eastAsia="Times New Roman" w:hAnsi="Times New Roman" w:cs="Times New Roman"/>
          <w:i/>
          <w:sz w:val="24"/>
          <w:szCs w:val="24"/>
        </w:rPr>
        <w:t>Mortgage rates: How do UK interest rates affect me and when will they fall?</w:t>
      </w:r>
      <w:r w:rsidRPr="00BF6631">
        <w:rPr>
          <w:rFonts w:ascii="Times New Roman" w:eastAsia="Times New Roman" w:hAnsi="Times New Roman" w:cs="Times New Roman"/>
          <w:sz w:val="24"/>
          <w:szCs w:val="24"/>
        </w:rPr>
        <w:t xml:space="preserve"> [online] Bbc.com. Available at: https://www.bbc.com/news/business-57764601 [Accessed 28 Jun. 2024].</w:t>
      </w:r>
    </w:p>
    <w:p w14:paraId="4C4790DE"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Ramjaun, T.I., Pullman, M., Kumar, M. and Sanchez Rodrigues, V.,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2024). Strength in numbers: collaborative procurement and competitiveness of craft breweries. </w:t>
      </w:r>
      <w:r w:rsidRPr="00BF6631">
        <w:rPr>
          <w:rFonts w:ascii="Times New Roman" w:eastAsia="Times New Roman" w:hAnsi="Times New Roman" w:cs="Times New Roman"/>
          <w:i/>
          <w:sz w:val="24"/>
          <w:szCs w:val="24"/>
        </w:rPr>
        <w:t>International Journal of Operations &amp; Production Management</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44</w:t>
      </w:r>
      <w:r w:rsidRPr="00BF6631">
        <w:rPr>
          <w:rFonts w:ascii="Times New Roman" w:eastAsia="Times New Roman" w:hAnsi="Times New Roman" w:cs="Times New Roman"/>
          <w:sz w:val="24"/>
          <w:szCs w:val="24"/>
        </w:rPr>
        <w:t>(3), pp.643-665.</w:t>
      </w:r>
    </w:p>
    <w:p w14:paraId="4C4790DF" w14:textId="77777777" w:rsidR="00BF6631" w:rsidRPr="00BF6631" w:rsidRDefault="00BF6631">
      <w:pPr>
        <w:spacing w:line="360" w:lineRule="auto"/>
        <w:jc w:val="both"/>
        <w:rPr>
          <w:rFonts w:ascii="Times New Roman" w:eastAsia="Times New Roman" w:hAnsi="Times New Roman" w:cs="Times New Roman"/>
          <w:sz w:val="24"/>
          <w:szCs w:val="24"/>
        </w:rPr>
      </w:pPr>
      <w:proofErr w:type="spellStart"/>
      <w:r w:rsidRPr="00BF6631">
        <w:rPr>
          <w:rFonts w:ascii="Times New Roman" w:eastAsia="Times New Roman" w:hAnsi="Times New Roman" w:cs="Times New Roman"/>
          <w:color w:val="222222"/>
          <w:sz w:val="24"/>
          <w:szCs w:val="24"/>
          <w:highlight w:val="white"/>
        </w:rPr>
        <w:lastRenderedPageBreak/>
        <w:t>Rîpa</w:t>
      </w:r>
      <w:proofErr w:type="spellEnd"/>
      <w:r w:rsidRPr="00BF6631">
        <w:rPr>
          <w:rFonts w:ascii="Times New Roman" w:eastAsia="Times New Roman" w:hAnsi="Times New Roman" w:cs="Times New Roman"/>
          <w:color w:val="222222"/>
          <w:sz w:val="24"/>
          <w:szCs w:val="24"/>
          <w:highlight w:val="white"/>
        </w:rPr>
        <w:t xml:space="preserve">, A.I. and Nicolescu, L.,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2023). Customer Relationship Management. Websites Analysis of the Top Ten Consumer Goods Companies. </w:t>
      </w:r>
      <w:r w:rsidRPr="00BF6631">
        <w:rPr>
          <w:rFonts w:ascii="Times New Roman" w:eastAsia="Times New Roman" w:hAnsi="Times New Roman" w:cs="Times New Roman"/>
          <w:i/>
          <w:sz w:val="24"/>
          <w:szCs w:val="24"/>
        </w:rPr>
        <w:t>Management Dynamics in the Knowledge Economy</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11</w:t>
      </w:r>
      <w:r w:rsidRPr="00BF6631">
        <w:rPr>
          <w:rFonts w:ascii="Times New Roman" w:eastAsia="Times New Roman" w:hAnsi="Times New Roman" w:cs="Times New Roman"/>
          <w:sz w:val="24"/>
          <w:szCs w:val="24"/>
        </w:rPr>
        <w:t>(4), pp.352-371.</w:t>
      </w:r>
    </w:p>
    <w:p w14:paraId="4C4790E0"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Saren, M., Hassan, L.M., McGowan, M., Smith, N.C., Surman, E. and Varman, R. eds.,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2024). </w:t>
      </w:r>
      <w:r w:rsidRPr="00BF6631">
        <w:rPr>
          <w:rFonts w:ascii="Times New Roman" w:eastAsia="Times New Roman" w:hAnsi="Times New Roman" w:cs="Times New Roman"/>
          <w:i/>
          <w:sz w:val="24"/>
          <w:szCs w:val="24"/>
        </w:rPr>
        <w:t>Responsible Marketing for Well-being and Society: A Research Companion</w:t>
      </w:r>
      <w:r w:rsidRPr="00BF6631">
        <w:rPr>
          <w:rFonts w:ascii="Times New Roman" w:eastAsia="Times New Roman" w:hAnsi="Times New Roman" w:cs="Times New Roman"/>
          <w:sz w:val="24"/>
          <w:szCs w:val="24"/>
        </w:rPr>
        <w:t>. Taylor &amp; Francis.</w:t>
      </w:r>
    </w:p>
    <w:p w14:paraId="4C4790E1"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Sharpley, R. ed.,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2022). </w:t>
      </w:r>
      <w:r w:rsidRPr="00BF6631">
        <w:rPr>
          <w:rFonts w:ascii="Times New Roman" w:eastAsia="Times New Roman" w:hAnsi="Times New Roman" w:cs="Times New Roman"/>
          <w:i/>
          <w:sz w:val="24"/>
          <w:szCs w:val="24"/>
        </w:rPr>
        <w:t>Routledge handbook of the tourist experience</w:t>
      </w:r>
      <w:r w:rsidRPr="00BF6631">
        <w:rPr>
          <w:rFonts w:ascii="Times New Roman" w:eastAsia="Times New Roman" w:hAnsi="Times New Roman" w:cs="Times New Roman"/>
          <w:sz w:val="24"/>
          <w:szCs w:val="24"/>
        </w:rPr>
        <w:t>. London: Routledge.</w:t>
      </w:r>
    </w:p>
    <w:p w14:paraId="4C4790E2" w14:textId="77777777" w:rsidR="00BF6631" w:rsidRP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sz w:val="24"/>
          <w:szCs w:val="24"/>
        </w:rPr>
        <w:t xml:space="preserve">‌Watson, B., (2024). </w:t>
      </w:r>
      <w:r w:rsidRPr="00BF6631">
        <w:rPr>
          <w:rFonts w:ascii="Times New Roman" w:eastAsia="Times New Roman" w:hAnsi="Times New Roman" w:cs="Times New Roman"/>
          <w:i/>
          <w:sz w:val="24"/>
          <w:szCs w:val="24"/>
        </w:rPr>
        <w:t>Employment in the UK</w:t>
      </w:r>
      <w:r w:rsidRPr="00BF6631">
        <w:rPr>
          <w:rFonts w:ascii="Times New Roman" w:eastAsia="Times New Roman" w:hAnsi="Times New Roman" w:cs="Times New Roman"/>
          <w:sz w:val="24"/>
          <w:szCs w:val="24"/>
        </w:rPr>
        <w:t>. [online] Ons.gov.uk. Available at: https://www.ons.gov.uk/employmentandlabourmarket/peopleinwork/employmentandemployeetypes/bulletins/employmentintheuk/february2024#:~:text=The%20UK%20employment%20rate%20(75.0,(October%20to%20December%202022). [Accessed 28 Jun. 2024].</w:t>
      </w:r>
    </w:p>
    <w:p w14:paraId="4C4790E3" w14:textId="77777777" w:rsidR="00BF6631" w:rsidRDefault="00BF6631">
      <w:pPr>
        <w:spacing w:line="360" w:lineRule="auto"/>
        <w:jc w:val="both"/>
        <w:rPr>
          <w:rFonts w:ascii="Times New Roman" w:eastAsia="Times New Roman" w:hAnsi="Times New Roman" w:cs="Times New Roman"/>
          <w:sz w:val="24"/>
          <w:szCs w:val="24"/>
        </w:rPr>
      </w:pPr>
      <w:r w:rsidRPr="00BF6631">
        <w:rPr>
          <w:rFonts w:ascii="Times New Roman" w:eastAsia="Times New Roman" w:hAnsi="Times New Roman" w:cs="Times New Roman"/>
          <w:color w:val="222222"/>
          <w:sz w:val="24"/>
          <w:szCs w:val="24"/>
          <w:highlight w:val="white"/>
        </w:rPr>
        <w:t xml:space="preserve">Xu, X.Y., Jia, Q.D. and Tayyab, S.M.U., </w:t>
      </w:r>
      <w:r w:rsidRPr="00BF6631">
        <w:rPr>
          <w:rFonts w:ascii="Times New Roman" w:eastAsia="Times New Roman" w:hAnsi="Times New Roman" w:cs="Times New Roman"/>
          <w:sz w:val="24"/>
          <w:szCs w:val="24"/>
        </w:rPr>
        <w:t>(</w:t>
      </w:r>
      <w:r w:rsidRPr="00BF6631">
        <w:rPr>
          <w:rFonts w:ascii="Times New Roman" w:eastAsia="Times New Roman" w:hAnsi="Times New Roman" w:cs="Times New Roman"/>
          <w:color w:val="222222"/>
          <w:sz w:val="24"/>
          <w:szCs w:val="24"/>
          <w:highlight w:val="white"/>
        </w:rPr>
        <w:t xml:space="preserve">2024). Exploring the stimulating role of augmented reality features in E-commerce: A three-staged hybrid approach. </w:t>
      </w:r>
      <w:r w:rsidRPr="00BF6631">
        <w:rPr>
          <w:rFonts w:ascii="Times New Roman" w:eastAsia="Times New Roman" w:hAnsi="Times New Roman" w:cs="Times New Roman"/>
          <w:i/>
          <w:sz w:val="24"/>
          <w:szCs w:val="24"/>
        </w:rPr>
        <w:t>Journal of Retailing and Consumer Services</w:t>
      </w:r>
      <w:r w:rsidRPr="00BF6631">
        <w:rPr>
          <w:rFonts w:ascii="Times New Roman" w:eastAsia="Times New Roman" w:hAnsi="Times New Roman" w:cs="Times New Roman"/>
          <w:sz w:val="24"/>
          <w:szCs w:val="24"/>
        </w:rPr>
        <w:t xml:space="preserve">, </w:t>
      </w:r>
      <w:r w:rsidRPr="00BF6631">
        <w:rPr>
          <w:rFonts w:ascii="Times New Roman" w:eastAsia="Times New Roman" w:hAnsi="Times New Roman" w:cs="Times New Roman"/>
          <w:i/>
          <w:sz w:val="24"/>
          <w:szCs w:val="24"/>
        </w:rPr>
        <w:t>77</w:t>
      </w:r>
      <w:r w:rsidRPr="00BF6631">
        <w:rPr>
          <w:rFonts w:ascii="Times New Roman" w:eastAsia="Times New Roman" w:hAnsi="Times New Roman" w:cs="Times New Roman"/>
          <w:sz w:val="24"/>
          <w:szCs w:val="24"/>
        </w:rPr>
        <w:t>, p.103682.</w:t>
      </w:r>
    </w:p>
    <w:p w14:paraId="26F3C0EA" w14:textId="77777777" w:rsidR="00AE53A0" w:rsidRPr="00BF6631" w:rsidRDefault="00AE53A0">
      <w:pPr>
        <w:spacing w:line="360" w:lineRule="auto"/>
        <w:jc w:val="both"/>
        <w:rPr>
          <w:rFonts w:ascii="Times New Roman" w:eastAsia="Times New Roman" w:hAnsi="Times New Roman" w:cs="Times New Roman"/>
          <w:sz w:val="24"/>
          <w:szCs w:val="24"/>
        </w:rPr>
      </w:pPr>
    </w:p>
    <w:p w14:paraId="4C4790E4" w14:textId="77777777" w:rsidR="00F13646" w:rsidRPr="00BF6631" w:rsidRDefault="00F13646">
      <w:pPr>
        <w:spacing w:line="360" w:lineRule="auto"/>
        <w:ind w:right="140"/>
        <w:jc w:val="both"/>
        <w:rPr>
          <w:rFonts w:ascii="Times New Roman" w:eastAsia="Times New Roman" w:hAnsi="Times New Roman" w:cs="Times New Roman"/>
          <w:sz w:val="24"/>
          <w:szCs w:val="24"/>
        </w:rPr>
      </w:pPr>
    </w:p>
    <w:sectPr w:rsidR="00F13646" w:rsidRPr="00BF6631">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4790F9" w14:textId="77777777" w:rsidR="007B349A" w:rsidRDefault="007B349A" w:rsidP="00BF6631">
      <w:pPr>
        <w:spacing w:line="240" w:lineRule="auto"/>
      </w:pPr>
      <w:r>
        <w:separator/>
      </w:r>
    </w:p>
  </w:endnote>
  <w:endnote w:type="continuationSeparator" w:id="0">
    <w:p w14:paraId="4C4790FA" w14:textId="77777777" w:rsidR="007B349A" w:rsidRDefault="007B349A" w:rsidP="00BF663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4732030"/>
      <w:docPartObj>
        <w:docPartGallery w:val="Page Numbers (Bottom of Page)"/>
        <w:docPartUnique/>
      </w:docPartObj>
    </w:sdtPr>
    <w:sdtEndPr>
      <w:rPr>
        <w:noProof/>
      </w:rPr>
    </w:sdtEndPr>
    <w:sdtContent>
      <w:p w14:paraId="4C4790FB" w14:textId="77777777" w:rsidR="00BF6631" w:rsidRDefault="00BF6631">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C4790FC" w14:textId="77777777" w:rsidR="00BF6631" w:rsidRDefault="00BF6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C4790F7" w14:textId="77777777" w:rsidR="007B349A" w:rsidRDefault="007B349A" w:rsidP="00BF6631">
      <w:pPr>
        <w:spacing w:line="240" w:lineRule="auto"/>
      </w:pPr>
      <w:r>
        <w:separator/>
      </w:r>
    </w:p>
  </w:footnote>
  <w:footnote w:type="continuationSeparator" w:id="0">
    <w:p w14:paraId="4C4790F8" w14:textId="77777777" w:rsidR="007B349A" w:rsidRDefault="007B349A" w:rsidP="00BF663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3646"/>
    <w:rsid w:val="000E0691"/>
    <w:rsid w:val="001C43E9"/>
    <w:rsid w:val="00571C2C"/>
    <w:rsid w:val="007B349A"/>
    <w:rsid w:val="0083507B"/>
    <w:rsid w:val="00A5658C"/>
    <w:rsid w:val="00AE53A0"/>
    <w:rsid w:val="00BF6631"/>
    <w:rsid w:val="00D71254"/>
    <w:rsid w:val="00F13646"/>
    <w:rsid w:val="00F65BED"/>
    <w:rsid w:val="00FF4D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479048"/>
  <w15:docId w15:val="{82F96D02-9C00-4F09-8B52-6ED58DE37D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line="360" w:lineRule="auto"/>
      <w:ind w:right="-182"/>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line="360" w:lineRule="auto"/>
      <w:ind w:right="-182"/>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line="360" w:lineRule="auto"/>
      <w:ind w:right="-182"/>
      <w:jc w:val="center"/>
    </w:pPr>
    <w:rPr>
      <w:rFonts w:ascii="Times New Roman" w:eastAsia="Times New Roman" w:hAnsi="Times New Roman" w:cs="Times New Roman"/>
      <w:b/>
      <w:sz w:val="32"/>
      <w:szCs w:val="32"/>
      <w:u w:val="single"/>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F6631"/>
    <w:pPr>
      <w:tabs>
        <w:tab w:val="center" w:pos="4680"/>
        <w:tab w:val="right" w:pos="9360"/>
      </w:tabs>
      <w:spacing w:line="240" w:lineRule="auto"/>
    </w:pPr>
  </w:style>
  <w:style w:type="character" w:customStyle="1" w:styleId="HeaderChar">
    <w:name w:val="Header Char"/>
    <w:basedOn w:val="DefaultParagraphFont"/>
    <w:link w:val="Header"/>
    <w:uiPriority w:val="99"/>
    <w:rsid w:val="00BF6631"/>
  </w:style>
  <w:style w:type="paragraph" w:styleId="Footer">
    <w:name w:val="footer"/>
    <w:basedOn w:val="Normal"/>
    <w:link w:val="FooterChar"/>
    <w:uiPriority w:val="99"/>
    <w:unhideWhenUsed/>
    <w:rsid w:val="00BF6631"/>
    <w:pPr>
      <w:tabs>
        <w:tab w:val="center" w:pos="4680"/>
        <w:tab w:val="right" w:pos="9360"/>
      </w:tabs>
      <w:spacing w:line="240" w:lineRule="auto"/>
    </w:pPr>
  </w:style>
  <w:style w:type="character" w:customStyle="1" w:styleId="FooterChar">
    <w:name w:val="Footer Char"/>
    <w:basedOn w:val="DefaultParagraphFont"/>
    <w:link w:val="Footer"/>
    <w:uiPriority w:val="99"/>
    <w:rsid w:val="00BF6631"/>
  </w:style>
  <w:style w:type="paragraph" w:styleId="BalloonText">
    <w:name w:val="Balloon Text"/>
    <w:basedOn w:val="Normal"/>
    <w:link w:val="BalloonTextChar"/>
    <w:uiPriority w:val="99"/>
    <w:semiHidden/>
    <w:unhideWhenUsed/>
    <w:rsid w:val="00BF66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631"/>
    <w:rPr>
      <w:rFonts w:ascii="Tahoma" w:hAnsi="Tahoma" w:cs="Tahoma"/>
      <w:sz w:val="16"/>
      <w:szCs w:val="16"/>
      <w:lang w:val="en-GB"/>
    </w:rPr>
  </w:style>
  <w:style w:type="paragraph" w:styleId="TOCHeading">
    <w:name w:val="TOC Heading"/>
    <w:basedOn w:val="Heading1"/>
    <w:next w:val="Normal"/>
    <w:uiPriority w:val="39"/>
    <w:semiHidden/>
    <w:unhideWhenUsed/>
    <w:qFormat/>
    <w:rsid w:val="00BF6631"/>
    <w:pPr>
      <w:spacing w:before="480" w:line="276" w:lineRule="auto"/>
      <w:ind w:right="0"/>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BF6631"/>
    <w:pPr>
      <w:spacing w:after="100"/>
    </w:pPr>
  </w:style>
  <w:style w:type="paragraph" w:styleId="TOC2">
    <w:name w:val="toc 2"/>
    <w:basedOn w:val="Normal"/>
    <w:next w:val="Normal"/>
    <w:autoRedefine/>
    <w:uiPriority w:val="39"/>
    <w:unhideWhenUsed/>
    <w:rsid w:val="00BF6631"/>
    <w:pPr>
      <w:spacing w:after="100"/>
      <w:ind w:left="220"/>
    </w:pPr>
  </w:style>
  <w:style w:type="character" w:styleId="Hyperlink">
    <w:name w:val="Hyperlink"/>
    <w:basedOn w:val="DefaultParagraphFont"/>
    <w:uiPriority w:val="99"/>
    <w:unhideWhenUsed/>
    <w:rsid w:val="00BF66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64953F-58B5-4E50-9CE1-D6856E0F0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4466</Words>
  <Characters>26754</Characters>
  <Application>Microsoft Office Word</Application>
  <DocSecurity>0</DocSecurity>
  <Lines>438</Lines>
  <Paragraphs>124</Paragraphs>
  <ScaleCrop>false</ScaleCrop>
  <Company/>
  <LinksUpToDate>false</LinksUpToDate>
  <CharactersWithSpaces>31096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Stefania Enoaica</cp:lastModifiedBy>
  <cp:revision>2</cp:revision>
  <dcterms:created xsi:type="dcterms:W3CDTF">2024-07-03T11:00:00Z</dcterms:created>
  <dcterms:modified xsi:type="dcterms:W3CDTF">2024-07-03T11:00:00Z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7c6f287b5bcfc45da265e631ad26fd6602b606cf8615fa55dbe73b7e116daac4</vt:lpwstr>
  </property>
</Properties>
</file>