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5D11A" w14:textId="56C3C41C" w:rsidR="00F52ED0" w:rsidRDefault="00F52ED0">
      <w:pPr>
        <w:pStyle w:val="Heading1"/>
        <w:rPr>
          <w:b w:val="0"/>
          <w:bCs w:val="0"/>
          <w:color w:val="17365D" w:themeColor="text2" w:themeShade="BF"/>
          <w:spacing w:val="5"/>
          <w:kern w:val="28"/>
          <w:sz w:val="52"/>
          <w:szCs w:val="52"/>
        </w:rPr>
      </w:pPr>
      <w:r w:rsidRPr="00074402">
        <w:rPr>
          <w:rFonts w:ascii="Arial" w:hAnsi="Arial" w:cs="Arial"/>
          <w:noProof/>
          <w:szCs w:val="24"/>
        </w:rPr>
        <w:drawing>
          <wp:anchor distT="0" distB="0" distL="114300" distR="114300" simplePos="0" relativeHeight="251659264" behindDoc="0" locked="0" layoutInCell="1" allowOverlap="1" wp14:anchorId="2F475511" wp14:editId="5E97406B">
            <wp:simplePos x="0" y="0"/>
            <wp:positionH relativeFrom="margin">
              <wp:posOffset>0</wp:posOffset>
            </wp:positionH>
            <wp:positionV relativeFrom="paragraph">
              <wp:posOffset>771525</wp:posOffset>
            </wp:positionV>
            <wp:extent cx="2600325" cy="9144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A8DC5D" w14:textId="41A158BB" w:rsidR="00F52ED0" w:rsidRDefault="00F52ED0">
      <w:pPr>
        <w:pStyle w:val="Heading1"/>
        <w:rPr>
          <w:b w:val="0"/>
          <w:bCs w:val="0"/>
          <w:color w:val="17365D" w:themeColor="text2" w:themeShade="BF"/>
          <w:spacing w:val="5"/>
          <w:kern w:val="28"/>
          <w:sz w:val="52"/>
          <w:szCs w:val="52"/>
        </w:rPr>
      </w:pPr>
      <w:r w:rsidRPr="00F52ED0">
        <w:rPr>
          <w:b w:val="0"/>
          <w:bCs w:val="0"/>
          <w:color w:val="17365D" w:themeColor="text2" w:themeShade="BF"/>
          <w:spacing w:val="5"/>
          <w:kern w:val="28"/>
          <w:sz w:val="52"/>
          <w:szCs w:val="52"/>
        </w:rPr>
        <w:t xml:space="preserve">Digital Transformation in the Health and Care Professions (BMHP6026) </w:t>
      </w:r>
    </w:p>
    <w:p w14:paraId="32383688" w14:textId="77777777" w:rsidR="00F52ED0" w:rsidRDefault="00F52ED0">
      <w:pPr>
        <w:pStyle w:val="Heading1"/>
        <w:rPr>
          <w:b w:val="0"/>
          <w:bCs w:val="0"/>
          <w:color w:val="17365D" w:themeColor="text2" w:themeShade="BF"/>
          <w:spacing w:val="5"/>
          <w:kern w:val="28"/>
          <w:sz w:val="52"/>
          <w:szCs w:val="52"/>
        </w:rPr>
      </w:pPr>
      <w:r w:rsidRPr="00F52ED0">
        <w:rPr>
          <w:b w:val="0"/>
          <w:bCs w:val="0"/>
          <w:color w:val="17365D" w:themeColor="text2" w:themeShade="BF"/>
          <w:spacing w:val="5"/>
          <w:kern w:val="28"/>
          <w:sz w:val="52"/>
          <w:szCs w:val="52"/>
        </w:rPr>
        <w:t xml:space="preserve">Component 1: Written Report </w:t>
      </w:r>
    </w:p>
    <w:p w14:paraId="1BDFC397" w14:textId="769396E5" w:rsidR="00F52ED0" w:rsidRDefault="00F52ED0">
      <w:pPr>
        <w:pStyle w:val="Heading1"/>
        <w:rPr>
          <w:b w:val="0"/>
          <w:bCs w:val="0"/>
          <w:color w:val="17365D" w:themeColor="text2" w:themeShade="BF"/>
          <w:spacing w:val="5"/>
          <w:kern w:val="28"/>
          <w:sz w:val="52"/>
          <w:szCs w:val="52"/>
        </w:rPr>
      </w:pPr>
      <w:r w:rsidRPr="00F52ED0">
        <w:rPr>
          <w:b w:val="0"/>
          <w:bCs w:val="0"/>
          <w:color w:val="17365D" w:themeColor="text2" w:themeShade="BF"/>
          <w:spacing w:val="5"/>
          <w:kern w:val="28"/>
          <w:sz w:val="52"/>
          <w:szCs w:val="52"/>
        </w:rPr>
        <w:t xml:space="preserve">Student name: </w:t>
      </w:r>
      <w:r>
        <w:rPr>
          <w:b w:val="0"/>
          <w:bCs w:val="0"/>
          <w:color w:val="17365D" w:themeColor="text2" w:themeShade="BF"/>
          <w:spacing w:val="5"/>
          <w:kern w:val="28"/>
          <w:sz w:val="52"/>
          <w:szCs w:val="52"/>
        </w:rPr>
        <w:t>Catalin Anca</w:t>
      </w:r>
    </w:p>
    <w:p w14:paraId="47EE8EF9" w14:textId="4007FFAA" w:rsidR="00F52ED0" w:rsidRDefault="00F52ED0">
      <w:pPr>
        <w:pStyle w:val="Heading1"/>
        <w:rPr>
          <w:b w:val="0"/>
          <w:bCs w:val="0"/>
          <w:color w:val="17365D" w:themeColor="text2" w:themeShade="BF"/>
          <w:spacing w:val="5"/>
          <w:kern w:val="28"/>
          <w:sz w:val="52"/>
          <w:szCs w:val="52"/>
        </w:rPr>
      </w:pPr>
      <w:r w:rsidRPr="00F52ED0">
        <w:rPr>
          <w:b w:val="0"/>
          <w:bCs w:val="0"/>
          <w:color w:val="17365D" w:themeColor="text2" w:themeShade="BF"/>
          <w:spacing w:val="5"/>
          <w:kern w:val="28"/>
          <w:sz w:val="52"/>
          <w:szCs w:val="52"/>
        </w:rPr>
        <w:t xml:space="preserve">Student number: </w:t>
      </w:r>
      <w:r>
        <w:rPr>
          <w:b w:val="0"/>
          <w:bCs w:val="0"/>
          <w:color w:val="17365D" w:themeColor="text2" w:themeShade="BF"/>
          <w:spacing w:val="5"/>
          <w:kern w:val="28"/>
          <w:sz w:val="52"/>
          <w:szCs w:val="52"/>
        </w:rPr>
        <w:t>2024817</w:t>
      </w:r>
    </w:p>
    <w:p w14:paraId="0323C7E3" w14:textId="0163012B" w:rsidR="00F52ED0" w:rsidRDefault="00F52ED0">
      <w:pPr>
        <w:pStyle w:val="Heading1"/>
        <w:rPr>
          <w:b w:val="0"/>
          <w:bCs w:val="0"/>
          <w:color w:val="17365D" w:themeColor="text2" w:themeShade="BF"/>
          <w:spacing w:val="5"/>
          <w:kern w:val="28"/>
          <w:sz w:val="52"/>
          <w:szCs w:val="52"/>
        </w:rPr>
      </w:pPr>
      <w:r w:rsidRPr="00F52ED0">
        <w:rPr>
          <w:b w:val="0"/>
          <w:bCs w:val="0"/>
          <w:color w:val="17365D" w:themeColor="text2" w:themeShade="BF"/>
          <w:spacing w:val="5"/>
          <w:kern w:val="28"/>
          <w:sz w:val="52"/>
          <w:szCs w:val="52"/>
        </w:rPr>
        <w:t>Lecturer’s name:</w:t>
      </w:r>
      <w:r w:rsidRPr="00F52ED0">
        <w:rPr>
          <w:rFonts w:asciiTheme="minorHAnsi" w:eastAsiaTheme="minorEastAsia" w:hAnsiTheme="minorHAnsi" w:cstheme="minorBidi"/>
          <w:b w:val="0"/>
          <w:bCs w:val="0"/>
          <w:color w:val="auto"/>
          <w:sz w:val="22"/>
          <w:szCs w:val="22"/>
        </w:rPr>
        <w:t xml:space="preserve"> </w:t>
      </w:r>
      <w:r>
        <w:rPr>
          <w:rFonts w:asciiTheme="minorHAnsi" w:eastAsiaTheme="minorEastAsia" w:hAnsiTheme="minorHAnsi" w:cstheme="minorBidi"/>
          <w:b w:val="0"/>
          <w:bCs w:val="0"/>
          <w:color w:val="auto"/>
          <w:sz w:val="22"/>
          <w:szCs w:val="22"/>
        </w:rPr>
        <w:t xml:space="preserve"> </w:t>
      </w:r>
      <w:r w:rsidRPr="00F52ED0">
        <w:rPr>
          <w:b w:val="0"/>
          <w:bCs w:val="0"/>
          <w:color w:val="17365D" w:themeColor="text2" w:themeShade="BF"/>
          <w:spacing w:val="5"/>
          <w:kern w:val="28"/>
          <w:sz w:val="52"/>
          <w:szCs w:val="52"/>
        </w:rPr>
        <w:t>Muhammed Khan</w:t>
      </w:r>
    </w:p>
    <w:p w14:paraId="16E65D84" w14:textId="77777777" w:rsidR="00F52ED0" w:rsidRDefault="00F52ED0">
      <w:pPr>
        <w:pStyle w:val="Heading1"/>
      </w:pPr>
    </w:p>
    <w:p w14:paraId="39DEF42F" w14:textId="77777777" w:rsidR="00F52ED0" w:rsidRDefault="00F52ED0">
      <w:pPr>
        <w:pStyle w:val="Heading1"/>
      </w:pPr>
    </w:p>
    <w:p w14:paraId="7A6516D5" w14:textId="77777777" w:rsidR="00F52ED0" w:rsidRDefault="00F52ED0">
      <w:pPr>
        <w:pStyle w:val="Heading1"/>
      </w:pPr>
    </w:p>
    <w:p w14:paraId="2F3648B0" w14:textId="394A81DF" w:rsidR="00CF69AA" w:rsidRDefault="00000000">
      <w:pPr>
        <w:pStyle w:val="Heading1"/>
      </w:pPr>
      <w:r>
        <w:lastRenderedPageBreak/>
        <w:t>Introduction</w:t>
      </w:r>
    </w:p>
    <w:p w14:paraId="508F6539" w14:textId="77777777" w:rsidR="00CF69AA" w:rsidRDefault="00000000">
      <w:r>
        <w:t>Over the past decade, digital technologies have increasingly influenced the way health and social care services operate. One of the most visible examples of this shift is the rapid development of telehealth. Telehealth generally refers to the use of digital communication technologies, such as video consultations, mobile health applications, remote monitoring devices and online platforms, to deliver healthcare services when patients and professionals are not physically in the same location. While the concept itself is not entirely new, its adoption accelerated dramatically during the COVID‑19 pandemic, when healthcare systems around the world were forced to find alternative ways to maintain care while limiting physical contact.</w:t>
      </w:r>
    </w:p>
    <w:p w14:paraId="282B1B05" w14:textId="77777777" w:rsidR="00CF69AA" w:rsidRDefault="00000000">
      <w:r>
        <w:t>Digital transformation in healthcare is not simply about introducing new technologies. Instead, it represents a broader change in how services are organised, delivered and experienced by patients, professionals and communities. Telehealth plays a key role within this transformation because it allows healthcare providers to rethink traditional models of care that rely heavily on face‑to‑face interactions.</w:t>
      </w:r>
    </w:p>
    <w:p w14:paraId="18B84418" w14:textId="77777777" w:rsidR="00CF69AA" w:rsidRDefault="00000000">
      <w:r>
        <w:t>In many healthcare systems, long waiting times, geographical barriers and workforce shortages have historically limited access to care. Telehealth technologies offer potential solutions to some of these challenges. For example, virtual consultations can reduce the need for travel, remote monitoring can support early intervention, and digital communication tools can improve coordination between professionals. As a result, telehealth is increasingly viewed as a key component of modern, patient‑centred healthcare systems.</w:t>
      </w:r>
    </w:p>
    <w:p w14:paraId="701905D0" w14:textId="77777777" w:rsidR="00CF69AA" w:rsidRDefault="00000000">
      <w:r>
        <w:t>At the same time, the integration of telehealth into everyday practice raises a number of important questions. Healthcare professionals must develop new digital skills, organisations must adapt their service delivery models, and patients must learn to navigate digital platforms. Furthermore, issues such as digital inequality, data protection and patient trust must be carefully considered.</w:t>
      </w:r>
    </w:p>
    <w:p w14:paraId="0B00E624" w14:textId="77777777" w:rsidR="00CF69AA" w:rsidRDefault="00000000">
      <w:r>
        <w:t>This report critically explores the role of telehealth as part of digital transformation in health and social care. It focuses on four key areas: the healthcare workforce, service delivery, patient experiences and the wider community. By analysing both the benefits and challenges of telehealth, the report aims to provide a balanced understanding of how digital innovations are reshaping contemporary healthcare systems.</w:t>
      </w:r>
    </w:p>
    <w:p w14:paraId="4A71452F" w14:textId="77777777" w:rsidR="00F52ED0" w:rsidRDefault="00F52ED0">
      <w:pPr>
        <w:pStyle w:val="Heading1"/>
      </w:pPr>
    </w:p>
    <w:p w14:paraId="75AE6652" w14:textId="77777777" w:rsidR="00F52ED0" w:rsidRDefault="00F52ED0">
      <w:pPr>
        <w:pStyle w:val="Heading1"/>
      </w:pPr>
    </w:p>
    <w:p w14:paraId="3C89A402" w14:textId="767806EB" w:rsidR="00CF69AA" w:rsidRDefault="00000000">
      <w:pPr>
        <w:pStyle w:val="Heading1"/>
      </w:pPr>
      <w:r>
        <w:t>Impact on the Healthcare Workforce</w:t>
      </w:r>
    </w:p>
    <w:p w14:paraId="0765ABA9" w14:textId="77777777" w:rsidR="00CF69AA" w:rsidRDefault="00000000">
      <w:r>
        <w:t>The introduction of telehealth has significantly changed the daily work of many healthcare professionals. Traditionally, most healthcare interactions took place in clinics, hospitals or community settings where professionals could directly examine patients. With telehealth, many of these interactions now occur through digital platforms, which requires a different set of skills and working practices.</w:t>
      </w:r>
    </w:p>
    <w:p w14:paraId="62771815" w14:textId="77777777" w:rsidR="00CF69AA" w:rsidRDefault="00000000">
      <w:r>
        <w:t>One of the most important changes relates to digital literacy. Healthcare professionals are now expected to feel confident using video consultation platforms, electronic health record systems, remote monitoring technologies and secure messaging tools. For some staff members, particularly those who trained before the widespread adoption of digital technologies, this transition can be challenging. Organisations therefore need to provide appropriate training and ongoing support to ensure that staff feel comfortable using telehealth systems.</w:t>
      </w:r>
    </w:p>
    <w:p w14:paraId="0DE3C57C" w14:textId="77777777" w:rsidR="00CF69AA" w:rsidRDefault="00000000">
      <w:r>
        <w:t>Telehealth also affects professional roles and responsibilities. Nurses, for example, may take on greater responsibility for monitoring patients remotely and providing follow‑up support after virtual consultations. Allied health professionals such as physiotherapists or mental health practitioners increasingly deliver therapy sessions online. In addition, entirely new roles are emerging within healthcare organisations, including digital health coordinators, telehealth support staff and clinical informatics specialists.</w:t>
      </w:r>
    </w:p>
    <w:p w14:paraId="761BD014" w14:textId="77777777" w:rsidR="00CF69AA" w:rsidRDefault="00000000">
      <w:r>
        <w:t>Another important aspect of telehealth is its impact on workload and working patterns. On the one hand, telehealth can increase flexibility for healthcare professionals. Remote consultations can reduce travel time for community staff and allow some professionals to work from different locations. This flexibility can improve job satisfaction and work‑life balance in some cases.</w:t>
      </w:r>
    </w:p>
    <w:p w14:paraId="240A8BA6" w14:textId="77777777" w:rsidR="00CF69AA" w:rsidRDefault="00000000">
      <w:r>
        <w:t>On the other hand, telehealth can also create new pressures. Some professionals report that virtual consultations require more concentration because it can be harder to read body language or non‑verbal cues through a screen. Technical problems, such as poor internet connections or unfamiliar software, may interrupt consultations and increase frustration for both staff and patients.</w:t>
      </w:r>
    </w:p>
    <w:p w14:paraId="439C26DC" w14:textId="77777777" w:rsidR="00CF69AA" w:rsidRDefault="00000000">
      <w:r>
        <w:t>Communication skills also become even more important in a digital environment. Healthcare professionals must learn to build trust and rapport with patients through a screen, often within limited time frames. This requires careful listening, clear explanations and a patient‑centred approach to communication.</w:t>
      </w:r>
    </w:p>
    <w:p w14:paraId="588BB1AB" w14:textId="77777777" w:rsidR="00CF69AA" w:rsidRDefault="00000000">
      <w:r>
        <w:lastRenderedPageBreak/>
        <w:t>Despite these challenges, telehealth can strengthen collaboration between professionals. Digital systems allow patient information to be shared more quickly between multidisciplinary teams, which can support faster decision‑making and more coordinated care. When implemented effectively, telehealth can therefore contribute to a more connected and efficient healthcare workforce.</w:t>
      </w:r>
    </w:p>
    <w:p w14:paraId="022BCE9B" w14:textId="77777777" w:rsidR="00CF69AA" w:rsidRDefault="00000000">
      <w:pPr>
        <w:pStyle w:val="Heading1"/>
      </w:pPr>
      <w:r>
        <w:t>Impact on Service Delivery</w:t>
      </w:r>
    </w:p>
    <w:p w14:paraId="65A1CFD9" w14:textId="77777777" w:rsidR="00CF69AA" w:rsidRDefault="00000000">
      <w:r>
        <w:t>Telehealth has transformed the way healthcare services are organised and delivered. Traditionally, patients were required to travel to healthcare facilities for most appointments. With telehealth, many interactions can now take place remotely, using video calls, telephone consultations or secure online messaging systems.</w:t>
      </w:r>
    </w:p>
    <w:p w14:paraId="0BAF92E0" w14:textId="77777777" w:rsidR="00CF69AA" w:rsidRDefault="00000000">
      <w:r>
        <w:t>One of the most widely discussed advantages of telehealth is improved efficiency. Virtual consultations can reduce the time required for administrative processes, waiting rooms and patient travel. In some cases, healthcare professionals are able to see more patients during a working day because appointments can be managed more flexibly. This can help healthcare systems respond to increasing demand for services.</w:t>
      </w:r>
    </w:p>
    <w:p w14:paraId="69A25A16" w14:textId="77777777" w:rsidR="00CF69AA" w:rsidRDefault="00000000">
      <w:r>
        <w:t>Telehealth is also particularly useful for the management of long‑term conditions. Patients with chronic illnesses such as diabetes, cardiovascular disease or respiratory conditions often require regular monitoring. Remote monitoring devices allow patients to record health data such as blood pressure, heart rate or glucose levels from home. Healthcare professionals can then review this information and identify potential problems at an earlier stage.</w:t>
      </w:r>
    </w:p>
    <w:p w14:paraId="1466FF79" w14:textId="77777777" w:rsidR="00CF69AA" w:rsidRDefault="00000000">
      <w:r>
        <w:t>Another important benefit relates to access to specialist services. Patients living in rural or remote areas may face significant barriers when trying to access specialist healthcare. Telehealth allows these patients to consult specialists who may be located in larger hospitals or urban centres. As a result, telehealth can reduce geographical inequalities in access to healthcare.</w:t>
      </w:r>
    </w:p>
    <w:p w14:paraId="4E6373A3" w14:textId="77777777" w:rsidR="00CF69AA" w:rsidRDefault="00000000">
      <w:r>
        <w:t>However, the successful integration of telehealth into service delivery requires significant investment in digital infrastructure. Healthcare organisations must ensure that they have secure platforms, reliable internet connectivity and appropriate technical support. Data protection and patient confidentiality are also essential considerations when using digital technologies.</w:t>
      </w:r>
    </w:p>
    <w:p w14:paraId="58581446" w14:textId="77777777" w:rsidR="00CF69AA" w:rsidRDefault="00000000">
      <w:r>
        <w:t>Furthermore, telehealth cannot fully replace face‑to‑face care. Certain medical procedures, physical examinations and diagnostic tests require in‑person interaction. For this reason, many healthcare systems are adopting a hybrid approach that combines telehealth with traditional services. This approach allows patients and professionals to benefit from digital innovations while still maintaining access to physical healthcare settings when necessary.</w:t>
      </w:r>
    </w:p>
    <w:p w14:paraId="460E9606" w14:textId="77777777" w:rsidR="00CF69AA" w:rsidRDefault="00000000">
      <w:pPr>
        <w:pStyle w:val="Heading1"/>
      </w:pPr>
      <w:r>
        <w:lastRenderedPageBreak/>
        <w:t>Impact on Patients</w:t>
      </w:r>
    </w:p>
    <w:p w14:paraId="389E40CB" w14:textId="77777777" w:rsidR="00CF69AA" w:rsidRDefault="00000000">
      <w:r>
        <w:t>For many patients, telehealth offers greater convenience and flexibility when accessing healthcare services. Attending medical appointments can often involve significant time and effort, particularly for individuals who live far from healthcare facilities or who have mobility limitations. Telehealth allows patients to speak with healthcare professionals from their own homes, which can reduce stress and make healthcare more accessible.</w:t>
      </w:r>
    </w:p>
    <w:p w14:paraId="2A2872B4" w14:textId="77777777" w:rsidR="00CF69AA" w:rsidRDefault="00000000">
      <w:r>
        <w:t>Another advantage is the potential reduction in financial costs. Patients may save money on travel, parking or childcare when consultations take place online. This can make healthcare services more accessible, particularly for individuals with limited financial resources.</w:t>
      </w:r>
    </w:p>
    <w:p w14:paraId="6CC53DC0" w14:textId="77777777" w:rsidR="00CF69AA" w:rsidRDefault="00000000">
      <w:r>
        <w:t>Telehealth can also encourage patients to become more actively involved in managing their own health. Many digital health platforms allow patients to track symptoms, monitor medication schedules and record lifestyle behaviours such as physical activity or sleep patterns. When this information is shared with healthcare professionals, it can support more personalised treatment plans and collaborative decision‑making.</w:t>
      </w:r>
    </w:p>
    <w:p w14:paraId="65DEF133" w14:textId="77777777" w:rsidR="00CF69AA" w:rsidRDefault="00000000">
      <w:r>
        <w:t>However, the experience of telehealth is not the same for all patients. Digital exclusion remains a significant concern. Some individuals do not have access to reliable internet connections, smartphones or computers. Others may lack the digital skills needed to navigate online platforms. Older adults, people with disabilities and individuals from lower socioeconomic backgrounds may therefore face barriers when accessing telehealth services.</w:t>
      </w:r>
    </w:p>
    <w:p w14:paraId="34D81482" w14:textId="77777777" w:rsidR="00CF69AA" w:rsidRDefault="00000000">
      <w:r>
        <w:t>Patient preferences must also be considered. While some people appreciate the convenience of virtual consultations, others feel more comfortable speaking with healthcare professionals face‑to‑face. In certain situations, personal interaction can provide emotional reassurance and allow clinicians to observe subtle physical or behavioural cues.</w:t>
      </w:r>
    </w:p>
    <w:p w14:paraId="6097970A" w14:textId="77777777" w:rsidR="00CF69AA" w:rsidRDefault="00000000">
      <w:r>
        <w:t>For these reasons, healthcare providers must adopt flexible approaches when implementing telehealth. Patients should be offered choices regarding how they access services, ensuring that digital innovations enhance care without excluding vulnerable groups.</w:t>
      </w:r>
    </w:p>
    <w:p w14:paraId="328A5657" w14:textId="77777777" w:rsidR="00CF69AA" w:rsidRDefault="00000000">
      <w:pPr>
        <w:pStyle w:val="Heading1"/>
      </w:pPr>
      <w:r>
        <w:t>Impact on Communities</w:t>
      </w:r>
    </w:p>
    <w:p w14:paraId="001F1D2E" w14:textId="77777777" w:rsidR="00CF69AA" w:rsidRDefault="00000000">
      <w:r>
        <w:t>Beyond individual patients and healthcare professionals, telehealth also has important implications for communities and wider public health systems. By expanding access to healthcare services, telehealth can contribute to reducing disparities between different regions and population groups.</w:t>
      </w:r>
    </w:p>
    <w:p w14:paraId="44AF0B75" w14:textId="77777777" w:rsidR="00CF69AA" w:rsidRDefault="00000000">
      <w:r>
        <w:t>Rural communities often experience shortages of healthcare professionals and limited access to specialist services. Telehealth technologies allow residents in these areas to consult healthcare professionals without travelling long distances. This can improve health outcomes by enabling earlier diagnosis and more consistent monitoring of medical conditions.</w:t>
      </w:r>
    </w:p>
    <w:p w14:paraId="0A57659E" w14:textId="77777777" w:rsidR="00CF69AA" w:rsidRDefault="00000000">
      <w:r>
        <w:lastRenderedPageBreak/>
        <w:t>Telehealth can also strengthen the role of families and caregivers in supporting patients. For example, family members may join virtual consultations to better understand treatment plans or help patients manage digital technologies. This collaborative approach can improve communication between healthcare providers, patients and support networks.</w:t>
      </w:r>
    </w:p>
    <w:p w14:paraId="55E225A7" w14:textId="77777777" w:rsidR="00CF69AA" w:rsidRDefault="00000000">
      <w:r>
        <w:t>Another potential benefit is the ability to support preventive healthcare. Remote monitoring technologies allow healthcare professionals to detect early signs of health deterioration and intervene before conditions become severe. This proactive approach can reduce hospital admissions and support more sustainable healthcare systems.</w:t>
      </w:r>
    </w:p>
    <w:p w14:paraId="5FCB6DE7" w14:textId="77777777" w:rsidR="00CF69AA" w:rsidRDefault="00000000">
      <w:r>
        <w:t>The COVID‑19 pandemic highlighted the importance of telehealth in maintaining essential healthcare services during public health emergencies. When face‑to‑face consultations became limited, telehealth allowed healthcare providers to continue supporting patients while reducing the risk of infection transmission.</w:t>
      </w:r>
    </w:p>
    <w:p w14:paraId="1A4428E3" w14:textId="77777777" w:rsidR="00CF69AA" w:rsidRDefault="00000000">
      <w:r>
        <w:t>Nevertheless, communities must address challenges related to digital infrastructure and digital literacy. Reliable internet access is essential for telehealth to function effectively, yet some regions still experience poor connectivity. Community education programmes may also be needed to help individuals feel confident using digital health technologies.</w:t>
      </w:r>
    </w:p>
    <w:p w14:paraId="43E14A81" w14:textId="77777777" w:rsidR="00CF69AA" w:rsidRDefault="00000000">
      <w:r>
        <w:t>Overall, telehealth has the potential to strengthen community health systems, but its success depends on inclusive implementation and investment in digital infrastructure.</w:t>
      </w:r>
    </w:p>
    <w:p w14:paraId="34F41FFD" w14:textId="77777777" w:rsidR="00CF69AA" w:rsidRDefault="00000000">
      <w:pPr>
        <w:pStyle w:val="Heading1"/>
      </w:pPr>
      <w:r>
        <w:t>Conclusion</w:t>
      </w:r>
    </w:p>
    <w:p w14:paraId="147C00AF" w14:textId="77777777" w:rsidR="00CF69AA" w:rsidRDefault="00000000">
      <w:r>
        <w:t>Telehealth has become an increasingly important element of digital transformation within health and social care systems. By enabling remote consultations, supporting continuous monitoring and improving communication between professionals and patients, telehealth offers new possibilities for delivering healthcare in more flexible and accessible ways.</w:t>
      </w:r>
    </w:p>
    <w:p w14:paraId="7432EFE5" w14:textId="77777777" w:rsidR="00CF69AA" w:rsidRDefault="00000000">
      <w:r>
        <w:t>This report has examined the impact of telehealth across several key areas, including the healthcare workforce, service delivery, patient experiences and community health. The analysis demonstrates that telehealth can improve access to care, enhance efficiency and support more patient‑centred approaches to healthcare delivery.</w:t>
      </w:r>
    </w:p>
    <w:p w14:paraId="612A187A" w14:textId="77777777" w:rsidR="00CF69AA" w:rsidRDefault="00000000">
      <w:r>
        <w:t>At the same time, telehealth also introduces new challenges. Healthcare professionals must develop digital competencies, organisations must invest in secure technological infrastructure and policymakers must address issues related to digital inequality. Without careful planning, there is a risk that certain groups may be excluded from digital healthcare services.</w:t>
      </w:r>
    </w:p>
    <w:p w14:paraId="26F9FCEE" w14:textId="77777777" w:rsidR="00CF69AA" w:rsidRDefault="00000000">
      <w:r>
        <w:t>Looking ahead, the most effective approach is likely to involve a hybrid model of care that combines telehealth with traditional face‑to‑face services. Such a model allows healthcare systems to benefit from digital innovation while maintaining the human connection that remains essential to high‑quality healthcare.</w:t>
      </w:r>
    </w:p>
    <w:p w14:paraId="5F68EC8F" w14:textId="77777777" w:rsidR="00CF69AA" w:rsidRDefault="00000000">
      <w:r>
        <w:lastRenderedPageBreak/>
        <w:t>Ultimately, telehealth should not be viewed simply as a technological solution, but as part of a broader transformation in how healthcare is delivered and experienced. When implemented thoughtfully, telehealth can contribute to more resilient, inclusive and patient‑focused health and social care systems.</w:t>
      </w:r>
    </w:p>
    <w:p w14:paraId="57480955" w14:textId="77777777" w:rsidR="00CF69AA" w:rsidRDefault="00000000">
      <w:pPr>
        <w:pStyle w:val="Heading1"/>
      </w:pPr>
      <w:r>
        <w:t>References</w:t>
      </w:r>
    </w:p>
    <w:p w14:paraId="019AE47D" w14:textId="77777777" w:rsidR="00CF69AA" w:rsidRDefault="00000000">
      <w:r>
        <w:t>Greenhalgh, T. et al. (2020). Virtual online consultations in primary care. BMJ.</w:t>
      </w:r>
    </w:p>
    <w:p w14:paraId="2E3C4463" w14:textId="77777777" w:rsidR="00CF69AA" w:rsidRDefault="00000000">
      <w:r>
        <w:t>World Health Organization (2021). Global Strategy on Digital Health.</w:t>
      </w:r>
    </w:p>
    <w:p w14:paraId="59184D8D" w14:textId="77777777" w:rsidR="00CF69AA" w:rsidRDefault="00000000">
      <w:r>
        <w:t>NHS England (2022). Digital transformation in health and care.</w:t>
      </w:r>
    </w:p>
    <w:p w14:paraId="1463F96C" w14:textId="77777777" w:rsidR="00CF69AA" w:rsidRDefault="00000000">
      <w:r>
        <w:t>Wootton, R. (2012). Telemedicine: A Practical Guide for Healthcare Professionals.</w:t>
      </w:r>
    </w:p>
    <w:p w14:paraId="5A646246" w14:textId="77777777" w:rsidR="00CF69AA" w:rsidRDefault="00000000">
      <w:r>
        <w:t>Shaw, T., McGregor, D. &amp; Brunner, M. (2017). What is eHealth? Journal of Medical Internet Research.</w:t>
      </w:r>
    </w:p>
    <w:p w14:paraId="581B008E" w14:textId="77777777" w:rsidR="00CF69AA" w:rsidRDefault="00000000">
      <w:r>
        <w:t>Kruse, C. et al. (2018). Telemedicine use in rural healthcare. Journal of Medical Systems.</w:t>
      </w:r>
    </w:p>
    <w:p w14:paraId="1BB73A3A" w14:textId="28302C88" w:rsidR="00C2199C" w:rsidRDefault="00C2199C">
      <w:r w:rsidRPr="00C2199C">
        <w:t xml:space="preserve">Doraiswamy, S. et al. (2021). Telehealth Use in Geriatrics Care during the COVID-19 Pandemic—A Scoping Review and Evidence Synthesis. </w:t>
      </w:r>
      <w:r w:rsidRPr="00C2199C">
        <w:rPr>
          <w:i/>
          <w:iCs/>
        </w:rPr>
        <w:t>International Journal of Environmental Research and Public Health</w:t>
      </w:r>
      <w:r w:rsidRPr="00C2199C">
        <w:t>.</w:t>
      </w:r>
    </w:p>
    <w:p w14:paraId="094686AF" w14:textId="0F22CA7B" w:rsidR="00C2199C" w:rsidRDefault="00C2199C">
      <w:r w:rsidRPr="00C2199C">
        <w:t xml:space="preserve">Liberati, E. et al. (2021). Remote care for mental health: qualitative study with service users, carers and staff during the COVID-19 pandemic. </w:t>
      </w:r>
      <w:r w:rsidRPr="00C2199C">
        <w:rPr>
          <w:i/>
          <w:iCs/>
        </w:rPr>
        <w:t>BMJ Open</w:t>
      </w:r>
      <w:r w:rsidRPr="00C2199C">
        <w:t>.</w:t>
      </w:r>
    </w:p>
    <w:p w14:paraId="56E50888" w14:textId="70F7ED98" w:rsidR="00C2199C" w:rsidRDefault="00C2199C">
      <w:r w:rsidRPr="00C2199C">
        <w:t xml:space="preserve">Lee, I. et al. (2020). Telehealth: Helping your Patients and Practice Survive and Thrive during the COVID-19 Crisis with Rapid Quality Implementation. </w:t>
      </w:r>
      <w:r w:rsidRPr="00C2199C">
        <w:rPr>
          <w:i/>
          <w:iCs/>
        </w:rPr>
        <w:t>Journal of the American Academy of Dermatology</w:t>
      </w:r>
      <w:r w:rsidRPr="00C2199C">
        <w:t>.</w:t>
      </w:r>
    </w:p>
    <w:p w14:paraId="78B20B3D" w14:textId="6D887621" w:rsidR="00C2199C" w:rsidRDefault="00C2199C">
      <w:proofErr w:type="spellStart"/>
      <w:r w:rsidRPr="00C2199C">
        <w:t>Mbunge</w:t>
      </w:r>
      <w:proofErr w:type="spellEnd"/>
      <w:r w:rsidRPr="00C2199C">
        <w:t xml:space="preserve">, E. et al. (2022). Virtual Healthcare Services and Digital Health Technologies Deployed during Coronavirus Disease 2019 (COVID-19) Pandemic: A Systematic Review. </w:t>
      </w:r>
      <w:r w:rsidRPr="00C2199C">
        <w:rPr>
          <w:i/>
          <w:iCs/>
        </w:rPr>
        <w:t>Global Health Journal</w:t>
      </w:r>
      <w:r w:rsidRPr="00C2199C">
        <w:t>.</w:t>
      </w:r>
    </w:p>
    <w:sectPr w:rsidR="00C2199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7535466">
    <w:abstractNumId w:val="8"/>
  </w:num>
  <w:num w:numId="2" w16cid:durableId="391318572">
    <w:abstractNumId w:val="6"/>
  </w:num>
  <w:num w:numId="3" w16cid:durableId="646669861">
    <w:abstractNumId w:val="5"/>
  </w:num>
  <w:num w:numId="4" w16cid:durableId="1632831765">
    <w:abstractNumId w:val="4"/>
  </w:num>
  <w:num w:numId="5" w16cid:durableId="1123691706">
    <w:abstractNumId w:val="7"/>
  </w:num>
  <w:num w:numId="6" w16cid:durableId="2062290188">
    <w:abstractNumId w:val="3"/>
  </w:num>
  <w:num w:numId="7" w16cid:durableId="1307276680">
    <w:abstractNumId w:val="2"/>
  </w:num>
  <w:num w:numId="8" w16cid:durableId="1847478436">
    <w:abstractNumId w:val="1"/>
  </w:num>
  <w:num w:numId="9" w16cid:durableId="1509511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058B0"/>
    <w:rsid w:val="0029639D"/>
    <w:rsid w:val="00326F90"/>
    <w:rsid w:val="00AA1D8D"/>
    <w:rsid w:val="00B47730"/>
    <w:rsid w:val="00C2199C"/>
    <w:rsid w:val="00CB0664"/>
    <w:rsid w:val="00CF69AA"/>
    <w:rsid w:val="00F52ED0"/>
    <w:rsid w:val="00FC693F"/>
    <w:rsid w:val="00FE70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0B1AA4D"/>
  <w14:defaultImageDpi w14:val="300"/>
  <w15:docId w15:val="{B5C48FA4-9D0E-49E1-B661-1F1F5AC4D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cid:image001.png@01D0EA4A.2BD679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2041</Words>
  <Characters>13355</Characters>
  <Application>Microsoft Office Word</Application>
  <DocSecurity>0</DocSecurity>
  <Lines>208</Lines>
  <Paragraphs>65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15331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Anca Anael Andru</cp:lastModifiedBy>
  <cp:revision>3</cp:revision>
  <dcterms:created xsi:type="dcterms:W3CDTF">2013-12-23T23:15:00Z</dcterms:created>
  <dcterms:modified xsi:type="dcterms:W3CDTF">2026-03-19T22:13:00Z</dcterms:modified>
  <cp:category/>
</cp:coreProperties>
</file>