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C44EF" w14:textId="52E276BD" w:rsidR="00D95937" w:rsidRPr="00D95937" w:rsidRDefault="00D95937" w:rsidP="00D95937">
      <w:pPr>
        <w:jc w:val="center"/>
        <w:rPr>
          <w:b/>
          <w:bCs/>
          <w:sz w:val="32"/>
          <w:szCs w:val="32"/>
          <w:lang w:val="en-GB"/>
        </w:rPr>
      </w:pPr>
      <w:r w:rsidRPr="00D95937">
        <w:rPr>
          <w:b/>
          <w:bCs/>
          <w:sz w:val="32"/>
          <w:szCs w:val="32"/>
          <w:lang w:val="en-GB"/>
        </w:rPr>
        <w:drawing>
          <wp:inline distT="0" distB="0" distL="0" distR="0" wp14:anchorId="7CDF577D" wp14:editId="6232D356">
            <wp:extent cx="3383280" cy="1356360"/>
            <wp:effectExtent l="0" t="0" r="7620" b="0"/>
            <wp:docPr id="817942425"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005D354F" w14:textId="77777777" w:rsidR="00D95937" w:rsidRPr="00D95937" w:rsidRDefault="00D95937" w:rsidP="00D95937">
      <w:pPr>
        <w:jc w:val="center"/>
        <w:rPr>
          <w:b/>
          <w:bCs/>
          <w:sz w:val="32"/>
          <w:szCs w:val="32"/>
          <w:lang w:val="en-GB"/>
        </w:rPr>
      </w:pPr>
    </w:p>
    <w:p w14:paraId="12D2B8D2" w14:textId="77777777" w:rsidR="00D95937" w:rsidRPr="00D95937" w:rsidRDefault="00D95937" w:rsidP="00D95937">
      <w:pPr>
        <w:jc w:val="center"/>
        <w:rPr>
          <w:b/>
          <w:bCs/>
          <w:sz w:val="32"/>
          <w:szCs w:val="32"/>
          <w:lang w:val="en-GB"/>
        </w:rPr>
      </w:pPr>
      <w:r w:rsidRPr="00D95937">
        <w:rPr>
          <w:b/>
          <w:bCs/>
          <w:sz w:val="32"/>
          <w:szCs w:val="32"/>
          <w:lang w:val="en-GB"/>
        </w:rPr>
        <w:t>Student Name: KRISHKUMAR BHALALA</w:t>
      </w:r>
    </w:p>
    <w:p w14:paraId="39090EB5" w14:textId="77777777" w:rsidR="00D95937" w:rsidRPr="00D95937" w:rsidRDefault="00D95937" w:rsidP="00D95937">
      <w:pPr>
        <w:jc w:val="center"/>
        <w:rPr>
          <w:b/>
          <w:bCs/>
          <w:sz w:val="32"/>
          <w:szCs w:val="32"/>
          <w:lang w:val="en-GB"/>
        </w:rPr>
      </w:pPr>
      <w:r w:rsidRPr="00D95937">
        <w:rPr>
          <w:b/>
          <w:bCs/>
          <w:sz w:val="32"/>
          <w:szCs w:val="32"/>
          <w:lang w:val="en-GB"/>
        </w:rPr>
        <w:t>Student ID: 2505003</w:t>
      </w:r>
    </w:p>
    <w:p w14:paraId="4F3BC905" w14:textId="77777777" w:rsidR="00D95937" w:rsidRPr="00D95937" w:rsidRDefault="00D95937" w:rsidP="00D95937">
      <w:pPr>
        <w:jc w:val="center"/>
        <w:rPr>
          <w:b/>
          <w:bCs/>
          <w:sz w:val="32"/>
          <w:szCs w:val="32"/>
          <w:lang w:val="en-GB"/>
        </w:rPr>
      </w:pPr>
    </w:p>
    <w:p w14:paraId="439BB489" w14:textId="0446FA20" w:rsidR="00D95937" w:rsidRPr="00D95937" w:rsidRDefault="00D95937" w:rsidP="00D95937">
      <w:pPr>
        <w:jc w:val="center"/>
        <w:rPr>
          <w:b/>
          <w:bCs/>
          <w:sz w:val="32"/>
          <w:szCs w:val="32"/>
          <w:lang w:val="en-GB"/>
        </w:rPr>
      </w:pPr>
      <w:r w:rsidRPr="00D95937">
        <w:rPr>
          <w:b/>
          <w:bCs/>
          <w:sz w:val="32"/>
          <w:szCs w:val="32"/>
          <w:lang w:val="en-GB"/>
        </w:rPr>
        <w:t xml:space="preserve">Module Name: </w:t>
      </w:r>
      <w:r w:rsidRPr="00D95937">
        <w:rPr>
          <w:rFonts w:ascii="Arial" w:hAnsi="Arial" w:cs="Arial"/>
          <w:b/>
          <w:bCs/>
          <w:sz w:val="32"/>
          <w:szCs w:val="32"/>
        </w:rPr>
        <w:t>Financial</w:t>
      </w:r>
      <w:r w:rsidRPr="00D95937">
        <w:rPr>
          <w:b/>
          <w:bCs/>
          <w:i/>
          <w:iCs/>
          <w:sz w:val="32"/>
          <w:szCs w:val="32"/>
        </w:rPr>
        <w:t xml:space="preserve"> </w:t>
      </w:r>
      <w:r w:rsidRPr="00D95937">
        <w:rPr>
          <w:rFonts w:ascii="Arial" w:hAnsi="Arial" w:cs="Arial"/>
          <w:b/>
          <w:bCs/>
          <w:sz w:val="32"/>
          <w:szCs w:val="32"/>
        </w:rPr>
        <w:t>Management</w:t>
      </w:r>
    </w:p>
    <w:p w14:paraId="4769BEF1" w14:textId="7978DB7C" w:rsidR="00D95937" w:rsidRPr="00D95937" w:rsidRDefault="00D95937" w:rsidP="00D95937">
      <w:pPr>
        <w:jc w:val="center"/>
        <w:rPr>
          <w:b/>
          <w:bCs/>
          <w:sz w:val="32"/>
          <w:szCs w:val="32"/>
          <w:lang w:val="en-GB"/>
        </w:rPr>
      </w:pPr>
      <w:r w:rsidRPr="00D95937">
        <w:rPr>
          <w:b/>
          <w:bCs/>
          <w:sz w:val="32"/>
          <w:szCs w:val="32"/>
          <w:lang w:val="en-GB"/>
        </w:rPr>
        <w:t>Module Code: LCMB70</w:t>
      </w:r>
      <w:r>
        <w:rPr>
          <w:b/>
          <w:bCs/>
          <w:sz w:val="32"/>
          <w:szCs w:val="32"/>
          <w:lang w:val="en-GB"/>
        </w:rPr>
        <w:t>02</w:t>
      </w:r>
    </w:p>
    <w:p w14:paraId="3ECEEEDB" w14:textId="77777777" w:rsidR="00D95937" w:rsidRPr="00D95937" w:rsidRDefault="00D95937" w:rsidP="00D95937">
      <w:pPr>
        <w:jc w:val="center"/>
        <w:rPr>
          <w:b/>
          <w:bCs/>
          <w:sz w:val="32"/>
          <w:szCs w:val="32"/>
          <w:lang w:val="en-GB"/>
        </w:rPr>
      </w:pPr>
    </w:p>
    <w:p w14:paraId="23AE1017" w14:textId="2AB7495E" w:rsidR="00D95937" w:rsidRPr="00D95937" w:rsidRDefault="00D95937" w:rsidP="00D95937">
      <w:pPr>
        <w:jc w:val="center"/>
        <w:rPr>
          <w:b/>
          <w:bCs/>
          <w:sz w:val="32"/>
          <w:szCs w:val="32"/>
          <w:lang w:val="en-GB"/>
        </w:rPr>
      </w:pPr>
      <w:r w:rsidRPr="00D95937">
        <w:rPr>
          <w:b/>
          <w:bCs/>
          <w:sz w:val="32"/>
          <w:szCs w:val="32"/>
          <w:lang w:val="en-GB"/>
        </w:rPr>
        <w:t>Lecturer’s Name: D</w:t>
      </w:r>
      <w:r w:rsidR="006C582D">
        <w:rPr>
          <w:b/>
          <w:bCs/>
          <w:sz w:val="32"/>
          <w:szCs w:val="32"/>
          <w:lang w:val="en-GB"/>
        </w:rPr>
        <w:t>r</w:t>
      </w:r>
      <w:r w:rsidRPr="00D95937">
        <w:rPr>
          <w:b/>
          <w:bCs/>
          <w:sz w:val="32"/>
          <w:szCs w:val="32"/>
          <w:lang w:val="en-GB"/>
        </w:rPr>
        <w:t xml:space="preserve">. </w:t>
      </w:r>
      <w:r w:rsidRPr="00D95937">
        <w:rPr>
          <w:b/>
          <w:bCs/>
          <w:sz w:val="32"/>
          <w:szCs w:val="32"/>
        </w:rPr>
        <w:t>Shengfeng Mei</w:t>
      </w:r>
    </w:p>
    <w:p w14:paraId="4FC58737" w14:textId="77777777" w:rsidR="00D95937" w:rsidRPr="00D95937" w:rsidRDefault="00D95937" w:rsidP="00D95937">
      <w:pPr>
        <w:rPr>
          <w:b/>
          <w:bCs/>
          <w:sz w:val="32"/>
          <w:szCs w:val="32"/>
          <w:lang w:val="en-GB"/>
        </w:rPr>
      </w:pPr>
    </w:p>
    <w:p w14:paraId="67E133C0" w14:textId="654A711C" w:rsidR="00D95937" w:rsidRPr="00D95937" w:rsidRDefault="00D95937" w:rsidP="00D95937">
      <w:pPr>
        <w:jc w:val="center"/>
        <w:rPr>
          <w:b/>
          <w:bCs/>
          <w:sz w:val="32"/>
          <w:szCs w:val="32"/>
          <w:lang w:val="en-GB"/>
        </w:rPr>
      </w:pPr>
      <w:r w:rsidRPr="00D95937">
        <w:rPr>
          <w:b/>
          <w:bCs/>
          <w:sz w:val="32"/>
          <w:szCs w:val="32"/>
          <w:lang w:val="en-GB"/>
        </w:rPr>
        <w:t xml:space="preserve">Work Count: </w:t>
      </w:r>
      <w:r>
        <w:rPr>
          <w:b/>
          <w:bCs/>
          <w:sz w:val="32"/>
          <w:szCs w:val="32"/>
          <w:lang w:val="en-GB"/>
        </w:rPr>
        <w:t>5340</w:t>
      </w:r>
    </w:p>
    <w:p w14:paraId="458B46BC" w14:textId="77777777" w:rsidR="00D95937" w:rsidRPr="00D95937" w:rsidRDefault="00D95937" w:rsidP="00D95937">
      <w:pPr>
        <w:jc w:val="center"/>
        <w:rPr>
          <w:b/>
          <w:bCs/>
          <w:sz w:val="32"/>
          <w:szCs w:val="32"/>
          <w:lang w:val="en-GB"/>
        </w:rPr>
      </w:pPr>
    </w:p>
    <w:p w14:paraId="0B25690D" w14:textId="77777777" w:rsidR="00D95937" w:rsidRPr="00D95937" w:rsidRDefault="00D95937" w:rsidP="00D95937">
      <w:pPr>
        <w:jc w:val="center"/>
        <w:rPr>
          <w:b/>
          <w:bCs/>
          <w:sz w:val="32"/>
          <w:szCs w:val="32"/>
          <w:lang w:val="en-GB"/>
        </w:rPr>
      </w:pPr>
    </w:p>
    <w:p w14:paraId="353BC787" w14:textId="77777777" w:rsidR="00D95937" w:rsidRDefault="00D95937" w:rsidP="00D95937">
      <w:pPr>
        <w:jc w:val="center"/>
        <w:rPr>
          <w:b/>
          <w:bCs/>
          <w:sz w:val="32"/>
          <w:szCs w:val="32"/>
          <w:lang w:val="en-GB"/>
        </w:rPr>
      </w:pPr>
      <w:r w:rsidRPr="00D95937">
        <w:rPr>
          <w:b/>
          <w:bCs/>
          <w:sz w:val="32"/>
          <w:szCs w:val="32"/>
          <w:lang w:val="en-GB"/>
        </w:rPr>
        <w:t>Term 1</w:t>
      </w:r>
    </w:p>
    <w:p w14:paraId="39B940C2" w14:textId="77777777" w:rsidR="00D95937" w:rsidRPr="00D95937" w:rsidRDefault="00D95937" w:rsidP="00D95937">
      <w:pPr>
        <w:jc w:val="center"/>
        <w:rPr>
          <w:b/>
          <w:bCs/>
          <w:sz w:val="32"/>
          <w:szCs w:val="32"/>
          <w:lang w:val="en-GB"/>
        </w:rPr>
      </w:pPr>
    </w:p>
    <w:p w14:paraId="31AE88C2" w14:textId="77777777" w:rsidR="00AA04B6" w:rsidRPr="002746DF" w:rsidRDefault="00C5669B" w:rsidP="00D95937">
      <w:pPr>
        <w:ind w:left="3600"/>
        <w:rPr>
          <w:b/>
          <w:sz w:val="28"/>
          <w:szCs w:val="28"/>
        </w:rPr>
      </w:pPr>
      <w:r w:rsidRPr="002746DF">
        <w:rPr>
          <w:b/>
          <w:sz w:val="28"/>
          <w:szCs w:val="28"/>
        </w:rPr>
        <w:lastRenderedPageBreak/>
        <w:t>Table of Contents</w:t>
      </w:r>
    </w:p>
    <w:sdt>
      <w:sdtPr>
        <w:id w:val="-1218865011"/>
        <w:docPartObj>
          <w:docPartGallery w:val="Table of Contents"/>
          <w:docPartUnique/>
        </w:docPartObj>
      </w:sdtPr>
      <w:sdtContent>
        <w:p w14:paraId="0FC1548B" w14:textId="7D88A8A8" w:rsidR="009F3541" w:rsidRPr="002746DF" w:rsidRDefault="00C5669B">
          <w:pPr>
            <w:pStyle w:val="TOC1"/>
            <w:tabs>
              <w:tab w:val="right" w:leader="dot" w:pos="9350"/>
            </w:tabs>
            <w:rPr>
              <w:noProof/>
            </w:rPr>
          </w:pPr>
          <w:r w:rsidRPr="002746DF">
            <w:fldChar w:fldCharType="begin"/>
          </w:r>
          <w:r w:rsidRPr="002746DF">
            <w:instrText xml:space="preserve"> TOC \h \u \z \t "Heading 1,1,Heading 2,2,Heading 3,3,Heading 4,4,Heading 5,5,Heading 6,6,"</w:instrText>
          </w:r>
          <w:r w:rsidRPr="002746DF">
            <w:fldChar w:fldCharType="separate"/>
          </w:r>
          <w:hyperlink w:anchor="_Toc213497624" w:history="1">
            <w:r w:rsidR="009F3541" w:rsidRPr="002746DF">
              <w:rPr>
                <w:rStyle w:val="Hyperlink"/>
                <w:noProof/>
                <w:color w:val="auto"/>
              </w:rPr>
              <w:t>1. Introduction</w:t>
            </w:r>
            <w:r w:rsidR="009F3541" w:rsidRPr="002746DF">
              <w:rPr>
                <w:noProof/>
                <w:webHidden/>
              </w:rPr>
              <w:tab/>
            </w:r>
            <w:r w:rsidR="009F3541" w:rsidRPr="002746DF">
              <w:rPr>
                <w:noProof/>
                <w:webHidden/>
              </w:rPr>
              <w:fldChar w:fldCharType="begin"/>
            </w:r>
            <w:r w:rsidR="009F3541" w:rsidRPr="002746DF">
              <w:rPr>
                <w:noProof/>
                <w:webHidden/>
              </w:rPr>
              <w:instrText xml:space="preserve"> PAGEREF _Toc213497624 \h </w:instrText>
            </w:r>
            <w:r w:rsidR="009F3541" w:rsidRPr="002746DF">
              <w:rPr>
                <w:noProof/>
                <w:webHidden/>
              </w:rPr>
            </w:r>
            <w:r w:rsidR="009F3541" w:rsidRPr="002746DF">
              <w:rPr>
                <w:noProof/>
                <w:webHidden/>
              </w:rPr>
              <w:fldChar w:fldCharType="separate"/>
            </w:r>
            <w:r w:rsidR="002746DF" w:rsidRPr="002746DF">
              <w:rPr>
                <w:noProof/>
                <w:webHidden/>
              </w:rPr>
              <w:t>5</w:t>
            </w:r>
            <w:r w:rsidR="009F3541" w:rsidRPr="002746DF">
              <w:rPr>
                <w:noProof/>
                <w:webHidden/>
              </w:rPr>
              <w:fldChar w:fldCharType="end"/>
            </w:r>
          </w:hyperlink>
        </w:p>
        <w:p w14:paraId="06D518B7" w14:textId="2B27B059" w:rsidR="009F3541" w:rsidRPr="002746DF" w:rsidRDefault="009F3541">
          <w:pPr>
            <w:pStyle w:val="TOC1"/>
            <w:tabs>
              <w:tab w:val="right" w:leader="dot" w:pos="9350"/>
            </w:tabs>
            <w:rPr>
              <w:noProof/>
            </w:rPr>
          </w:pPr>
          <w:hyperlink w:anchor="_Toc213497625" w:history="1">
            <w:r w:rsidRPr="002746DF">
              <w:rPr>
                <w:rStyle w:val="Hyperlink"/>
                <w:noProof/>
                <w:color w:val="auto"/>
              </w:rPr>
              <w:t>2. Financial Health Check</w:t>
            </w:r>
            <w:r w:rsidRPr="002746DF">
              <w:rPr>
                <w:noProof/>
                <w:webHidden/>
              </w:rPr>
              <w:tab/>
            </w:r>
            <w:r w:rsidRPr="002746DF">
              <w:rPr>
                <w:noProof/>
                <w:webHidden/>
              </w:rPr>
              <w:fldChar w:fldCharType="begin"/>
            </w:r>
            <w:r w:rsidRPr="002746DF">
              <w:rPr>
                <w:noProof/>
                <w:webHidden/>
              </w:rPr>
              <w:instrText xml:space="preserve"> PAGEREF _Toc213497625 \h </w:instrText>
            </w:r>
            <w:r w:rsidRPr="002746DF">
              <w:rPr>
                <w:noProof/>
                <w:webHidden/>
              </w:rPr>
            </w:r>
            <w:r w:rsidRPr="002746DF">
              <w:rPr>
                <w:noProof/>
                <w:webHidden/>
              </w:rPr>
              <w:fldChar w:fldCharType="separate"/>
            </w:r>
            <w:r w:rsidR="002746DF" w:rsidRPr="002746DF">
              <w:rPr>
                <w:noProof/>
                <w:webHidden/>
              </w:rPr>
              <w:t>5</w:t>
            </w:r>
            <w:r w:rsidRPr="002746DF">
              <w:rPr>
                <w:noProof/>
                <w:webHidden/>
              </w:rPr>
              <w:fldChar w:fldCharType="end"/>
            </w:r>
          </w:hyperlink>
        </w:p>
        <w:p w14:paraId="3821CB25" w14:textId="0DBA29C1" w:rsidR="009F3541" w:rsidRPr="002746DF" w:rsidRDefault="009F3541">
          <w:pPr>
            <w:pStyle w:val="TOC2"/>
            <w:tabs>
              <w:tab w:val="right" w:leader="dot" w:pos="9350"/>
            </w:tabs>
            <w:rPr>
              <w:noProof/>
            </w:rPr>
          </w:pPr>
          <w:hyperlink w:anchor="_Toc213497626" w:history="1">
            <w:r w:rsidRPr="002746DF">
              <w:rPr>
                <w:rStyle w:val="Hyperlink"/>
                <w:noProof/>
                <w:color w:val="auto"/>
              </w:rPr>
              <w:t>2.1 Overview of Financial Performance (Five-Year Trend)</w:t>
            </w:r>
            <w:r w:rsidRPr="002746DF">
              <w:rPr>
                <w:noProof/>
                <w:webHidden/>
              </w:rPr>
              <w:tab/>
            </w:r>
            <w:r w:rsidRPr="002746DF">
              <w:rPr>
                <w:noProof/>
                <w:webHidden/>
              </w:rPr>
              <w:fldChar w:fldCharType="begin"/>
            </w:r>
            <w:r w:rsidRPr="002746DF">
              <w:rPr>
                <w:noProof/>
                <w:webHidden/>
              </w:rPr>
              <w:instrText xml:space="preserve"> PAGEREF _Toc213497626 \h </w:instrText>
            </w:r>
            <w:r w:rsidRPr="002746DF">
              <w:rPr>
                <w:noProof/>
                <w:webHidden/>
              </w:rPr>
            </w:r>
            <w:r w:rsidRPr="002746DF">
              <w:rPr>
                <w:noProof/>
                <w:webHidden/>
              </w:rPr>
              <w:fldChar w:fldCharType="separate"/>
            </w:r>
            <w:r w:rsidR="002746DF" w:rsidRPr="002746DF">
              <w:rPr>
                <w:noProof/>
                <w:webHidden/>
              </w:rPr>
              <w:t>5</w:t>
            </w:r>
            <w:r w:rsidRPr="002746DF">
              <w:rPr>
                <w:noProof/>
                <w:webHidden/>
              </w:rPr>
              <w:fldChar w:fldCharType="end"/>
            </w:r>
          </w:hyperlink>
        </w:p>
        <w:p w14:paraId="037B19CB" w14:textId="26907998" w:rsidR="009F3541" w:rsidRPr="002746DF" w:rsidRDefault="009F3541">
          <w:pPr>
            <w:pStyle w:val="TOC2"/>
            <w:tabs>
              <w:tab w:val="right" w:leader="dot" w:pos="9350"/>
            </w:tabs>
            <w:rPr>
              <w:noProof/>
            </w:rPr>
          </w:pPr>
          <w:hyperlink w:anchor="_Toc213497627" w:history="1">
            <w:r w:rsidRPr="002746DF">
              <w:rPr>
                <w:rStyle w:val="Hyperlink"/>
                <w:noProof/>
                <w:color w:val="auto"/>
              </w:rPr>
              <w:t>2.2</w:t>
            </w:r>
            <w:r w:rsidRPr="002746DF">
              <w:rPr>
                <w:rStyle w:val="Hyperlink"/>
                <w:noProof/>
                <w:color w:val="auto"/>
                <w:lang w:val="en-IN"/>
              </w:rPr>
              <w:t xml:space="preserve"> Ratio Analysis</w:t>
            </w:r>
            <w:r w:rsidRPr="002746DF">
              <w:rPr>
                <w:noProof/>
                <w:webHidden/>
              </w:rPr>
              <w:tab/>
            </w:r>
            <w:r w:rsidRPr="002746DF">
              <w:rPr>
                <w:noProof/>
                <w:webHidden/>
              </w:rPr>
              <w:fldChar w:fldCharType="begin"/>
            </w:r>
            <w:r w:rsidRPr="002746DF">
              <w:rPr>
                <w:noProof/>
                <w:webHidden/>
              </w:rPr>
              <w:instrText xml:space="preserve"> PAGEREF _Toc213497627 \h </w:instrText>
            </w:r>
            <w:r w:rsidRPr="002746DF">
              <w:rPr>
                <w:noProof/>
                <w:webHidden/>
              </w:rPr>
            </w:r>
            <w:r w:rsidRPr="002746DF">
              <w:rPr>
                <w:noProof/>
                <w:webHidden/>
              </w:rPr>
              <w:fldChar w:fldCharType="separate"/>
            </w:r>
            <w:r w:rsidR="002746DF" w:rsidRPr="002746DF">
              <w:rPr>
                <w:noProof/>
                <w:webHidden/>
              </w:rPr>
              <w:t>6</w:t>
            </w:r>
            <w:r w:rsidRPr="002746DF">
              <w:rPr>
                <w:noProof/>
                <w:webHidden/>
              </w:rPr>
              <w:fldChar w:fldCharType="end"/>
            </w:r>
          </w:hyperlink>
        </w:p>
        <w:p w14:paraId="249941F0" w14:textId="4241C0C5" w:rsidR="009F3541" w:rsidRPr="002746DF" w:rsidRDefault="009F3541">
          <w:pPr>
            <w:pStyle w:val="TOC3"/>
            <w:tabs>
              <w:tab w:val="right" w:leader="dot" w:pos="9350"/>
            </w:tabs>
            <w:rPr>
              <w:noProof/>
            </w:rPr>
          </w:pPr>
          <w:hyperlink w:anchor="_Toc213497628" w:history="1">
            <w:r w:rsidRPr="002746DF">
              <w:rPr>
                <w:rStyle w:val="Hyperlink"/>
                <w:noProof/>
                <w:color w:val="auto"/>
                <w:lang w:val="en-IN"/>
              </w:rPr>
              <w:t xml:space="preserve">2.2.1 </w:t>
            </w:r>
            <w:r w:rsidRPr="002746DF">
              <w:rPr>
                <w:rStyle w:val="Hyperlink"/>
                <w:noProof/>
                <w:color w:val="auto"/>
              </w:rPr>
              <w:t>Profitability Analysis</w:t>
            </w:r>
            <w:r w:rsidRPr="002746DF">
              <w:rPr>
                <w:noProof/>
                <w:webHidden/>
              </w:rPr>
              <w:tab/>
            </w:r>
            <w:r w:rsidRPr="002746DF">
              <w:rPr>
                <w:noProof/>
                <w:webHidden/>
              </w:rPr>
              <w:fldChar w:fldCharType="begin"/>
            </w:r>
            <w:r w:rsidRPr="002746DF">
              <w:rPr>
                <w:noProof/>
                <w:webHidden/>
              </w:rPr>
              <w:instrText xml:space="preserve"> PAGEREF _Toc213497628 \h </w:instrText>
            </w:r>
            <w:r w:rsidRPr="002746DF">
              <w:rPr>
                <w:noProof/>
                <w:webHidden/>
              </w:rPr>
            </w:r>
            <w:r w:rsidRPr="002746DF">
              <w:rPr>
                <w:noProof/>
                <w:webHidden/>
              </w:rPr>
              <w:fldChar w:fldCharType="separate"/>
            </w:r>
            <w:r w:rsidR="002746DF" w:rsidRPr="002746DF">
              <w:rPr>
                <w:noProof/>
                <w:webHidden/>
              </w:rPr>
              <w:t>6</w:t>
            </w:r>
            <w:r w:rsidRPr="002746DF">
              <w:rPr>
                <w:noProof/>
                <w:webHidden/>
              </w:rPr>
              <w:fldChar w:fldCharType="end"/>
            </w:r>
          </w:hyperlink>
        </w:p>
        <w:p w14:paraId="268348B7" w14:textId="066787EF" w:rsidR="009F3541" w:rsidRPr="002746DF" w:rsidRDefault="009F3541">
          <w:pPr>
            <w:pStyle w:val="TOC3"/>
            <w:tabs>
              <w:tab w:val="right" w:leader="dot" w:pos="9350"/>
            </w:tabs>
            <w:rPr>
              <w:noProof/>
            </w:rPr>
          </w:pPr>
          <w:hyperlink w:anchor="_Toc213497629" w:history="1">
            <w:r w:rsidRPr="002746DF">
              <w:rPr>
                <w:rStyle w:val="Hyperlink"/>
                <w:noProof/>
                <w:color w:val="auto"/>
              </w:rPr>
              <w:t>2.</w:t>
            </w:r>
            <w:r w:rsidRPr="002746DF">
              <w:rPr>
                <w:rStyle w:val="Hyperlink"/>
                <w:noProof/>
                <w:color w:val="auto"/>
                <w:lang w:val="en-IN"/>
              </w:rPr>
              <w:t>2.2</w:t>
            </w:r>
            <w:r w:rsidRPr="002746DF">
              <w:rPr>
                <w:rStyle w:val="Hyperlink"/>
                <w:noProof/>
                <w:color w:val="auto"/>
              </w:rPr>
              <w:t xml:space="preserve"> Liquidity Analysis</w:t>
            </w:r>
            <w:r w:rsidRPr="002746DF">
              <w:rPr>
                <w:noProof/>
                <w:webHidden/>
              </w:rPr>
              <w:tab/>
            </w:r>
            <w:r w:rsidRPr="002746DF">
              <w:rPr>
                <w:noProof/>
                <w:webHidden/>
              </w:rPr>
              <w:fldChar w:fldCharType="begin"/>
            </w:r>
            <w:r w:rsidRPr="002746DF">
              <w:rPr>
                <w:noProof/>
                <w:webHidden/>
              </w:rPr>
              <w:instrText xml:space="preserve"> PAGEREF _Toc213497629 \h </w:instrText>
            </w:r>
            <w:r w:rsidRPr="002746DF">
              <w:rPr>
                <w:noProof/>
                <w:webHidden/>
              </w:rPr>
            </w:r>
            <w:r w:rsidRPr="002746DF">
              <w:rPr>
                <w:noProof/>
                <w:webHidden/>
              </w:rPr>
              <w:fldChar w:fldCharType="separate"/>
            </w:r>
            <w:r w:rsidR="002746DF" w:rsidRPr="002746DF">
              <w:rPr>
                <w:noProof/>
                <w:webHidden/>
              </w:rPr>
              <w:t>7</w:t>
            </w:r>
            <w:r w:rsidRPr="002746DF">
              <w:rPr>
                <w:noProof/>
                <w:webHidden/>
              </w:rPr>
              <w:fldChar w:fldCharType="end"/>
            </w:r>
          </w:hyperlink>
        </w:p>
        <w:p w14:paraId="1589549F" w14:textId="2418CEED" w:rsidR="009F3541" w:rsidRPr="002746DF" w:rsidRDefault="009F3541">
          <w:pPr>
            <w:pStyle w:val="TOC3"/>
            <w:tabs>
              <w:tab w:val="right" w:leader="dot" w:pos="9350"/>
            </w:tabs>
            <w:rPr>
              <w:noProof/>
            </w:rPr>
          </w:pPr>
          <w:hyperlink w:anchor="_Toc213497630" w:history="1">
            <w:r w:rsidRPr="002746DF">
              <w:rPr>
                <w:rStyle w:val="Hyperlink"/>
                <w:noProof/>
                <w:color w:val="auto"/>
              </w:rPr>
              <w:t>2.</w:t>
            </w:r>
            <w:r w:rsidRPr="002746DF">
              <w:rPr>
                <w:rStyle w:val="Hyperlink"/>
                <w:noProof/>
                <w:color w:val="auto"/>
                <w:lang w:val="en-IN"/>
              </w:rPr>
              <w:t>2.3</w:t>
            </w:r>
            <w:r w:rsidRPr="002746DF">
              <w:rPr>
                <w:rStyle w:val="Hyperlink"/>
                <w:noProof/>
                <w:color w:val="auto"/>
              </w:rPr>
              <w:t xml:space="preserve"> Efficiency (Activity) Analysis</w:t>
            </w:r>
            <w:r w:rsidRPr="002746DF">
              <w:rPr>
                <w:noProof/>
                <w:webHidden/>
              </w:rPr>
              <w:tab/>
            </w:r>
            <w:r w:rsidRPr="002746DF">
              <w:rPr>
                <w:noProof/>
                <w:webHidden/>
              </w:rPr>
              <w:fldChar w:fldCharType="begin"/>
            </w:r>
            <w:r w:rsidRPr="002746DF">
              <w:rPr>
                <w:noProof/>
                <w:webHidden/>
              </w:rPr>
              <w:instrText xml:space="preserve"> PAGEREF _Toc213497630 \h </w:instrText>
            </w:r>
            <w:r w:rsidRPr="002746DF">
              <w:rPr>
                <w:noProof/>
                <w:webHidden/>
              </w:rPr>
            </w:r>
            <w:r w:rsidRPr="002746DF">
              <w:rPr>
                <w:noProof/>
                <w:webHidden/>
              </w:rPr>
              <w:fldChar w:fldCharType="separate"/>
            </w:r>
            <w:r w:rsidR="002746DF" w:rsidRPr="002746DF">
              <w:rPr>
                <w:noProof/>
                <w:webHidden/>
              </w:rPr>
              <w:t>8</w:t>
            </w:r>
            <w:r w:rsidRPr="002746DF">
              <w:rPr>
                <w:noProof/>
                <w:webHidden/>
              </w:rPr>
              <w:fldChar w:fldCharType="end"/>
            </w:r>
          </w:hyperlink>
        </w:p>
        <w:p w14:paraId="50801DD2" w14:textId="6A915E08" w:rsidR="009F3541" w:rsidRPr="002746DF" w:rsidRDefault="009F3541">
          <w:pPr>
            <w:pStyle w:val="TOC3"/>
            <w:tabs>
              <w:tab w:val="right" w:leader="dot" w:pos="9350"/>
            </w:tabs>
            <w:rPr>
              <w:noProof/>
            </w:rPr>
          </w:pPr>
          <w:hyperlink w:anchor="_Toc213497631" w:history="1">
            <w:r w:rsidRPr="002746DF">
              <w:rPr>
                <w:rStyle w:val="Hyperlink"/>
                <w:noProof/>
                <w:color w:val="auto"/>
              </w:rPr>
              <w:t>2.</w:t>
            </w:r>
            <w:r w:rsidRPr="002746DF">
              <w:rPr>
                <w:rStyle w:val="Hyperlink"/>
                <w:noProof/>
                <w:color w:val="auto"/>
                <w:lang w:val="en-IN"/>
              </w:rPr>
              <w:t>2.4</w:t>
            </w:r>
            <w:r w:rsidRPr="002746DF">
              <w:rPr>
                <w:rStyle w:val="Hyperlink"/>
                <w:noProof/>
                <w:color w:val="auto"/>
              </w:rPr>
              <w:t xml:space="preserve"> Gearing and Capital Structure Analysis</w:t>
            </w:r>
            <w:r w:rsidRPr="002746DF">
              <w:rPr>
                <w:noProof/>
                <w:webHidden/>
              </w:rPr>
              <w:tab/>
            </w:r>
            <w:r w:rsidRPr="002746DF">
              <w:rPr>
                <w:noProof/>
                <w:webHidden/>
              </w:rPr>
              <w:fldChar w:fldCharType="begin"/>
            </w:r>
            <w:r w:rsidRPr="002746DF">
              <w:rPr>
                <w:noProof/>
                <w:webHidden/>
              </w:rPr>
              <w:instrText xml:space="preserve"> PAGEREF _Toc213497631 \h </w:instrText>
            </w:r>
            <w:r w:rsidRPr="002746DF">
              <w:rPr>
                <w:noProof/>
                <w:webHidden/>
              </w:rPr>
            </w:r>
            <w:r w:rsidRPr="002746DF">
              <w:rPr>
                <w:noProof/>
                <w:webHidden/>
              </w:rPr>
              <w:fldChar w:fldCharType="separate"/>
            </w:r>
            <w:r w:rsidR="002746DF" w:rsidRPr="002746DF">
              <w:rPr>
                <w:noProof/>
                <w:webHidden/>
              </w:rPr>
              <w:t>9</w:t>
            </w:r>
            <w:r w:rsidRPr="002746DF">
              <w:rPr>
                <w:noProof/>
                <w:webHidden/>
              </w:rPr>
              <w:fldChar w:fldCharType="end"/>
            </w:r>
          </w:hyperlink>
        </w:p>
        <w:p w14:paraId="5E04D4C2" w14:textId="0BDFA7BB" w:rsidR="009F3541" w:rsidRPr="002746DF" w:rsidRDefault="009F3541">
          <w:pPr>
            <w:pStyle w:val="TOC3"/>
            <w:tabs>
              <w:tab w:val="right" w:leader="dot" w:pos="9350"/>
            </w:tabs>
            <w:rPr>
              <w:noProof/>
            </w:rPr>
          </w:pPr>
          <w:hyperlink w:anchor="_Toc213497632" w:history="1">
            <w:r w:rsidRPr="002746DF">
              <w:rPr>
                <w:rStyle w:val="Hyperlink"/>
                <w:noProof/>
                <w:color w:val="auto"/>
              </w:rPr>
              <w:t>2.</w:t>
            </w:r>
            <w:r w:rsidRPr="002746DF">
              <w:rPr>
                <w:rStyle w:val="Hyperlink"/>
                <w:noProof/>
                <w:color w:val="auto"/>
                <w:lang w:val="en-IN"/>
              </w:rPr>
              <w:t>2.5</w:t>
            </w:r>
            <w:r w:rsidRPr="002746DF">
              <w:rPr>
                <w:rStyle w:val="Hyperlink"/>
                <w:noProof/>
                <w:color w:val="auto"/>
              </w:rPr>
              <w:t xml:space="preserve"> Investment Ratios</w:t>
            </w:r>
            <w:r w:rsidRPr="002746DF">
              <w:rPr>
                <w:noProof/>
                <w:webHidden/>
              </w:rPr>
              <w:tab/>
            </w:r>
            <w:r w:rsidRPr="002746DF">
              <w:rPr>
                <w:noProof/>
                <w:webHidden/>
              </w:rPr>
              <w:fldChar w:fldCharType="begin"/>
            </w:r>
            <w:r w:rsidRPr="002746DF">
              <w:rPr>
                <w:noProof/>
                <w:webHidden/>
              </w:rPr>
              <w:instrText xml:space="preserve"> PAGEREF _Toc213497632 \h </w:instrText>
            </w:r>
            <w:r w:rsidRPr="002746DF">
              <w:rPr>
                <w:noProof/>
                <w:webHidden/>
              </w:rPr>
            </w:r>
            <w:r w:rsidRPr="002746DF">
              <w:rPr>
                <w:noProof/>
                <w:webHidden/>
              </w:rPr>
              <w:fldChar w:fldCharType="separate"/>
            </w:r>
            <w:r w:rsidR="002746DF" w:rsidRPr="002746DF">
              <w:rPr>
                <w:noProof/>
                <w:webHidden/>
              </w:rPr>
              <w:t>10</w:t>
            </w:r>
            <w:r w:rsidRPr="002746DF">
              <w:rPr>
                <w:noProof/>
                <w:webHidden/>
              </w:rPr>
              <w:fldChar w:fldCharType="end"/>
            </w:r>
          </w:hyperlink>
        </w:p>
        <w:p w14:paraId="7A62FDA6" w14:textId="4B2E663E" w:rsidR="009F3541" w:rsidRPr="002746DF" w:rsidRDefault="009F3541">
          <w:pPr>
            <w:pStyle w:val="TOC3"/>
            <w:tabs>
              <w:tab w:val="right" w:leader="dot" w:pos="9350"/>
            </w:tabs>
            <w:rPr>
              <w:noProof/>
            </w:rPr>
          </w:pPr>
          <w:hyperlink w:anchor="_Toc213497633" w:history="1">
            <w:r w:rsidRPr="002746DF">
              <w:rPr>
                <w:rStyle w:val="Hyperlink"/>
                <w:noProof/>
                <w:color w:val="auto"/>
              </w:rPr>
              <w:t>2.</w:t>
            </w:r>
            <w:r w:rsidRPr="002746DF">
              <w:rPr>
                <w:rStyle w:val="Hyperlink"/>
                <w:noProof/>
                <w:color w:val="auto"/>
                <w:lang w:val="en-IN"/>
              </w:rPr>
              <w:t>2.6</w:t>
            </w:r>
            <w:r w:rsidRPr="002746DF">
              <w:rPr>
                <w:rStyle w:val="Hyperlink"/>
                <w:noProof/>
                <w:color w:val="auto"/>
              </w:rPr>
              <w:t xml:space="preserve"> Market Ratios</w:t>
            </w:r>
            <w:r w:rsidRPr="002746DF">
              <w:rPr>
                <w:noProof/>
                <w:webHidden/>
              </w:rPr>
              <w:tab/>
            </w:r>
            <w:r w:rsidRPr="002746DF">
              <w:rPr>
                <w:noProof/>
                <w:webHidden/>
              </w:rPr>
              <w:fldChar w:fldCharType="begin"/>
            </w:r>
            <w:r w:rsidRPr="002746DF">
              <w:rPr>
                <w:noProof/>
                <w:webHidden/>
              </w:rPr>
              <w:instrText xml:space="preserve"> PAGEREF _Toc213497633 \h </w:instrText>
            </w:r>
            <w:r w:rsidRPr="002746DF">
              <w:rPr>
                <w:noProof/>
                <w:webHidden/>
              </w:rPr>
            </w:r>
            <w:r w:rsidRPr="002746DF">
              <w:rPr>
                <w:noProof/>
                <w:webHidden/>
              </w:rPr>
              <w:fldChar w:fldCharType="separate"/>
            </w:r>
            <w:r w:rsidR="002746DF" w:rsidRPr="002746DF">
              <w:rPr>
                <w:noProof/>
                <w:webHidden/>
              </w:rPr>
              <w:t>11</w:t>
            </w:r>
            <w:r w:rsidRPr="002746DF">
              <w:rPr>
                <w:noProof/>
                <w:webHidden/>
              </w:rPr>
              <w:fldChar w:fldCharType="end"/>
            </w:r>
          </w:hyperlink>
        </w:p>
        <w:p w14:paraId="42A9CE14" w14:textId="417D5F61" w:rsidR="009F3541" w:rsidRPr="002746DF" w:rsidRDefault="009F3541">
          <w:pPr>
            <w:pStyle w:val="TOC3"/>
            <w:tabs>
              <w:tab w:val="right" w:leader="dot" w:pos="9350"/>
            </w:tabs>
            <w:rPr>
              <w:noProof/>
            </w:rPr>
          </w:pPr>
          <w:hyperlink w:anchor="_Toc213497634" w:history="1">
            <w:r w:rsidRPr="002746DF">
              <w:rPr>
                <w:rStyle w:val="Hyperlink"/>
                <w:noProof/>
                <w:color w:val="auto"/>
              </w:rPr>
              <w:t>2.</w:t>
            </w:r>
            <w:r w:rsidRPr="002746DF">
              <w:rPr>
                <w:rStyle w:val="Hyperlink"/>
                <w:noProof/>
                <w:color w:val="auto"/>
                <w:lang w:val="en-IN"/>
              </w:rPr>
              <w:t>2.7</w:t>
            </w:r>
            <w:r w:rsidRPr="002746DF">
              <w:rPr>
                <w:rStyle w:val="Hyperlink"/>
                <w:noProof/>
                <w:color w:val="auto"/>
              </w:rPr>
              <w:t xml:space="preserve"> Cashflow Ratio Analysis</w:t>
            </w:r>
            <w:r w:rsidRPr="002746DF">
              <w:rPr>
                <w:noProof/>
                <w:webHidden/>
              </w:rPr>
              <w:tab/>
            </w:r>
            <w:r w:rsidRPr="002746DF">
              <w:rPr>
                <w:noProof/>
                <w:webHidden/>
              </w:rPr>
              <w:fldChar w:fldCharType="begin"/>
            </w:r>
            <w:r w:rsidRPr="002746DF">
              <w:rPr>
                <w:noProof/>
                <w:webHidden/>
              </w:rPr>
              <w:instrText xml:space="preserve"> PAGEREF _Toc213497634 \h </w:instrText>
            </w:r>
            <w:r w:rsidRPr="002746DF">
              <w:rPr>
                <w:noProof/>
                <w:webHidden/>
              </w:rPr>
            </w:r>
            <w:r w:rsidRPr="002746DF">
              <w:rPr>
                <w:noProof/>
                <w:webHidden/>
              </w:rPr>
              <w:fldChar w:fldCharType="separate"/>
            </w:r>
            <w:r w:rsidR="002746DF" w:rsidRPr="002746DF">
              <w:rPr>
                <w:noProof/>
                <w:webHidden/>
              </w:rPr>
              <w:t>12</w:t>
            </w:r>
            <w:r w:rsidRPr="002746DF">
              <w:rPr>
                <w:noProof/>
                <w:webHidden/>
              </w:rPr>
              <w:fldChar w:fldCharType="end"/>
            </w:r>
          </w:hyperlink>
        </w:p>
        <w:p w14:paraId="0753AA03" w14:textId="0C0B5F31" w:rsidR="009F3541" w:rsidRPr="002746DF" w:rsidRDefault="009F3541">
          <w:pPr>
            <w:pStyle w:val="TOC2"/>
            <w:tabs>
              <w:tab w:val="right" w:leader="dot" w:pos="9350"/>
            </w:tabs>
            <w:rPr>
              <w:noProof/>
            </w:rPr>
          </w:pPr>
          <w:hyperlink w:anchor="_Toc213497635" w:history="1">
            <w:r w:rsidRPr="002746DF">
              <w:rPr>
                <w:rStyle w:val="Hyperlink"/>
                <w:noProof/>
                <w:color w:val="auto"/>
                <w:lang w:val="en-IN"/>
              </w:rPr>
              <w:t xml:space="preserve">2.3 Trends, </w:t>
            </w:r>
            <w:r w:rsidRPr="002746DF">
              <w:rPr>
                <w:rStyle w:val="Hyperlink"/>
                <w:noProof/>
                <w:color w:val="auto"/>
              </w:rPr>
              <w:t>Strengths and Threats</w:t>
            </w:r>
            <w:r w:rsidRPr="002746DF">
              <w:rPr>
                <w:noProof/>
                <w:webHidden/>
              </w:rPr>
              <w:tab/>
            </w:r>
            <w:r w:rsidRPr="002746DF">
              <w:rPr>
                <w:noProof/>
                <w:webHidden/>
              </w:rPr>
              <w:fldChar w:fldCharType="begin"/>
            </w:r>
            <w:r w:rsidRPr="002746DF">
              <w:rPr>
                <w:noProof/>
                <w:webHidden/>
              </w:rPr>
              <w:instrText xml:space="preserve"> PAGEREF _Toc213497635 \h </w:instrText>
            </w:r>
            <w:r w:rsidRPr="002746DF">
              <w:rPr>
                <w:noProof/>
                <w:webHidden/>
              </w:rPr>
            </w:r>
            <w:r w:rsidRPr="002746DF">
              <w:rPr>
                <w:noProof/>
                <w:webHidden/>
              </w:rPr>
              <w:fldChar w:fldCharType="separate"/>
            </w:r>
            <w:r w:rsidR="002746DF" w:rsidRPr="002746DF">
              <w:rPr>
                <w:noProof/>
                <w:webHidden/>
              </w:rPr>
              <w:t>13</w:t>
            </w:r>
            <w:r w:rsidRPr="002746DF">
              <w:rPr>
                <w:noProof/>
                <w:webHidden/>
              </w:rPr>
              <w:fldChar w:fldCharType="end"/>
            </w:r>
          </w:hyperlink>
        </w:p>
        <w:p w14:paraId="2FADF947" w14:textId="3CEEC7F2" w:rsidR="009F3541" w:rsidRPr="002746DF" w:rsidRDefault="009F3541">
          <w:pPr>
            <w:pStyle w:val="TOC2"/>
            <w:tabs>
              <w:tab w:val="right" w:leader="dot" w:pos="9350"/>
            </w:tabs>
            <w:rPr>
              <w:noProof/>
            </w:rPr>
          </w:pPr>
          <w:hyperlink w:anchor="_Toc213497636" w:history="1">
            <w:r w:rsidRPr="002746DF">
              <w:rPr>
                <w:rStyle w:val="Hyperlink"/>
                <w:noProof/>
                <w:color w:val="auto"/>
                <w:lang w:val="en-IN"/>
              </w:rPr>
              <w:t>2.4</w:t>
            </w:r>
            <w:r w:rsidRPr="002746DF">
              <w:rPr>
                <w:rStyle w:val="Hyperlink"/>
                <w:noProof/>
                <w:color w:val="auto"/>
              </w:rPr>
              <w:t xml:space="preserve"> Corporate Failure Prediction</w:t>
            </w:r>
            <w:r w:rsidRPr="002746DF">
              <w:rPr>
                <w:noProof/>
                <w:webHidden/>
              </w:rPr>
              <w:tab/>
            </w:r>
            <w:r w:rsidRPr="002746DF">
              <w:rPr>
                <w:noProof/>
                <w:webHidden/>
              </w:rPr>
              <w:fldChar w:fldCharType="begin"/>
            </w:r>
            <w:r w:rsidRPr="002746DF">
              <w:rPr>
                <w:noProof/>
                <w:webHidden/>
              </w:rPr>
              <w:instrText xml:space="preserve"> PAGEREF _Toc213497636 \h </w:instrText>
            </w:r>
            <w:r w:rsidRPr="002746DF">
              <w:rPr>
                <w:noProof/>
                <w:webHidden/>
              </w:rPr>
            </w:r>
            <w:r w:rsidRPr="002746DF">
              <w:rPr>
                <w:noProof/>
                <w:webHidden/>
              </w:rPr>
              <w:fldChar w:fldCharType="separate"/>
            </w:r>
            <w:r w:rsidR="002746DF" w:rsidRPr="002746DF">
              <w:rPr>
                <w:noProof/>
                <w:webHidden/>
              </w:rPr>
              <w:t>13</w:t>
            </w:r>
            <w:r w:rsidRPr="002746DF">
              <w:rPr>
                <w:noProof/>
                <w:webHidden/>
              </w:rPr>
              <w:fldChar w:fldCharType="end"/>
            </w:r>
          </w:hyperlink>
        </w:p>
        <w:p w14:paraId="4040D782" w14:textId="10F3A063" w:rsidR="009F3541" w:rsidRPr="002746DF" w:rsidRDefault="009F3541">
          <w:pPr>
            <w:pStyle w:val="TOC1"/>
            <w:tabs>
              <w:tab w:val="right" w:leader="dot" w:pos="9350"/>
            </w:tabs>
            <w:rPr>
              <w:noProof/>
            </w:rPr>
          </w:pPr>
          <w:hyperlink w:anchor="_Toc213497637" w:history="1">
            <w:r w:rsidRPr="002746DF">
              <w:rPr>
                <w:rStyle w:val="Hyperlink"/>
                <w:noProof/>
                <w:color w:val="auto"/>
              </w:rPr>
              <w:t>3. Working Capital Management Analysis</w:t>
            </w:r>
            <w:r w:rsidRPr="002746DF">
              <w:rPr>
                <w:noProof/>
                <w:webHidden/>
              </w:rPr>
              <w:tab/>
            </w:r>
            <w:r w:rsidRPr="002746DF">
              <w:rPr>
                <w:noProof/>
                <w:webHidden/>
              </w:rPr>
              <w:fldChar w:fldCharType="begin"/>
            </w:r>
            <w:r w:rsidRPr="002746DF">
              <w:rPr>
                <w:noProof/>
                <w:webHidden/>
              </w:rPr>
              <w:instrText xml:space="preserve"> PAGEREF _Toc213497637 \h </w:instrText>
            </w:r>
            <w:r w:rsidRPr="002746DF">
              <w:rPr>
                <w:noProof/>
                <w:webHidden/>
              </w:rPr>
            </w:r>
            <w:r w:rsidRPr="002746DF">
              <w:rPr>
                <w:noProof/>
                <w:webHidden/>
              </w:rPr>
              <w:fldChar w:fldCharType="separate"/>
            </w:r>
            <w:r w:rsidR="002746DF" w:rsidRPr="002746DF">
              <w:rPr>
                <w:noProof/>
                <w:webHidden/>
              </w:rPr>
              <w:t>15</w:t>
            </w:r>
            <w:r w:rsidRPr="002746DF">
              <w:rPr>
                <w:noProof/>
                <w:webHidden/>
              </w:rPr>
              <w:fldChar w:fldCharType="end"/>
            </w:r>
          </w:hyperlink>
        </w:p>
        <w:p w14:paraId="12987158" w14:textId="770A94B9" w:rsidR="009F3541" w:rsidRPr="002746DF" w:rsidRDefault="009F3541">
          <w:pPr>
            <w:pStyle w:val="TOC2"/>
            <w:tabs>
              <w:tab w:val="right" w:leader="dot" w:pos="9350"/>
            </w:tabs>
            <w:rPr>
              <w:noProof/>
            </w:rPr>
          </w:pPr>
          <w:hyperlink w:anchor="_Toc213497638" w:history="1">
            <w:r w:rsidRPr="002746DF">
              <w:rPr>
                <w:rStyle w:val="Hyperlink"/>
                <w:noProof/>
                <w:color w:val="auto"/>
              </w:rPr>
              <w:t>3.1 Cash Conversion Cycle (CCC) and Working Capital Analysis</w:t>
            </w:r>
            <w:r w:rsidRPr="002746DF">
              <w:rPr>
                <w:noProof/>
                <w:webHidden/>
              </w:rPr>
              <w:tab/>
            </w:r>
            <w:r w:rsidRPr="002746DF">
              <w:rPr>
                <w:noProof/>
                <w:webHidden/>
              </w:rPr>
              <w:fldChar w:fldCharType="begin"/>
            </w:r>
            <w:r w:rsidRPr="002746DF">
              <w:rPr>
                <w:noProof/>
                <w:webHidden/>
              </w:rPr>
              <w:instrText xml:space="preserve"> PAGEREF _Toc213497638 \h </w:instrText>
            </w:r>
            <w:r w:rsidRPr="002746DF">
              <w:rPr>
                <w:noProof/>
                <w:webHidden/>
              </w:rPr>
            </w:r>
            <w:r w:rsidRPr="002746DF">
              <w:rPr>
                <w:noProof/>
                <w:webHidden/>
              </w:rPr>
              <w:fldChar w:fldCharType="separate"/>
            </w:r>
            <w:r w:rsidR="002746DF" w:rsidRPr="002746DF">
              <w:rPr>
                <w:noProof/>
                <w:webHidden/>
              </w:rPr>
              <w:t>15</w:t>
            </w:r>
            <w:r w:rsidRPr="002746DF">
              <w:rPr>
                <w:noProof/>
                <w:webHidden/>
              </w:rPr>
              <w:fldChar w:fldCharType="end"/>
            </w:r>
          </w:hyperlink>
        </w:p>
        <w:p w14:paraId="7D40EBA5" w14:textId="0B769D81" w:rsidR="009F3541" w:rsidRPr="002746DF" w:rsidRDefault="009F3541">
          <w:pPr>
            <w:pStyle w:val="TOC2"/>
            <w:tabs>
              <w:tab w:val="right" w:leader="dot" w:pos="9350"/>
            </w:tabs>
            <w:rPr>
              <w:noProof/>
            </w:rPr>
          </w:pPr>
          <w:hyperlink w:anchor="_Toc213497639" w:history="1">
            <w:r w:rsidRPr="002746DF">
              <w:rPr>
                <w:rStyle w:val="Hyperlink"/>
                <w:noProof/>
                <w:color w:val="auto"/>
              </w:rPr>
              <w:t>3.2 Recommended Working Capital Reforms</w:t>
            </w:r>
            <w:r w:rsidRPr="002746DF">
              <w:rPr>
                <w:noProof/>
                <w:webHidden/>
              </w:rPr>
              <w:tab/>
            </w:r>
            <w:r w:rsidRPr="002746DF">
              <w:rPr>
                <w:noProof/>
                <w:webHidden/>
              </w:rPr>
              <w:fldChar w:fldCharType="begin"/>
            </w:r>
            <w:r w:rsidRPr="002746DF">
              <w:rPr>
                <w:noProof/>
                <w:webHidden/>
              </w:rPr>
              <w:instrText xml:space="preserve"> PAGEREF _Toc213497639 \h </w:instrText>
            </w:r>
            <w:r w:rsidRPr="002746DF">
              <w:rPr>
                <w:noProof/>
                <w:webHidden/>
              </w:rPr>
            </w:r>
            <w:r w:rsidRPr="002746DF">
              <w:rPr>
                <w:noProof/>
                <w:webHidden/>
              </w:rPr>
              <w:fldChar w:fldCharType="separate"/>
            </w:r>
            <w:r w:rsidR="002746DF" w:rsidRPr="002746DF">
              <w:rPr>
                <w:noProof/>
                <w:webHidden/>
              </w:rPr>
              <w:t>17</w:t>
            </w:r>
            <w:r w:rsidRPr="002746DF">
              <w:rPr>
                <w:noProof/>
                <w:webHidden/>
              </w:rPr>
              <w:fldChar w:fldCharType="end"/>
            </w:r>
          </w:hyperlink>
        </w:p>
        <w:p w14:paraId="3E9D1F5D" w14:textId="6ACBF887" w:rsidR="009F3541" w:rsidRPr="002746DF" w:rsidRDefault="009F3541">
          <w:pPr>
            <w:pStyle w:val="TOC2"/>
            <w:tabs>
              <w:tab w:val="right" w:leader="dot" w:pos="9350"/>
            </w:tabs>
            <w:rPr>
              <w:noProof/>
            </w:rPr>
          </w:pPr>
          <w:hyperlink w:anchor="_Toc213497640" w:history="1">
            <w:r w:rsidRPr="002746DF">
              <w:rPr>
                <w:rStyle w:val="Hyperlink"/>
                <w:noProof/>
                <w:color w:val="auto"/>
              </w:rPr>
              <w:t>3.3 Short-Term vs Long-Term Financing Options</w:t>
            </w:r>
            <w:r w:rsidRPr="002746DF">
              <w:rPr>
                <w:noProof/>
                <w:webHidden/>
              </w:rPr>
              <w:tab/>
            </w:r>
            <w:r w:rsidRPr="002746DF">
              <w:rPr>
                <w:noProof/>
                <w:webHidden/>
              </w:rPr>
              <w:fldChar w:fldCharType="begin"/>
            </w:r>
            <w:r w:rsidRPr="002746DF">
              <w:rPr>
                <w:noProof/>
                <w:webHidden/>
              </w:rPr>
              <w:instrText xml:space="preserve"> PAGEREF _Toc213497640 \h </w:instrText>
            </w:r>
            <w:r w:rsidRPr="002746DF">
              <w:rPr>
                <w:noProof/>
                <w:webHidden/>
              </w:rPr>
            </w:r>
            <w:r w:rsidRPr="002746DF">
              <w:rPr>
                <w:noProof/>
                <w:webHidden/>
              </w:rPr>
              <w:fldChar w:fldCharType="separate"/>
            </w:r>
            <w:r w:rsidR="002746DF" w:rsidRPr="002746DF">
              <w:rPr>
                <w:noProof/>
                <w:webHidden/>
              </w:rPr>
              <w:t>18</w:t>
            </w:r>
            <w:r w:rsidRPr="002746DF">
              <w:rPr>
                <w:noProof/>
                <w:webHidden/>
              </w:rPr>
              <w:fldChar w:fldCharType="end"/>
            </w:r>
          </w:hyperlink>
        </w:p>
        <w:p w14:paraId="2CC90788" w14:textId="28F1D8AE" w:rsidR="009F3541" w:rsidRPr="002746DF" w:rsidRDefault="009F3541">
          <w:pPr>
            <w:pStyle w:val="TOC1"/>
            <w:tabs>
              <w:tab w:val="right" w:leader="dot" w:pos="9350"/>
            </w:tabs>
            <w:rPr>
              <w:noProof/>
            </w:rPr>
          </w:pPr>
          <w:hyperlink w:anchor="_Toc213497641" w:history="1">
            <w:r w:rsidRPr="002746DF">
              <w:rPr>
                <w:rStyle w:val="Hyperlink"/>
                <w:noProof/>
                <w:color w:val="auto"/>
              </w:rPr>
              <w:t>4. Strategic Financial Restructuring Plan</w:t>
            </w:r>
            <w:r w:rsidRPr="002746DF">
              <w:rPr>
                <w:noProof/>
                <w:webHidden/>
              </w:rPr>
              <w:tab/>
            </w:r>
            <w:r w:rsidRPr="002746DF">
              <w:rPr>
                <w:noProof/>
                <w:webHidden/>
              </w:rPr>
              <w:fldChar w:fldCharType="begin"/>
            </w:r>
            <w:r w:rsidRPr="002746DF">
              <w:rPr>
                <w:noProof/>
                <w:webHidden/>
              </w:rPr>
              <w:instrText xml:space="preserve"> PAGEREF _Toc213497641 \h </w:instrText>
            </w:r>
            <w:r w:rsidRPr="002746DF">
              <w:rPr>
                <w:noProof/>
                <w:webHidden/>
              </w:rPr>
            </w:r>
            <w:r w:rsidRPr="002746DF">
              <w:rPr>
                <w:noProof/>
                <w:webHidden/>
              </w:rPr>
              <w:fldChar w:fldCharType="separate"/>
            </w:r>
            <w:r w:rsidR="002746DF" w:rsidRPr="002746DF">
              <w:rPr>
                <w:noProof/>
                <w:webHidden/>
              </w:rPr>
              <w:t>20</w:t>
            </w:r>
            <w:r w:rsidRPr="002746DF">
              <w:rPr>
                <w:noProof/>
                <w:webHidden/>
              </w:rPr>
              <w:fldChar w:fldCharType="end"/>
            </w:r>
          </w:hyperlink>
        </w:p>
        <w:p w14:paraId="3732B098" w14:textId="669B4BCD" w:rsidR="009F3541" w:rsidRPr="002746DF" w:rsidRDefault="009F3541">
          <w:pPr>
            <w:pStyle w:val="TOC2"/>
            <w:tabs>
              <w:tab w:val="right" w:leader="dot" w:pos="9350"/>
            </w:tabs>
            <w:rPr>
              <w:noProof/>
            </w:rPr>
          </w:pPr>
          <w:hyperlink w:anchor="_Toc213497642" w:history="1">
            <w:r w:rsidRPr="002746DF">
              <w:rPr>
                <w:rStyle w:val="Hyperlink"/>
                <w:noProof/>
                <w:color w:val="auto"/>
              </w:rPr>
              <w:t>4.1 Proposed Restructuring Options</w:t>
            </w:r>
            <w:r w:rsidRPr="002746DF">
              <w:rPr>
                <w:noProof/>
                <w:webHidden/>
              </w:rPr>
              <w:tab/>
            </w:r>
            <w:r w:rsidRPr="002746DF">
              <w:rPr>
                <w:noProof/>
                <w:webHidden/>
              </w:rPr>
              <w:fldChar w:fldCharType="begin"/>
            </w:r>
            <w:r w:rsidRPr="002746DF">
              <w:rPr>
                <w:noProof/>
                <w:webHidden/>
              </w:rPr>
              <w:instrText xml:space="preserve"> PAGEREF _Toc213497642 \h </w:instrText>
            </w:r>
            <w:r w:rsidRPr="002746DF">
              <w:rPr>
                <w:noProof/>
                <w:webHidden/>
              </w:rPr>
            </w:r>
            <w:r w:rsidRPr="002746DF">
              <w:rPr>
                <w:noProof/>
                <w:webHidden/>
              </w:rPr>
              <w:fldChar w:fldCharType="separate"/>
            </w:r>
            <w:r w:rsidR="002746DF" w:rsidRPr="002746DF">
              <w:rPr>
                <w:noProof/>
                <w:webHidden/>
              </w:rPr>
              <w:t>20</w:t>
            </w:r>
            <w:r w:rsidRPr="002746DF">
              <w:rPr>
                <w:noProof/>
                <w:webHidden/>
              </w:rPr>
              <w:fldChar w:fldCharType="end"/>
            </w:r>
          </w:hyperlink>
        </w:p>
        <w:p w14:paraId="2EAD75EF" w14:textId="4E293FE0" w:rsidR="009F3541" w:rsidRPr="002746DF" w:rsidRDefault="009F3541">
          <w:pPr>
            <w:pStyle w:val="TOC3"/>
            <w:tabs>
              <w:tab w:val="right" w:leader="dot" w:pos="9350"/>
            </w:tabs>
            <w:rPr>
              <w:noProof/>
            </w:rPr>
          </w:pPr>
          <w:hyperlink w:anchor="_Toc213497643" w:history="1">
            <w:r w:rsidRPr="002746DF">
              <w:rPr>
                <w:rStyle w:val="Hyperlink"/>
                <w:noProof/>
                <w:color w:val="auto"/>
              </w:rPr>
              <w:t>4.1.1 Divestiture of Non-Core or Unprofitable Division</w:t>
            </w:r>
            <w:r w:rsidRPr="002746DF">
              <w:rPr>
                <w:noProof/>
                <w:webHidden/>
              </w:rPr>
              <w:tab/>
            </w:r>
            <w:r w:rsidRPr="002746DF">
              <w:rPr>
                <w:noProof/>
                <w:webHidden/>
              </w:rPr>
              <w:fldChar w:fldCharType="begin"/>
            </w:r>
            <w:r w:rsidRPr="002746DF">
              <w:rPr>
                <w:noProof/>
                <w:webHidden/>
              </w:rPr>
              <w:instrText xml:space="preserve"> PAGEREF _Toc213497643 \h </w:instrText>
            </w:r>
            <w:r w:rsidRPr="002746DF">
              <w:rPr>
                <w:noProof/>
                <w:webHidden/>
              </w:rPr>
            </w:r>
            <w:r w:rsidRPr="002746DF">
              <w:rPr>
                <w:noProof/>
                <w:webHidden/>
              </w:rPr>
              <w:fldChar w:fldCharType="separate"/>
            </w:r>
            <w:r w:rsidR="002746DF" w:rsidRPr="002746DF">
              <w:rPr>
                <w:noProof/>
                <w:webHidden/>
              </w:rPr>
              <w:t>20</w:t>
            </w:r>
            <w:r w:rsidRPr="002746DF">
              <w:rPr>
                <w:noProof/>
                <w:webHidden/>
              </w:rPr>
              <w:fldChar w:fldCharType="end"/>
            </w:r>
          </w:hyperlink>
        </w:p>
        <w:p w14:paraId="4F922CF0" w14:textId="56AF516C" w:rsidR="009F3541" w:rsidRPr="002746DF" w:rsidRDefault="009F3541">
          <w:pPr>
            <w:pStyle w:val="TOC3"/>
            <w:tabs>
              <w:tab w:val="right" w:leader="dot" w:pos="9350"/>
            </w:tabs>
            <w:rPr>
              <w:noProof/>
            </w:rPr>
          </w:pPr>
          <w:hyperlink w:anchor="_Toc213497644" w:history="1">
            <w:r w:rsidRPr="002746DF">
              <w:rPr>
                <w:rStyle w:val="Hyperlink"/>
                <w:noProof/>
                <w:color w:val="auto"/>
              </w:rPr>
              <w:t>4.1.2 Mergers, Strategic Alliances, or Acquisitions</w:t>
            </w:r>
            <w:r w:rsidRPr="002746DF">
              <w:rPr>
                <w:noProof/>
                <w:webHidden/>
              </w:rPr>
              <w:tab/>
            </w:r>
            <w:r w:rsidRPr="002746DF">
              <w:rPr>
                <w:noProof/>
                <w:webHidden/>
              </w:rPr>
              <w:fldChar w:fldCharType="begin"/>
            </w:r>
            <w:r w:rsidRPr="002746DF">
              <w:rPr>
                <w:noProof/>
                <w:webHidden/>
              </w:rPr>
              <w:instrText xml:space="preserve"> PAGEREF _Toc213497644 \h </w:instrText>
            </w:r>
            <w:r w:rsidRPr="002746DF">
              <w:rPr>
                <w:noProof/>
                <w:webHidden/>
              </w:rPr>
            </w:r>
            <w:r w:rsidRPr="002746DF">
              <w:rPr>
                <w:noProof/>
                <w:webHidden/>
              </w:rPr>
              <w:fldChar w:fldCharType="separate"/>
            </w:r>
            <w:r w:rsidR="002746DF" w:rsidRPr="002746DF">
              <w:rPr>
                <w:noProof/>
                <w:webHidden/>
              </w:rPr>
              <w:t>20</w:t>
            </w:r>
            <w:r w:rsidRPr="002746DF">
              <w:rPr>
                <w:noProof/>
                <w:webHidden/>
              </w:rPr>
              <w:fldChar w:fldCharType="end"/>
            </w:r>
          </w:hyperlink>
        </w:p>
        <w:p w14:paraId="35D2C83B" w14:textId="5F8E928F" w:rsidR="009F3541" w:rsidRPr="002746DF" w:rsidRDefault="009F3541">
          <w:pPr>
            <w:pStyle w:val="TOC3"/>
            <w:tabs>
              <w:tab w:val="right" w:leader="dot" w:pos="9350"/>
            </w:tabs>
            <w:rPr>
              <w:noProof/>
            </w:rPr>
          </w:pPr>
          <w:hyperlink w:anchor="_Toc213497645" w:history="1">
            <w:r w:rsidRPr="002746DF">
              <w:rPr>
                <w:rStyle w:val="Hyperlink"/>
                <w:noProof/>
                <w:color w:val="auto"/>
              </w:rPr>
              <w:t>4.1.3 Equity Injection or Rights Issue</w:t>
            </w:r>
            <w:r w:rsidRPr="002746DF">
              <w:rPr>
                <w:noProof/>
                <w:webHidden/>
              </w:rPr>
              <w:tab/>
            </w:r>
            <w:r w:rsidRPr="002746DF">
              <w:rPr>
                <w:noProof/>
                <w:webHidden/>
              </w:rPr>
              <w:fldChar w:fldCharType="begin"/>
            </w:r>
            <w:r w:rsidRPr="002746DF">
              <w:rPr>
                <w:noProof/>
                <w:webHidden/>
              </w:rPr>
              <w:instrText xml:space="preserve"> PAGEREF _Toc213497645 \h </w:instrText>
            </w:r>
            <w:r w:rsidRPr="002746DF">
              <w:rPr>
                <w:noProof/>
                <w:webHidden/>
              </w:rPr>
            </w:r>
            <w:r w:rsidRPr="002746DF">
              <w:rPr>
                <w:noProof/>
                <w:webHidden/>
              </w:rPr>
              <w:fldChar w:fldCharType="separate"/>
            </w:r>
            <w:r w:rsidR="002746DF" w:rsidRPr="002746DF">
              <w:rPr>
                <w:noProof/>
                <w:webHidden/>
              </w:rPr>
              <w:t>20</w:t>
            </w:r>
            <w:r w:rsidRPr="002746DF">
              <w:rPr>
                <w:noProof/>
                <w:webHidden/>
              </w:rPr>
              <w:fldChar w:fldCharType="end"/>
            </w:r>
          </w:hyperlink>
        </w:p>
        <w:p w14:paraId="72585F7D" w14:textId="6E97238C" w:rsidR="009F3541" w:rsidRPr="002746DF" w:rsidRDefault="009F3541">
          <w:pPr>
            <w:pStyle w:val="TOC3"/>
            <w:tabs>
              <w:tab w:val="right" w:leader="dot" w:pos="9350"/>
            </w:tabs>
            <w:rPr>
              <w:noProof/>
            </w:rPr>
          </w:pPr>
          <w:hyperlink w:anchor="_Toc213497646" w:history="1">
            <w:r w:rsidRPr="002746DF">
              <w:rPr>
                <w:rStyle w:val="Hyperlink"/>
                <w:noProof/>
                <w:color w:val="auto"/>
              </w:rPr>
              <w:t>4.1.4 Debt Refinancing</w:t>
            </w:r>
            <w:r w:rsidRPr="002746DF">
              <w:rPr>
                <w:noProof/>
                <w:webHidden/>
              </w:rPr>
              <w:tab/>
            </w:r>
            <w:r w:rsidRPr="002746DF">
              <w:rPr>
                <w:noProof/>
                <w:webHidden/>
              </w:rPr>
              <w:fldChar w:fldCharType="begin"/>
            </w:r>
            <w:r w:rsidRPr="002746DF">
              <w:rPr>
                <w:noProof/>
                <w:webHidden/>
              </w:rPr>
              <w:instrText xml:space="preserve"> PAGEREF _Toc213497646 \h </w:instrText>
            </w:r>
            <w:r w:rsidRPr="002746DF">
              <w:rPr>
                <w:noProof/>
                <w:webHidden/>
              </w:rPr>
            </w:r>
            <w:r w:rsidRPr="002746DF">
              <w:rPr>
                <w:noProof/>
                <w:webHidden/>
              </w:rPr>
              <w:fldChar w:fldCharType="separate"/>
            </w:r>
            <w:r w:rsidR="002746DF" w:rsidRPr="002746DF">
              <w:rPr>
                <w:noProof/>
                <w:webHidden/>
              </w:rPr>
              <w:t>21</w:t>
            </w:r>
            <w:r w:rsidRPr="002746DF">
              <w:rPr>
                <w:noProof/>
                <w:webHidden/>
              </w:rPr>
              <w:fldChar w:fldCharType="end"/>
            </w:r>
          </w:hyperlink>
        </w:p>
        <w:p w14:paraId="4354395E" w14:textId="0D878919" w:rsidR="009F3541" w:rsidRPr="002746DF" w:rsidRDefault="009F3541">
          <w:pPr>
            <w:pStyle w:val="TOC2"/>
            <w:tabs>
              <w:tab w:val="right" w:leader="dot" w:pos="9350"/>
            </w:tabs>
            <w:rPr>
              <w:noProof/>
            </w:rPr>
          </w:pPr>
          <w:hyperlink w:anchor="_Toc213497647" w:history="1">
            <w:r w:rsidRPr="002746DF">
              <w:rPr>
                <w:rStyle w:val="Hyperlink"/>
                <w:noProof/>
                <w:color w:val="auto"/>
              </w:rPr>
              <w:t>4.2 Impact Analysis</w:t>
            </w:r>
            <w:r w:rsidRPr="002746DF">
              <w:rPr>
                <w:noProof/>
                <w:webHidden/>
              </w:rPr>
              <w:tab/>
            </w:r>
            <w:r w:rsidRPr="002746DF">
              <w:rPr>
                <w:noProof/>
                <w:webHidden/>
              </w:rPr>
              <w:fldChar w:fldCharType="begin"/>
            </w:r>
            <w:r w:rsidRPr="002746DF">
              <w:rPr>
                <w:noProof/>
                <w:webHidden/>
              </w:rPr>
              <w:instrText xml:space="preserve"> PAGEREF _Toc213497647 \h </w:instrText>
            </w:r>
            <w:r w:rsidRPr="002746DF">
              <w:rPr>
                <w:noProof/>
                <w:webHidden/>
              </w:rPr>
            </w:r>
            <w:r w:rsidRPr="002746DF">
              <w:rPr>
                <w:noProof/>
                <w:webHidden/>
              </w:rPr>
              <w:fldChar w:fldCharType="separate"/>
            </w:r>
            <w:r w:rsidR="002746DF" w:rsidRPr="002746DF">
              <w:rPr>
                <w:noProof/>
                <w:webHidden/>
              </w:rPr>
              <w:t>21</w:t>
            </w:r>
            <w:r w:rsidRPr="002746DF">
              <w:rPr>
                <w:noProof/>
                <w:webHidden/>
              </w:rPr>
              <w:fldChar w:fldCharType="end"/>
            </w:r>
          </w:hyperlink>
        </w:p>
        <w:p w14:paraId="1129A7D7" w14:textId="0A01D17D" w:rsidR="009F3541" w:rsidRPr="002746DF" w:rsidRDefault="009F3541">
          <w:pPr>
            <w:pStyle w:val="TOC3"/>
            <w:tabs>
              <w:tab w:val="right" w:leader="dot" w:pos="9350"/>
            </w:tabs>
            <w:rPr>
              <w:noProof/>
            </w:rPr>
          </w:pPr>
          <w:hyperlink w:anchor="_Toc213497648" w:history="1">
            <w:r w:rsidRPr="002746DF">
              <w:rPr>
                <w:rStyle w:val="Hyperlink"/>
                <w:noProof/>
                <w:color w:val="auto"/>
              </w:rPr>
              <w:t>4.2.1 Impact on Shareholder Value</w:t>
            </w:r>
            <w:r w:rsidRPr="002746DF">
              <w:rPr>
                <w:noProof/>
                <w:webHidden/>
              </w:rPr>
              <w:tab/>
            </w:r>
            <w:r w:rsidRPr="002746DF">
              <w:rPr>
                <w:noProof/>
                <w:webHidden/>
              </w:rPr>
              <w:fldChar w:fldCharType="begin"/>
            </w:r>
            <w:r w:rsidRPr="002746DF">
              <w:rPr>
                <w:noProof/>
                <w:webHidden/>
              </w:rPr>
              <w:instrText xml:space="preserve"> PAGEREF _Toc213497648 \h </w:instrText>
            </w:r>
            <w:r w:rsidRPr="002746DF">
              <w:rPr>
                <w:noProof/>
                <w:webHidden/>
              </w:rPr>
            </w:r>
            <w:r w:rsidRPr="002746DF">
              <w:rPr>
                <w:noProof/>
                <w:webHidden/>
              </w:rPr>
              <w:fldChar w:fldCharType="separate"/>
            </w:r>
            <w:r w:rsidR="002746DF" w:rsidRPr="002746DF">
              <w:rPr>
                <w:noProof/>
                <w:webHidden/>
              </w:rPr>
              <w:t>21</w:t>
            </w:r>
            <w:r w:rsidRPr="002746DF">
              <w:rPr>
                <w:noProof/>
                <w:webHidden/>
              </w:rPr>
              <w:fldChar w:fldCharType="end"/>
            </w:r>
          </w:hyperlink>
        </w:p>
        <w:p w14:paraId="06188AAC" w14:textId="63959C23" w:rsidR="009F3541" w:rsidRPr="002746DF" w:rsidRDefault="009F3541">
          <w:pPr>
            <w:pStyle w:val="TOC3"/>
            <w:tabs>
              <w:tab w:val="right" w:leader="dot" w:pos="9350"/>
            </w:tabs>
            <w:rPr>
              <w:noProof/>
            </w:rPr>
          </w:pPr>
          <w:hyperlink w:anchor="_Toc213497649" w:history="1">
            <w:r w:rsidRPr="002746DF">
              <w:rPr>
                <w:rStyle w:val="Hyperlink"/>
                <w:noProof/>
                <w:color w:val="auto"/>
              </w:rPr>
              <w:t xml:space="preserve">4.2.2 Impact on </w:t>
            </w:r>
            <w:r w:rsidRPr="002746DF">
              <w:rPr>
                <w:rStyle w:val="Hyperlink"/>
                <w:noProof/>
                <w:color w:val="auto"/>
                <w:lang w:val="en-IN"/>
              </w:rPr>
              <w:t>Debt Structure</w:t>
            </w:r>
            <w:r w:rsidRPr="002746DF">
              <w:rPr>
                <w:noProof/>
                <w:webHidden/>
              </w:rPr>
              <w:tab/>
            </w:r>
            <w:r w:rsidRPr="002746DF">
              <w:rPr>
                <w:noProof/>
                <w:webHidden/>
              </w:rPr>
              <w:fldChar w:fldCharType="begin"/>
            </w:r>
            <w:r w:rsidRPr="002746DF">
              <w:rPr>
                <w:noProof/>
                <w:webHidden/>
              </w:rPr>
              <w:instrText xml:space="preserve"> PAGEREF _Toc213497649 \h </w:instrText>
            </w:r>
            <w:r w:rsidRPr="002746DF">
              <w:rPr>
                <w:noProof/>
                <w:webHidden/>
              </w:rPr>
            </w:r>
            <w:r w:rsidRPr="002746DF">
              <w:rPr>
                <w:noProof/>
                <w:webHidden/>
              </w:rPr>
              <w:fldChar w:fldCharType="separate"/>
            </w:r>
            <w:r w:rsidR="002746DF" w:rsidRPr="002746DF">
              <w:rPr>
                <w:noProof/>
                <w:webHidden/>
              </w:rPr>
              <w:t>22</w:t>
            </w:r>
            <w:r w:rsidRPr="002746DF">
              <w:rPr>
                <w:noProof/>
                <w:webHidden/>
              </w:rPr>
              <w:fldChar w:fldCharType="end"/>
            </w:r>
          </w:hyperlink>
        </w:p>
        <w:p w14:paraId="768C985C" w14:textId="784D6AAA" w:rsidR="009F3541" w:rsidRPr="002746DF" w:rsidRDefault="009F3541">
          <w:pPr>
            <w:pStyle w:val="TOC3"/>
            <w:tabs>
              <w:tab w:val="right" w:leader="dot" w:pos="9350"/>
            </w:tabs>
            <w:rPr>
              <w:noProof/>
            </w:rPr>
          </w:pPr>
          <w:hyperlink w:anchor="_Toc213497650" w:history="1">
            <w:r w:rsidRPr="002746DF">
              <w:rPr>
                <w:rStyle w:val="Hyperlink"/>
                <w:noProof/>
                <w:color w:val="auto"/>
              </w:rPr>
              <w:t>4.2.3 Impact on Operational Flexibility and Profitability</w:t>
            </w:r>
            <w:r w:rsidRPr="002746DF">
              <w:rPr>
                <w:noProof/>
                <w:webHidden/>
              </w:rPr>
              <w:tab/>
            </w:r>
            <w:r w:rsidRPr="002746DF">
              <w:rPr>
                <w:noProof/>
                <w:webHidden/>
              </w:rPr>
              <w:fldChar w:fldCharType="begin"/>
            </w:r>
            <w:r w:rsidRPr="002746DF">
              <w:rPr>
                <w:noProof/>
                <w:webHidden/>
              </w:rPr>
              <w:instrText xml:space="preserve"> PAGEREF _Toc213497650 \h </w:instrText>
            </w:r>
            <w:r w:rsidRPr="002746DF">
              <w:rPr>
                <w:noProof/>
                <w:webHidden/>
              </w:rPr>
            </w:r>
            <w:r w:rsidRPr="002746DF">
              <w:rPr>
                <w:noProof/>
                <w:webHidden/>
              </w:rPr>
              <w:fldChar w:fldCharType="separate"/>
            </w:r>
            <w:r w:rsidR="002746DF" w:rsidRPr="002746DF">
              <w:rPr>
                <w:noProof/>
                <w:webHidden/>
              </w:rPr>
              <w:t>22</w:t>
            </w:r>
            <w:r w:rsidRPr="002746DF">
              <w:rPr>
                <w:noProof/>
                <w:webHidden/>
              </w:rPr>
              <w:fldChar w:fldCharType="end"/>
            </w:r>
          </w:hyperlink>
        </w:p>
        <w:p w14:paraId="0ABE0440" w14:textId="69092760" w:rsidR="009F3541" w:rsidRPr="002746DF" w:rsidRDefault="009F3541">
          <w:pPr>
            <w:pStyle w:val="TOC2"/>
            <w:tabs>
              <w:tab w:val="right" w:leader="dot" w:pos="9350"/>
            </w:tabs>
            <w:rPr>
              <w:noProof/>
            </w:rPr>
          </w:pPr>
          <w:hyperlink w:anchor="_Toc213497651" w:history="1">
            <w:r w:rsidRPr="002746DF">
              <w:rPr>
                <w:rStyle w:val="Hyperlink"/>
                <w:noProof/>
                <w:color w:val="auto"/>
              </w:rPr>
              <w:t>4.3 International and Ethical Considerations</w:t>
            </w:r>
            <w:r w:rsidRPr="002746DF">
              <w:rPr>
                <w:noProof/>
                <w:webHidden/>
              </w:rPr>
              <w:tab/>
            </w:r>
            <w:r w:rsidRPr="002746DF">
              <w:rPr>
                <w:noProof/>
                <w:webHidden/>
              </w:rPr>
              <w:fldChar w:fldCharType="begin"/>
            </w:r>
            <w:r w:rsidRPr="002746DF">
              <w:rPr>
                <w:noProof/>
                <w:webHidden/>
              </w:rPr>
              <w:instrText xml:space="preserve"> PAGEREF _Toc213497651 \h </w:instrText>
            </w:r>
            <w:r w:rsidRPr="002746DF">
              <w:rPr>
                <w:noProof/>
                <w:webHidden/>
              </w:rPr>
            </w:r>
            <w:r w:rsidRPr="002746DF">
              <w:rPr>
                <w:noProof/>
                <w:webHidden/>
              </w:rPr>
              <w:fldChar w:fldCharType="separate"/>
            </w:r>
            <w:r w:rsidR="002746DF" w:rsidRPr="002746DF">
              <w:rPr>
                <w:noProof/>
                <w:webHidden/>
              </w:rPr>
              <w:t>22</w:t>
            </w:r>
            <w:r w:rsidRPr="002746DF">
              <w:rPr>
                <w:noProof/>
                <w:webHidden/>
              </w:rPr>
              <w:fldChar w:fldCharType="end"/>
            </w:r>
          </w:hyperlink>
        </w:p>
        <w:p w14:paraId="36B5C46C" w14:textId="731216A2" w:rsidR="009F3541" w:rsidRPr="002746DF" w:rsidRDefault="009F3541">
          <w:pPr>
            <w:pStyle w:val="TOC1"/>
            <w:tabs>
              <w:tab w:val="right" w:leader="dot" w:pos="9350"/>
            </w:tabs>
            <w:rPr>
              <w:noProof/>
            </w:rPr>
          </w:pPr>
          <w:hyperlink w:anchor="_Toc213497652" w:history="1">
            <w:r w:rsidRPr="002746DF">
              <w:rPr>
                <w:rStyle w:val="Hyperlink"/>
                <w:noProof/>
                <w:color w:val="auto"/>
              </w:rPr>
              <w:t>5. Investment Appraisal and Capital Budgeting</w:t>
            </w:r>
            <w:r w:rsidRPr="002746DF">
              <w:rPr>
                <w:noProof/>
                <w:webHidden/>
              </w:rPr>
              <w:tab/>
            </w:r>
            <w:r w:rsidRPr="002746DF">
              <w:rPr>
                <w:noProof/>
                <w:webHidden/>
              </w:rPr>
              <w:fldChar w:fldCharType="begin"/>
            </w:r>
            <w:r w:rsidRPr="002746DF">
              <w:rPr>
                <w:noProof/>
                <w:webHidden/>
              </w:rPr>
              <w:instrText xml:space="preserve"> PAGEREF _Toc213497652 \h </w:instrText>
            </w:r>
            <w:r w:rsidRPr="002746DF">
              <w:rPr>
                <w:noProof/>
                <w:webHidden/>
              </w:rPr>
            </w:r>
            <w:r w:rsidRPr="002746DF">
              <w:rPr>
                <w:noProof/>
                <w:webHidden/>
              </w:rPr>
              <w:fldChar w:fldCharType="separate"/>
            </w:r>
            <w:r w:rsidR="002746DF" w:rsidRPr="002746DF">
              <w:rPr>
                <w:noProof/>
                <w:webHidden/>
              </w:rPr>
              <w:t>23</w:t>
            </w:r>
            <w:r w:rsidRPr="002746DF">
              <w:rPr>
                <w:noProof/>
                <w:webHidden/>
              </w:rPr>
              <w:fldChar w:fldCharType="end"/>
            </w:r>
          </w:hyperlink>
        </w:p>
        <w:p w14:paraId="763D2D69" w14:textId="1E44973F" w:rsidR="009F3541" w:rsidRPr="002746DF" w:rsidRDefault="009F3541">
          <w:pPr>
            <w:pStyle w:val="TOC2"/>
            <w:tabs>
              <w:tab w:val="right" w:leader="dot" w:pos="9350"/>
            </w:tabs>
            <w:rPr>
              <w:noProof/>
            </w:rPr>
          </w:pPr>
          <w:hyperlink w:anchor="_Toc213497653" w:history="1">
            <w:r w:rsidRPr="002746DF">
              <w:rPr>
                <w:rStyle w:val="Hyperlink"/>
                <w:noProof/>
                <w:color w:val="auto"/>
              </w:rPr>
              <w:t>5.1 Overview of Proposed Investment Projects</w:t>
            </w:r>
            <w:r w:rsidRPr="002746DF">
              <w:rPr>
                <w:noProof/>
                <w:webHidden/>
              </w:rPr>
              <w:tab/>
            </w:r>
            <w:r w:rsidRPr="002746DF">
              <w:rPr>
                <w:noProof/>
                <w:webHidden/>
              </w:rPr>
              <w:fldChar w:fldCharType="begin"/>
            </w:r>
            <w:r w:rsidRPr="002746DF">
              <w:rPr>
                <w:noProof/>
                <w:webHidden/>
              </w:rPr>
              <w:instrText xml:space="preserve"> PAGEREF _Toc213497653 \h </w:instrText>
            </w:r>
            <w:r w:rsidRPr="002746DF">
              <w:rPr>
                <w:noProof/>
                <w:webHidden/>
              </w:rPr>
            </w:r>
            <w:r w:rsidRPr="002746DF">
              <w:rPr>
                <w:noProof/>
                <w:webHidden/>
              </w:rPr>
              <w:fldChar w:fldCharType="separate"/>
            </w:r>
            <w:r w:rsidR="002746DF" w:rsidRPr="002746DF">
              <w:rPr>
                <w:noProof/>
                <w:webHidden/>
              </w:rPr>
              <w:t>23</w:t>
            </w:r>
            <w:r w:rsidRPr="002746DF">
              <w:rPr>
                <w:noProof/>
                <w:webHidden/>
              </w:rPr>
              <w:fldChar w:fldCharType="end"/>
            </w:r>
          </w:hyperlink>
        </w:p>
        <w:p w14:paraId="24040E9B" w14:textId="1C22DED6" w:rsidR="009F3541" w:rsidRPr="002746DF" w:rsidRDefault="009F3541">
          <w:pPr>
            <w:pStyle w:val="TOC2"/>
            <w:tabs>
              <w:tab w:val="right" w:leader="dot" w:pos="9350"/>
            </w:tabs>
            <w:rPr>
              <w:noProof/>
            </w:rPr>
          </w:pPr>
          <w:hyperlink w:anchor="_Toc213497654" w:history="1">
            <w:r w:rsidRPr="002746DF">
              <w:rPr>
                <w:rStyle w:val="Hyperlink"/>
                <w:noProof/>
                <w:color w:val="auto"/>
              </w:rPr>
              <w:t>5.2 Financial Evaluation Techniques</w:t>
            </w:r>
            <w:r w:rsidRPr="002746DF">
              <w:rPr>
                <w:noProof/>
                <w:webHidden/>
              </w:rPr>
              <w:tab/>
            </w:r>
            <w:r w:rsidRPr="002746DF">
              <w:rPr>
                <w:noProof/>
                <w:webHidden/>
              </w:rPr>
              <w:fldChar w:fldCharType="begin"/>
            </w:r>
            <w:r w:rsidRPr="002746DF">
              <w:rPr>
                <w:noProof/>
                <w:webHidden/>
              </w:rPr>
              <w:instrText xml:space="preserve"> PAGEREF _Toc213497654 \h </w:instrText>
            </w:r>
            <w:r w:rsidRPr="002746DF">
              <w:rPr>
                <w:noProof/>
                <w:webHidden/>
              </w:rPr>
            </w:r>
            <w:r w:rsidRPr="002746DF">
              <w:rPr>
                <w:noProof/>
                <w:webHidden/>
              </w:rPr>
              <w:fldChar w:fldCharType="separate"/>
            </w:r>
            <w:r w:rsidR="002746DF" w:rsidRPr="002746DF">
              <w:rPr>
                <w:noProof/>
                <w:webHidden/>
              </w:rPr>
              <w:t>24</w:t>
            </w:r>
            <w:r w:rsidRPr="002746DF">
              <w:rPr>
                <w:noProof/>
                <w:webHidden/>
              </w:rPr>
              <w:fldChar w:fldCharType="end"/>
            </w:r>
          </w:hyperlink>
        </w:p>
        <w:p w14:paraId="4AB114B8" w14:textId="5E343100" w:rsidR="009F3541" w:rsidRPr="002746DF" w:rsidRDefault="009F3541">
          <w:pPr>
            <w:pStyle w:val="TOC3"/>
            <w:tabs>
              <w:tab w:val="right" w:leader="dot" w:pos="9350"/>
            </w:tabs>
            <w:rPr>
              <w:noProof/>
            </w:rPr>
          </w:pPr>
          <w:hyperlink w:anchor="_Toc213497655" w:history="1">
            <w:r w:rsidRPr="002746DF">
              <w:rPr>
                <w:rStyle w:val="Hyperlink"/>
                <w:noProof/>
                <w:color w:val="auto"/>
              </w:rPr>
              <w:t>5.2.1 Payback Period (PBP)</w:t>
            </w:r>
            <w:r w:rsidRPr="002746DF">
              <w:rPr>
                <w:noProof/>
                <w:webHidden/>
              </w:rPr>
              <w:tab/>
            </w:r>
            <w:r w:rsidRPr="002746DF">
              <w:rPr>
                <w:noProof/>
                <w:webHidden/>
              </w:rPr>
              <w:fldChar w:fldCharType="begin"/>
            </w:r>
            <w:r w:rsidRPr="002746DF">
              <w:rPr>
                <w:noProof/>
                <w:webHidden/>
              </w:rPr>
              <w:instrText xml:space="preserve"> PAGEREF _Toc213497655 \h </w:instrText>
            </w:r>
            <w:r w:rsidRPr="002746DF">
              <w:rPr>
                <w:noProof/>
                <w:webHidden/>
              </w:rPr>
            </w:r>
            <w:r w:rsidRPr="002746DF">
              <w:rPr>
                <w:noProof/>
                <w:webHidden/>
              </w:rPr>
              <w:fldChar w:fldCharType="separate"/>
            </w:r>
            <w:r w:rsidR="002746DF" w:rsidRPr="002746DF">
              <w:rPr>
                <w:noProof/>
                <w:webHidden/>
              </w:rPr>
              <w:t>24</w:t>
            </w:r>
            <w:r w:rsidRPr="002746DF">
              <w:rPr>
                <w:noProof/>
                <w:webHidden/>
              </w:rPr>
              <w:fldChar w:fldCharType="end"/>
            </w:r>
          </w:hyperlink>
        </w:p>
        <w:p w14:paraId="0674AA78" w14:textId="6F015077" w:rsidR="009F3541" w:rsidRPr="002746DF" w:rsidRDefault="009F3541">
          <w:pPr>
            <w:pStyle w:val="TOC3"/>
            <w:tabs>
              <w:tab w:val="right" w:leader="dot" w:pos="9350"/>
            </w:tabs>
            <w:rPr>
              <w:noProof/>
            </w:rPr>
          </w:pPr>
          <w:hyperlink w:anchor="_Toc213497656" w:history="1">
            <w:r w:rsidRPr="002746DF">
              <w:rPr>
                <w:rStyle w:val="Hyperlink"/>
                <w:noProof/>
                <w:color w:val="auto"/>
              </w:rPr>
              <w:t>5.2.2 Accounting Rate of Return (ARR)</w:t>
            </w:r>
            <w:r w:rsidRPr="002746DF">
              <w:rPr>
                <w:noProof/>
                <w:webHidden/>
              </w:rPr>
              <w:tab/>
            </w:r>
            <w:r w:rsidRPr="002746DF">
              <w:rPr>
                <w:noProof/>
                <w:webHidden/>
              </w:rPr>
              <w:fldChar w:fldCharType="begin"/>
            </w:r>
            <w:r w:rsidRPr="002746DF">
              <w:rPr>
                <w:noProof/>
                <w:webHidden/>
              </w:rPr>
              <w:instrText xml:space="preserve"> PAGEREF _Toc213497656 \h </w:instrText>
            </w:r>
            <w:r w:rsidRPr="002746DF">
              <w:rPr>
                <w:noProof/>
                <w:webHidden/>
              </w:rPr>
            </w:r>
            <w:r w:rsidRPr="002746DF">
              <w:rPr>
                <w:noProof/>
                <w:webHidden/>
              </w:rPr>
              <w:fldChar w:fldCharType="separate"/>
            </w:r>
            <w:r w:rsidR="002746DF" w:rsidRPr="002746DF">
              <w:rPr>
                <w:noProof/>
                <w:webHidden/>
              </w:rPr>
              <w:t>24</w:t>
            </w:r>
            <w:r w:rsidRPr="002746DF">
              <w:rPr>
                <w:noProof/>
                <w:webHidden/>
              </w:rPr>
              <w:fldChar w:fldCharType="end"/>
            </w:r>
          </w:hyperlink>
        </w:p>
        <w:p w14:paraId="44BC65FB" w14:textId="3F01D22C" w:rsidR="009F3541" w:rsidRPr="002746DF" w:rsidRDefault="009F3541">
          <w:pPr>
            <w:pStyle w:val="TOC3"/>
            <w:tabs>
              <w:tab w:val="right" w:leader="dot" w:pos="9350"/>
            </w:tabs>
            <w:rPr>
              <w:noProof/>
            </w:rPr>
          </w:pPr>
          <w:hyperlink w:anchor="_Toc213497657" w:history="1">
            <w:r w:rsidRPr="002746DF">
              <w:rPr>
                <w:rStyle w:val="Hyperlink"/>
                <w:noProof/>
                <w:color w:val="auto"/>
              </w:rPr>
              <w:t>5.2.3 Net Present Value (NPV)</w:t>
            </w:r>
            <w:r w:rsidRPr="002746DF">
              <w:rPr>
                <w:noProof/>
                <w:webHidden/>
              </w:rPr>
              <w:tab/>
            </w:r>
            <w:r w:rsidRPr="002746DF">
              <w:rPr>
                <w:noProof/>
                <w:webHidden/>
              </w:rPr>
              <w:fldChar w:fldCharType="begin"/>
            </w:r>
            <w:r w:rsidRPr="002746DF">
              <w:rPr>
                <w:noProof/>
                <w:webHidden/>
              </w:rPr>
              <w:instrText xml:space="preserve"> PAGEREF _Toc213497657 \h </w:instrText>
            </w:r>
            <w:r w:rsidRPr="002746DF">
              <w:rPr>
                <w:noProof/>
                <w:webHidden/>
              </w:rPr>
            </w:r>
            <w:r w:rsidRPr="002746DF">
              <w:rPr>
                <w:noProof/>
                <w:webHidden/>
              </w:rPr>
              <w:fldChar w:fldCharType="separate"/>
            </w:r>
            <w:r w:rsidR="002746DF" w:rsidRPr="002746DF">
              <w:rPr>
                <w:noProof/>
                <w:webHidden/>
              </w:rPr>
              <w:t>25</w:t>
            </w:r>
            <w:r w:rsidRPr="002746DF">
              <w:rPr>
                <w:noProof/>
                <w:webHidden/>
              </w:rPr>
              <w:fldChar w:fldCharType="end"/>
            </w:r>
          </w:hyperlink>
        </w:p>
        <w:p w14:paraId="0AA1245B" w14:textId="6A476320" w:rsidR="009F3541" w:rsidRPr="002746DF" w:rsidRDefault="009F3541">
          <w:pPr>
            <w:pStyle w:val="TOC3"/>
            <w:tabs>
              <w:tab w:val="right" w:leader="dot" w:pos="9350"/>
            </w:tabs>
            <w:rPr>
              <w:noProof/>
            </w:rPr>
          </w:pPr>
          <w:hyperlink w:anchor="_Toc213497658" w:history="1">
            <w:r w:rsidRPr="002746DF">
              <w:rPr>
                <w:rStyle w:val="Hyperlink"/>
                <w:noProof/>
                <w:color w:val="auto"/>
              </w:rPr>
              <w:t>5.2.4 Profitability Index (PI)</w:t>
            </w:r>
            <w:r w:rsidRPr="002746DF">
              <w:rPr>
                <w:noProof/>
                <w:webHidden/>
              </w:rPr>
              <w:tab/>
            </w:r>
            <w:r w:rsidRPr="002746DF">
              <w:rPr>
                <w:noProof/>
                <w:webHidden/>
              </w:rPr>
              <w:fldChar w:fldCharType="begin"/>
            </w:r>
            <w:r w:rsidRPr="002746DF">
              <w:rPr>
                <w:noProof/>
                <w:webHidden/>
              </w:rPr>
              <w:instrText xml:space="preserve"> PAGEREF _Toc213497658 \h </w:instrText>
            </w:r>
            <w:r w:rsidRPr="002746DF">
              <w:rPr>
                <w:noProof/>
                <w:webHidden/>
              </w:rPr>
            </w:r>
            <w:r w:rsidRPr="002746DF">
              <w:rPr>
                <w:noProof/>
                <w:webHidden/>
              </w:rPr>
              <w:fldChar w:fldCharType="separate"/>
            </w:r>
            <w:r w:rsidR="002746DF" w:rsidRPr="002746DF">
              <w:rPr>
                <w:noProof/>
                <w:webHidden/>
              </w:rPr>
              <w:t>26</w:t>
            </w:r>
            <w:r w:rsidRPr="002746DF">
              <w:rPr>
                <w:noProof/>
                <w:webHidden/>
              </w:rPr>
              <w:fldChar w:fldCharType="end"/>
            </w:r>
          </w:hyperlink>
        </w:p>
        <w:p w14:paraId="62FC6630" w14:textId="6853783F" w:rsidR="009F3541" w:rsidRPr="002746DF" w:rsidRDefault="009F3541">
          <w:pPr>
            <w:pStyle w:val="TOC3"/>
            <w:tabs>
              <w:tab w:val="right" w:leader="dot" w:pos="9350"/>
            </w:tabs>
            <w:rPr>
              <w:noProof/>
            </w:rPr>
          </w:pPr>
          <w:hyperlink w:anchor="_Toc213497659" w:history="1">
            <w:r w:rsidRPr="002746DF">
              <w:rPr>
                <w:rStyle w:val="Hyperlink"/>
                <w:noProof/>
                <w:color w:val="auto"/>
              </w:rPr>
              <w:t>5.2.5 Internal Rate of Return (IRR)</w:t>
            </w:r>
            <w:r w:rsidRPr="002746DF">
              <w:rPr>
                <w:noProof/>
                <w:webHidden/>
              </w:rPr>
              <w:tab/>
            </w:r>
            <w:r w:rsidRPr="002746DF">
              <w:rPr>
                <w:noProof/>
                <w:webHidden/>
              </w:rPr>
              <w:fldChar w:fldCharType="begin"/>
            </w:r>
            <w:r w:rsidRPr="002746DF">
              <w:rPr>
                <w:noProof/>
                <w:webHidden/>
              </w:rPr>
              <w:instrText xml:space="preserve"> PAGEREF _Toc213497659 \h </w:instrText>
            </w:r>
            <w:r w:rsidRPr="002746DF">
              <w:rPr>
                <w:noProof/>
                <w:webHidden/>
              </w:rPr>
            </w:r>
            <w:r w:rsidRPr="002746DF">
              <w:rPr>
                <w:noProof/>
                <w:webHidden/>
              </w:rPr>
              <w:fldChar w:fldCharType="separate"/>
            </w:r>
            <w:r w:rsidR="002746DF" w:rsidRPr="002746DF">
              <w:rPr>
                <w:noProof/>
                <w:webHidden/>
              </w:rPr>
              <w:t>27</w:t>
            </w:r>
            <w:r w:rsidRPr="002746DF">
              <w:rPr>
                <w:noProof/>
                <w:webHidden/>
              </w:rPr>
              <w:fldChar w:fldCharType="end"/>
            </w:r>
          </w:hyperlink>
        </w:p>
        <w:p w14:paraId="07E922F2" w14:textId="36F266A3" w:rsidR="009F3541" w:rsidRPr="002746DF" w:rsidRDefault="009F3541">
          <w:pPr>
            <w:pStyle w:val="TOC2"/>
            <w:tabs>
              <w:tab w:val="right" w:leader="dot" w:pos="9350"/>
            </w:tabs>
            <w:rPr>
              <w:noProof/>
            </w:rPr>
          </w:pPr>
          <w:hyperlink w:anchor="_Toc213497660" w:history="1">
            <w:r w:rsidRPr="002746DF">
              <w:rPr>
                <w:rStyle w:val="Hyperlink"/>
                <w:noProof/>
                <w:color w:val="auto"/>
              </w:rPr>
              <w:t>5.3 Capital Rationing and Project Selection</w:t>
            </w:r>
            <w:r w:rsidRPr="002746DF">
              <w:rPr>
                <w:noProof/>
                <w:webHidden/>
              </w:rPr>
              <w:tab/>
            </w:r>
            <w:r w:rsidRPr="002746DF">
              <w:rPr>
                <w:noProof/>
                <w:webHidden/>
              </w:rPr>
              <w:fldChar w:fldCharType="begin"/>
            </w:r>
            <w:r w:rsidRPr="002746DF">
              <w:rPr>
                <w:noProof/>
                <w:webHidden/>
              </w:rPr>
              <w:instrText xml:space="preserve"> PAGEREF _Toc213497660 \h </w:instrText>
            </w:r>
            <w:r w:rsidRPr="002746DF">
              <w:rPr>
                <w:noProof/>
                <w:webHidden/>
              </w:rPr>
            </w:r>
            <w:r w:rsidRPr="002746DF">
              <w:rPr>
                <w:noProof/>
                <w:webHidden/>
              </w:rPr>
              <w:fldChar w:fldCharType="separate"/>
            </w:r>
            <w:r w:rsidR="002746DF" w:rsidRPr="002746DF">
              <w:rPr>
                <w:noProof/>
                <w:webHidden/>
              </w:rPr>
              <w:t>28</w:t>
            </w:r>
            <w:r w:rsidRPr="002746DF">
              <w:rPr>
                <w:noProof/>
                <w:webHidden/>
              </w:rPr>
              <w:fldChar w:fldCharType="end"/>
            </w:r>
          </w:hyperlink>
        </w:p>
        <w:p w14:paraId="15EE59C9" w14:textId="60731E83" w:rsidR="009F3541" w:rsidRPr="002746DF" w:rsidRDefault="009F3541">
          <w:pPr>
            <w:pStyle w:val="TOC2"/>
            <w:tabs>
              <w:tab w:val="right" w:leader="dot" w:pos="9350"/>
            </w:tabs>
            <w:rPr>
              <w:noProof/>
            </w:rPr>
          </w:pPr>
          <w:hyperlink w:anchor="_Toc213497661" w:history="1">
            <w:r w:rsidRPr="002746DF">
              <w:rPr>
                <w:rStyle w:val="Hyperlink"/>
                <w:noProof/>
                <w:color w:val="auto"/>
              </w:rPr>
              <w:t>5.4 Final Investment Recommendation and Strategic Fit</w:t>
            </w:r>
            <w:r w:rsidRPr="002746DF">
              <w:rPr>
                <w:noProof/>
                <w:webHidden/>
              </w:rPr>
              <w:tab/>
            </w:r>
            <w:r w:rsidRPr="002746DF">
              <w:rPr>
                <w:noProof/>
                <w:webHidden/>
              </w:rPr>
              <w:fldChar w:fldCharType="begin"/>
            </w:r>
            <w:r w:rsidRPr="002746DF">
              <w:rPr>
                <w:noProof/>
                <w:webHidden/>
              </w:rPr>
              <w:instrText xml:space="preserve"> PAGEREF _Toc213497661 \h </w:instrText>
            </w:r>
            <w:r w:rsidRPr="002746DF">
              <w:rPr>
                <w:noProof/>
                <w:webHidden/>
              </w:rPr>
            </w:r>
            <w:r w:rsidRPr="002746DF">
              <w:rPr>
                <w:noProof/>
                <w:webHidden/>
              </w:rPr>
              <w:fldChar w:fldCharType="separate"/>
            </w:r>
            <w:r w:rsidR="002746DF" w:rsidRPr="002746DF">
              <w:rPr>
                <w:noProof/>
                <w:webHidden/>
              </w:rPr>
              <w:t>29</w:t>
            </w:r>
            <w:r w:rsidRPr="002746DF">
              <w:rPr>
                <w:noProof/>
                <w:webHidden/>
              </w:rPr>
              <w:fldChar w:fldCharType="end"/>
            </w:r>
          </w:hyperlink>
        </w:p>
        <w:p w14:paraId="73F72C83" w14:textId="297B6571" w:rsidR="009F3541" w:rsidRPr="002746DF" w:rsidRDefault="009F3541">
          <w:pPr>
            <w:pStyle w:val="TOC1"/>
            <w:tabs>
              <w:tab w:val="right" w:leader="dot" w:pos="9350"/>
            </w:tabs>
            <w:rPr>
              <w:noProof/>
            </w:rPr>
          </w:pPr>
          <w:hyperlink w:anchor="_Toc213497662" w:history="1">
            <w:r w:rsidRPr="002746DF">
              <w:rPr>
                <w:rStyle w:val="Hyperlink"/>
                <w:noProof/>
                <w:color w:val="auto"/>
              </w:rPr>
              <w:t>6. Conclusion</w:t>
            </w:r>
            <w:r w:rsidRPr="002746DF">
              <w:rPr>
                <w:noProof/>
                <w:webHidden/>
              </w:rPr>
              <w:tab/>
            </w:r>
            <w:r w:rsidRPr="002746DF">
              <w:rPr>
                <w:noProof/>
                <w:webHidden/>
              </w:rPr>
              <w:fldChar w:fldCharType="begin"/>
            </w:r>
            <w:r w:rsidRPr="002746DF">
              <w:rPr>
                <w:noProof/>
                <w:webHidden/>
              </w:rPr>
              <w:instrText xml:space="preserve"> PAGEREF _Toc213497662 \h </w:instrText>
            </w:r>
            <w:r w:rsidRPr="002746DF">
              <w:rPr>
                <w:noProof/>
                <w:webHidden/>
              </w:rPr>
            </w:r>
            <w:r w:rsidRPr="002746DF">
              <w:rPr>
                <w:noProof/>
                <w:webHidden/>
              </w:rPr>
              <w:fldChar w:fldCharType="separate"/>
            </w:r>
            <w:r w:rsidR="002746DF" w:rsidRPr="002746DF">
              <w:rPr>
                <w:noProof/>
                <w:webHidden/>
              </w:rPr>
              <w:t>30</w:t>
            </w:r>
            <w:r w:rsidRPr="002746DF">
              <w:rPr>
                <w:noProof/>
                <w:webHidden/>
              </w:rPr>
              <w:fldChar w:fldCharType="end"/>
            </w:r>
          </w:hyperlink>
        </w:p>
        <w:p w14:paraId="6C739C24" w14:textId="73B5FC34" w:rsidR="009F3541" w:rsidRPr="002746DF" w:rsidRDefault="009F3541">
          <w:pPr>
            <w:pStyle w:val="TOC1"/>
            <w:tabs>
              <w:tab w:val="right" w:leader="dot" w:pos="9350"/>
            </w:tabs>
            <w:rPr>
              <w:noProof/>
            </w:rPr>
          </w:pPr>
          <w:hyperlink w:anchor="_Toc213497663" w:history="1">
            <w:r w:rsidRPr="002746DF">
              <w:rPr>
                <w:rStyle w:val="Hyperlink"/>
                <w:noProof/>
                <w:color w:val="auto"/>
              </w:rPr>
              <w:t>Reference List</w:t>
            </w:r>
            <w:r w:rsidRPr="002746DF">
              <w:rPr>
                <w:noProof/>
                <w:webHidden/>
              </w:rPr>
              <w:tab/>
            </w:r>
            <w:r w:rsidRPr="002746DF">
              <w:rPr>
                <w:noProof/>
                <w:webHidden/>
              </w:rPr>
              <w:fldChar w:fldCharType="begin"/>
            </w:r>
            <w:r w:rsidRPr="002746DF">
              <w:rPr>
                <w:noProof/>
                <w:webHidden/>
              </w:rPr>
              <w:instrText xml:space="preserve"> PAGEREF _Toc213497663 \h </w:instrText>
            </w:r>
            <w:r w:rsidRPr="002746DF">
              <w:rPr>
                <w:noProof/>
                <w:webHidden/>
              </w:rPr>
            </w:r>
            <w:r w:rsidRPr="002746DF">
              <w:rPr>
                <w:noProof/>
                <w:webHidden/>
              </w:rPr>
              <w:fldChar w:fldCharType="separate"/>
            </w:r>
            <w:r w:rsidR="002746DF" w:rsidRPr="002746DF">
              <w:rPr>
                <w:noProof/>
                <w:webHidden/>
              </w:rPr>
              <w:t>31</w:t>
            </w:r>
            <w:r w:rsidRPr="002746DF">
              <w:rPr>
                <w:noProof/>
                <w:webHidden/>
              </w:rPr>
              <w:fldChar w:fldCharType="end"/>
            </w:r>
          </w:hyperlink>
        </w:p>
        <w:p w14:paraId="2A3A0957" w14:textId="798D8574" w:rsidR="009F3541" w:rsidRPr="002746DF" w:rsidRDefault="009F3541">
          <w:pPr>
            <w:pStyle w:val="TOC1"/>
            <w:tabs>
              <w:tab w:val="right" w:leader="dot" w:pos="9350"/>
            </w:tabs>
            <w:rPr>
              <w:noProof/>
            </w:rPr>
          </w:pPr>
          <w:hyperlink w:anchor="_Toc213497664" w:history="1">
            <w:r w:rsidRPr="002746DF">
              <w:rPr>
                <w:rStyle w:val="Hyperlink"/>
                <w:noProof/>
                <w:color w:val="auto"/>
              </w:rPr>
              <w:t>Appendices</w:t>
            </w:r>
            <w:r w:rsidRPr="002746DF">
              <w:rPr>
                <w:noProof/>
                <w:webHidden/>
              </w:rPr>
              <w:tab/>
            </w:r>
            <w:r w:rsidRPr="002746DF">
              <w:rPr>
                <w:noProof/>
                <w:webHidden/>
              </w:rPr>
              <w:fldChar w:fldCharType="begin"/>
            </w:r>
            <w:r w:rsidRPr="002746DF">
              <w:rPr>
                <w:noProof/>
                <w:webHidden/>
              </w:rPr>
              <w:instrText xml:space="preserve"> PAGEREF _Toc213497664 \h </w:instrText>
            </w:r>
            <w:r w:rsidRPr="002746DF">
              <w:rPr>
                <w:noProof/>
                <w:webHidden/>
              </w:rPr>
            </w:r>
            <w:r w:rsidRPr="002746DF">
              <w:rPr>
                <w:noProof/>
                <w:webHidden/>
              </w:rPr>
              <w:fldChar w:fldCharType="separate"/>
            </w:r>
            <w:r w:rsidR="002746DF" w:rsidRPr="002746DF">
              <w:rPr>
                <w:noProof/>
                <w:webHidden/>
              </w:rPr>
              <w:t>36</w:t>
            </w:r>
            <w:r w:rsidRPr="002746DF">
              <w:rPr>
                <w:noProof/>
                <w:webHidden/>
              </w:rPr>
              <w:fldChar w:fldCharType="end"/>
            </w:r>
          </w:hyperlink>
        </w:p>
        <w:p w14:paraId="0F85169D" w14:textId="2D78BBD8" w:rsidR="009F3541" w:rsidRPr="002746DF" w:rsidRDefault="009F3541">
          <w:pPr>
            <w:pStyle w:val="TOC2"/>
            <w:tabs>
              <w:tab w:val="right" w:leader="dot" w:pos="9350"/>
            </w:tabs>
            <w:rPr>
              <w:noProof/>
            </w:rPr>
          </w:pPr>
          <w:hyperlink w:anchor="_Toc213497665" w:history="1">
            <w:r w:rsidRPr="002746DF">
              <w:rPr>
                <w:rStyle w:val="Hyperlink"/>
                <w:noProof/>
                <w:color w:val="auto"/>
              </w:rPr>
              <w:t>Appendix 1: Profitability Ratios</w:t>
            </w:r>
            <w:r w:rsidRPr="002746DF">
              <w:rPr>
                <w:noProof/>
                <w:webHidden/>
              </w:rPr>
              <w:tab/>
            </w:r>
            <w:r w:rsidRPr="002746DF">
              <w:rPr>
                <w:noProof/>
                <w:webHidden/>
              </w:rPr>
              <w:fldChar w:fldCharType="begin"/>
            </w:r>
            <w:r w:rsidRPr="002746DF">
              <w:rPr>
                <w:noProof/>
                <w:webHidden/>
              </w:rPr>
              <w:instrText xml:space="preserve"> PAGEREF _Toc213497665 \h </w:instrText>
            </w:r>
            <w:r w:rsidRPr="002746DF">
              <w:rPr>
                <w:noProof/>
                <w:webHidden/>
              </w:rPr>
            </w:r>
            <w:r w:rsidRPr="002746DF">
              <w:rPr>
                <w:noProof/>
                <w:webHidden/>
              </w:rPr>
              <w:fldChar w:fldCharType="separate"/>
            </w:r>
            <w:r w:rsidR="002746DF" w:rsidRPr="002746DF">
              <w:rPr>
                <w:noProof/>
                <w:webHidden/>
              </w:rPr>
              <w:t>36</w:t>
            </w:r>
            <w:r w:rsidRPr="002746DF">
              <w:rPr>
                <w:noProof/>
                <w:webHidden/>
              </w:rPr>
              <w:fldChar w:fldCharType="end"/>
            </w:r>
          </w:hyperlink>
        </w:p>
        <w:p w14:paraId="7FC14DDD" w14:textId="1CE05C8D" w:rsidR="009F3541" w:rsidRPr="002746DF" w:rsidRDefault="009F3541">
          <w:pPr>
            <w:pStyle w:val="TOC2"/>
            <w:tabs>
              <w:tab w:val="right" w:leader="dot" w:pos="9350"/>
            </w:tabs>
            <w:rPr>
              <w:noProof/>
            </w:rPr>
          </w:pPr>
          <w:hyperlink w:anchor="_Toc213497666" w:history="1">
            <w:r w:rsidRPr="002746DF">
              <w:rPr>
                <w:rStyle w:val="Hyperlink"/>
                <w:noProof/>
                <w:color w:val="auto"/>
              </w:rPr>
              <w:t>Appendix 2: Liquidity Ratios</w:t>
            </w:r>
            <w:r w:rsidRPr="002746DF">
              <w:rPr>
                <w:noProof/>
                <w:webHidden/>
              </w:rPr>
              <w:tab/>
            </w:r>
            <w:r w:rsidRPr="002746DF">
              <w:rPr>
                <w:noProof/>
                <w:webHidden/>
              </w:rPr>
              <w:fldChar w:fldCharType="begin"/>
            </w:r>
            <w:r w:rsidRPr="002746DF">
              <w:rPr>
                <w:noProof/>
                <w:webHidden/>
              </w:rPr>
              <w:instrText xml:space="preserve"> PAGEREF _Toc213497666 \h </w:instrText>
            </w:r>
            <w:r w:rsidRPr="002746DF">
              <w:rPr>
                <w:noProof/>
                <w:webHidden/>
              </w:rPr>
            </w:r>
            <w:r w:rsidRPr="002746DF">
              <w:rPr>
                <w:noProof/>
                <w:webHidden/>
              </w:rPr>
              <w:fldChar w:fldCharType="separate"/>
            </w:r>
            <w:r w:rsidR="002746DF" w:rsidRPr="002746DF">
              <w:rPr>
                <w:noProof/>
                <w:webHidden/>
              </w:rPr>
              <w:t>36</w:t>
            </w:r>
            <w:r w:rsidRPr="002746DF">
              <w:rPr>
                <w:noProof/>
                <w:webHidden/>
              </w:rPr>
              <w:fldChar w:fldCharType="end"/>
            </w:r>
          </w:hyperlink>
        </w:p>
        <w:p w14:paraId="35D50668" w14:textId="47118D92" w:rsidR="009F3541" w:rsidRPr="002746DF" w:rsidRDefault="009F3541">
          <w:pPr>
            <w:pStyle w:val="TOC2"/>
            <w:tabs>
              <w:tab w:val="right" w:leader="dot" w:pos="9350"/>
            </w:tabs>
            <w:rPr>
              <w:noProof/>
            </w:rPr>
          </w:pPr>
          <w:hyperlink w:anchor="_Toc213497667" w:history="1">
            <w:r w:rsidRPr="002746DF">
              <w:rPr>
                <w:rStyle w:val="Hyperlink"/>
                <w:noProof/>
                <w:color w:val="auto"/>
              </w:rPr>
              <w:t>Appendix 3: Gearing Ratios</w:t>
            </w:r>
            <w:r w:rsidRPr="002746DF">
              <w:rPr>
                <w:noProof/>
                <w:webHidden/>
              </w:rPr>
              <w:tab/>
            </w:r>
            <w:r w:rsidRPr="002746DF">
              <w:rPr>
                <w:noProof/>
                <w:webHidden/>
              </w:rPr>
              <w:fldChar w:fldCharType="begin"/>
            </w:r>
            <w:r w:rsidRPr="002746DF">
              <w:rPr>
                <w:noProof/>
                <w:webHidden/>
              </w:rPr>
              <w:instrText xml:space="preserve"> PAGEREF _Toc213497667 \h </w:instrText>
            </w:r>
            <w:r w:rsidRPr="002746DF">
              <w:rPr>
                <w:noProof/>
                <w:webHidden/>
              </w:rPr>
            </w:r>
            <w:r w:rsidRPr="002746DF">
              <w:rPr>
                <w:noProof/>
                <w:webHidden/>
              </w:rPr>
              <w:fldChar w:fldCharType="separate"/>
            </w:r>
            <w:r w:rsidR="002746DF" w:rsidRPr="002746DF">
              <w:rPr>
                <w:noProof/>
                <w:webHidden/>
              </w:rPr>
              <w:t>36</w:t>
            </w:r>
            <w:r w:rsidRPr="002746DF">
              <w:rPr>
                <w:noProof/>
                <w:webHidden/>
              </w:rPr>
              <w:fldChar w:fldCharType="end"/>
            </w:r>
          </w:hyperlink>
        </w:p>
        <w:p w14:paraId="486385A5" w14:textId="7368124B" w:rsidR="009F3541" w:rsidRPr="002746DF" w:rsidRDefault="009F3541">
          <w:pPr>
            <w:pStyle w:val="TOC2"/>
            <w:tabs>
              <w:tab w:val="right" w:leader="dot" w:pos="9350"/>
            </w:tabs>
            <w:rPr>
              <w:noProof/>
            </w:rPr>
          </w:pPr>
          <w:hyperlink w:anchor="_Toc213497668" w:history="1">
            <w:r w:rsidRPr="002746DF">
              <w:rPr>
                <w:rStyle w:val="Hyperlink"/>
                <w:noProof/>
                <w:color w:val="auto"/>
              </w:rPr>
              <w:t>Appendix 4: Efficiency Ratios</w:t>
            </w:r>
            <w:r w:rsidRPr="002746DF">
              <w:rPr>
                <w:noProof/>
                <w:webHidden/>
              </w:rPr>
              <w:tab/>
            </w:r>
            <w:r w:rsidRPr="002746DF">
              <w:rPr>
                <w:noProof/>
                <w:webHidden/>
              </w:rPr>
              <w:fldChar w:fldCharType="begin"/>
            </w:r>
            <w:r w:rsidRPr="002746DF">
              <w:rPr>
                <w:noProof/>
                <w:webHidden/>
              </w:rPr>
              <w:instrText xml:space="preserve"> PAGEREF _Toc213497668 \h </w:instrText>
            </w:r>
            <w:r w:rsidRPr="002746DF">
              <w:rPr>
                <w:noProof/>
                <w:webHidden/>
              </w:rPr>
            </w:r>
            <w:r w:rsidRPr="002746DF">
              <w:rPr>
                <w:noProof/>
                <w:webHidden/>
              </w:rPr>
              <w:fldChar w:fldCharType="separate"/>
            </w:r>
            <w:r w:rsidR="002746DF" w:rsidRPr="002746DF">
              <w:rPr>
                <w:noProof/>
                <w:webHidden/>
              </w:rPr>
              <w:t>37</w:t>
            </w:r>
            <w:r w:rsidRPr="002746DF">
              <w:rPr>
                <w:noProof/>
                <w:webHidden/>
              </w:rPr>
              <w:fldChar w:fldCharType="end"/>
            </w:r>
          </w:hyperlink>
        </w:p>
        <w:p w14:paraId="2D0AD7D2" w14:textId="2A76F4BF" w:rsidR="009F3541" w:rsidRPr="002746DF" w:rsidRDefault="009F3541">
          <w:pPr>
            <w:pStyle w:val="TOC2"/>
            <w:tabs>
              <w:tab w:val="right" w:leader="dot" w:pos="9350"/>
            </w:tabs>
            <w:rPr>
              <w:noProof/>
            </w:rPr>
          </w:pPr>
          <w:hyperlink w:anchor="_Toc213497669" w:history="1">
            <w:r w:rsidRPr="002746DF">
              <w:rPr>
                <w:rStyle w:val="Hyperlink"/>
                <w:noProof/>
                <w:color w:val="auto"/>
              </w:rPr>
              <w:t>Appendix 5: Market Ratios</w:t>
            </w:r>
            <w:r w:rsidRPr="002746DF">
              <w:rPr>
                <w:noProof/>
                <w:webHidden/>
              </w:rPr>
              <w:tab/>
            </w:r>
            <w:r w:rsidRPr="002746DF">
              <w:rPr>
                <w:noProof/>
                <w:webHidden/>
              </w:rPr>
              <w:fldChar w:fldCharType="begin"/>
            </w:r>
            <w:r w:rsidRPr="002746DF">
              <w:rPr>
                <w:noProof/>
                <w:webHidden/>
              </w:rPr>
              <w:instrText xml:space="preserve"> PAGEREF _Toc213497669 \h </w:instrText>
            </w:r>
            <w:r w:rsidRPr="002746DF">
              <w:rPr>
                <w:noProof/>
                <w:webHidden/>
              </w:rPr>
            </w:r>
            <w:r w:rsidRPr="002746DF">
              <w:rPr>
                <w:noProof/>
                <w:webHidden/>
              </w:rPr>
              <w:fldChar w:fldCharType="separate"/>
            </w:r>
            <w:r w:rsidR="002746DF" w:rsidRPr="002746DF">
              <w:rPr>
                <w:noProof/>
                <w:webHidden/>
              </w:rPr>
              <w:t>37</w:t>
            </w:r>
            <w:r w:rsidRPr="002746DF">
              <w:rPr>
                <w:noProof/>
                <w:webHidden/>
              </w:rPr>
              <w:fldChar w:fldCharType="end"/>
            </w:r>
          </w:hyperlink>
        </w:p>
        <w:p w14:paraId="140654B4" w14:textId="03FEA76F" w:rsidR="009F3541" w:rsidRPr="002746DF" w:rsidRDefault="009F3541">
          <w:pPr>
            <w:pStyle w:val="TOC2"/>
            <w:tabs>
              <w:tab w:val="right" w:leader="dot" w:pos="9350"/>
            </w:tabs>
            <w:rPr>
              <w:noProof/>
            </w:rPr>
          </w:pPr>
          <w:hyperlink w:anchor="_Toc213497670" w:history="1">
            <w:r w:rsidRPr="002746DF">
              <w:rPr>
                <w:rStyle w:val="Hyperlink"/>
                <w:noProof/>
                <w:color w:val="auto"/>
              </w:rPr>
              <w:t>Appendix 6:Investment Ratios</w:t>
            </w:r>
            <w:r w:rsidRPr="002746DF">
              <w:rPr>
                <w:noProof/>
                <w:webHidden/>
              </w:rPr>
              <w:tab/>
            </w:r>
            <w:r w:rsidRPr="002746DF">
              <w:rPr>
                <w:noProof/>
                <w:webHidden/>
              </w:rPr>
              <w:fldChar w:fldCharType="begin"/>
            </w:r>
            <w:r w:rsidRPr="002746DF">
              <w:rPr>
                <w:noProof/>
                <w:webHidden/>
              </w:rPr>
              <w:instrText xml:space="preserve"> PAGEREF _Toc213497670 \h </w:instrText>
            </w:r>
            <w:r w:rsidRPr="002746DF">
              <w:rPr>
                <w:noProof/>
                <w:webHidden/>
              </w:rPr>
            </w:r>
            <w:r w:rsidRPr="002746DF">
              <w:rPr>
                <w:noProof/>
                <w:webHidden/>
              </w:rPr>
              <w:fldChar w:fldCharType="separate"/>
            </w:r>
            <w:r w:rsidR="002746DF" w:rsidRPr="002746DF">
              <w:rPr>
                <w:noProof/>
                <w:webHidden/>
              </w:rPr>
              <w:t>37</w:t>
            </w:r>
            <w:r w:rsidRPr="002746DF">
              <w:rPr>
                <w:noProof/>
                <w:webHidden/>
              </w:rPr>
              <w:fldChar w:fldCharType="end"/>
            </w:r>
          </w:hyperlink>
        </w:p>
        <w:p w14:paraId="51EC46D2" w14:textId="6DB32B9F" w:rsidR="009F3541" w:rsidRPr="002746DF" w:rsidRDefault="009F3541">
          <w:pPr>
            <w:pStyle w:val="TOC2"/>
            <w:tabs>
              <w:tab w:val="right" w:leader="dot" w:pos="9350"/>
            </w:tabs>
            <w:rPr>
              <w:noProof/>
            </w:rPr>
          </w:pPr>
          <w:hyperlink w:anchor="_Toc213497671" w:history="1">
            <w:r w:rsidRPr="002746DF">
              <w:rPr>
                <w:rStyle w:val="Hyperlink"/>
                <w:noProof/>
                <w:color w:val="auto"/>
              </w:rPr>
              <w:t>Appendix 7: Cashflow Ratios</w:t>
            </w:r>
            <w:r w:rsidRPr="002746DF">
              <w:rPr>
                <w:noProof/>
                <w:webHidden/>
              </w:rPr>
              <w:tab/>
            </w:r>
            <w:r w:rsidRPr="002746DF">
              <w:rPr>
                <w:noProof/>
                <w:webHidden/>
              </w:rPr>
              <w:fldChar w:fldCharType="begin"/>
            </w:r>
            <w:r w:rsidRPr="002746DF">
              <w:rPr>
                <w:noProof/>
                <w:webHidden/>
              </w:rPr>
              <w:instrText xml:space="preserve"> PAGEREF _Toc213497671 \h </w:instrText>
            </w:r>
            <w:r w:rsidRPr="002746DF">
              <w:rPr>
                <w:noProof/>
                <w:webHidden/>
              </w:rPr>
            </w:r>
            <w:r w:rsidRPr="002746DF">
              <w:rPr>
                <w:noProof/>
                <w:webHidden/>
              </w:rPr>
              <w:fldChar w:fldCharType="separate"/>
            </w:r>
            <w:r w:rsidR="002746DF" w:rsidRPr="002746DF">
              <w:rPr>
                <w:noProof/>
                <w:webHidden/>
              </w:rPr>
              <w:t>37</w:t>
            </w:r>
            <w:r w:rsidRPr="002746DF">
              <w:rPr>
                <w:noProof/>
                <w:webHidden/>
              </w:rPr>
              <w:fldChar w:fldCharType="end"/>
            </w:r>
          </w:hyperlink>
        </w:p>
        <w:p w14:paraId="7065C06D" w14:textId="4334B3BA" w:rsidR="009F3541" w:rsidRPr="002746DF" w:rsidRDefault="009F3541">
          <w:pPr>
            <w:pStyle w:val="TOC2"/>
            <w:tabs>
              <w:tab w:val="right" w:leader="dot" w:pos="9350"/>
            </w:tabs>
            <w:rPr>
              <w:noProof/>
            </w:rPr>
          </w:pPr>
          <w:hyperlink w:anchor="_Toc213497672" w:history="1">
            <w:r w:rsidRPr="002746DF">
              <w:rPr>
                <w:rStyle w:val="Hyperlink"/>
                <w:noProof/>
                <w:color w:val="auto"/>
              </w:rPr>
              <w:t>Appendix 8: Payback Period</w:t>
            </w:r>
            <w:r w:rsidRPr="002746DF">
              <w:rPr>
                <w:noProof/>
                <w:webHidden/>
              </w:rPr>
              <w:tab/>
            </w:r>
            <w:r w:rsidRPr="002746DF">
              <w:rPr>
                <w:noProof/>
                <w:webHidden/>
              </w:rPr>
              <w:fldChar w:fldCharType="begin"/>
            </w:r>
            <w:r w:rsidRPr="002746DF">
              <w:rPr>
                <w:noProof/>
                <w:webHidden/>
              </w:rPr>
              <w:instrText xml:space="preserve"> PAGEREF _Toc213497672 \h </w:instrText>
            </w:r>
            <w:r w:rsidRPr="002746DF">
              <w:rPr>
                <w:noProof/>
                <w:webHidden/>
              </w:rPr>
            </w:r>
            <w:r w:rsidRPr="002746DF">
              <w:rPr>
                <w:noProof/>
                <w:webHidden/>
              </w:rPr>
              <w:fldChar w:fldCharType="separate"/>
            </w:r>
            <w:r w:rsidR="002746DF" w:rsidRPr="002746DF">
              <w:rPr>
                <w:noProof/>
                <w:webHidden/>
              </w:rPr>
              <w:t>38</w:t>
            </w:r>
            <w:r w:rsidRPr="002746DF">
              <w:rPr>
                <w:noProof/>
                <w:webHidden/>
              </w:rPr>
              <w:fldChar w:fldCharType="end"/>
            </w:r>
          </w:hyperlink>
        </w:p>
        <w:p w14:paraId="0A940325" w14:textId="1BFDC25B" w:rsidR="009F3541" w:rsidRPr="002746DF" w:rsidRDefault="009F3541">
          <w:pPr>
            <w:pStyle w:val="TOC2"/>
            <w:tabs>
              <w:tab w:val="right" w:leader="dot" w:pos="9350"/>
            </w:tabs>
            <w:rPr>
              <w:noProof/>
            </w:rPr>
          </w:pPr>
          <w:hyperlink w:anchor="_Toc213497673" w:history="1">
            <w:r w:rsidRPr="002746DF">
              <w:rPr>
                <w:rStyle w:val="Hyperlink"/>
                <w:noProof/>
                <w:color w:val="auto"/>
              </w:rPr>
              <w:t>Appendix 9: Accounting Rate of return</w:t>
            </w:r>
            <w:r w:rsidRPr="002746DF">
              <w:rPr>
                <w:noProof/>
                <w:webHidden/>
              </w:rPr>
              <w:tab/>
            </w:r>
            <w:r w:rsidRPr="002746DF">
              <w:rPr>
                <w:noProof/>
                <w:webHidden/>
              </w:rPr>
              <w:fldChar w:fldCharType="begin"/>
            </w:r>
            <w:r w:rsidRPr="002746DF">
              <w:rPr>
                <w:noProof/>
                <w:webHidden/>
              </w:rPr>
              <w:instrText xml:space="preserve"> PAGEREF _Toc213497673 \h </w:instrText>
            </w:r>
            <w:r w:rsidRPr="002746DF">
              <w:rPr>
                <w:noProof/>
                <w:webHidden/>
              </w:rPr>
            </w:r>
            <w:r w:rsidRPr="002746DF">
              <w:rPr>
                <w:noProof/>
                <w:webHidden/>
              </w:rPr>
              <w:fldChar w:fldCharType="separate"/>
            </w:r>
            <w:r w:rsidR="002746DF" w:rsidRPr="002746DF">
              <w:rPr>
                <w:noProof/>
                <w:webHidden/>
              </w:rPr>
              <w:t>39</w:t>
            </w:r>
            <w:r w:rsidRPr="002746DF">
              <w:rPr>
                <w:noProof/>
                <w:webHidden/>
              </w:rPr>
              <w:fldChar w:fldCharType="end"/>
            </w:r>
          </w:hyperlink>
        </w:p>
        <w:p w14:paraId="6B496B7F" w14:textId="72B0576B" w:rsidR="009F3541" w:rsidRPr="002746DF" w:rsidRDefault="009F3541">
          <w:pPr>
            <w:pStyle w:val="TOC2"/>
            <w:tabs>
              <w:tab w:val="right" w:leader="dot" w:pos="9350"/>
            </w:tabs>
            <w:rPr>
              <w:noProof/>
            </w:rPr>
          </w:pPr>
          <w:hyperlink w:anchor="_Toc213497674" w:history="1">
            <w:r w:rsidRPr="002746DF">
              <w:rPr>
                <w:rStyle w:val="Hyperlink"/>
                <w:noProof/>
                <w:color w:val="auto"/>
              </w:rPr>
              <w:t>Appendix 10: Net Present Value</w:t>
            </w:r>
            <w:r w:rsidRPr="002746DF">
              <w:rPr>
                <w:noProof/>
                <w:webHidden/>
              </w:rPr>
              <w:tab/>
            </w:r>
            <w:r w:rsidRPr="002746DF">
              <w:rPr>
                <w:noProof/>
                <w:webHidden/>
              </w:rPr>
              <w:fldChar w:fldCharType="begin"/>
            </w:r>
            <w:r w:rsidRPr="002746DF">
              <w:rPr>
                <w:noProof/>
                <w:webHidden/>
              </w:rPr>
              <w:instrText xml:space="preserve"> PAGEREF _Toc213497674 \h </w:instrText>
            </w:r>
            <w:r w:rsidRPr="002746DF">
              <w:rPr>
                <w:noProof/>
                <w:webHidden/>
              </w:rPr>
            </w:r>
            <w:r w:rsidRPr="002746DF">
              <w:rPr>
                <w:noProof/>
                <w:webHidden/>
              </w:rPr>
              <w:fldChar w:fldCharType="separate"/>
            </w:r>
            <w:r w:rsidR="002746DF" w:rsidRPr="002746DF">
              <w:rPr>
                <w:noProof/>
                <w:webHidden/>
              </w:rPr>
              <w:t>40</w:t>
            </w:r>
            <w:r w:rsidRPr="002746DF">
              <w:rPr>
                <w:noProof/>
                <w:webHidden/>
              </w:rPr>
              <w:fldChar w:fldCharType="end"/>
            </w:r>
          </w:hyperlink>
        </w:p>
        <w:p w14:paraId="7AADC4CB" w14:textId="79263A67" w:rsidR="009F3541" w:rsidRPr="002746DF" w:rsidRDefault="009F3541">
          <w:pPr>
            <w:pStyle w:val="TOC2"/>
            <w:tabs>
              <w:tab w:val="right" w:leader="dot" w:pos="9350"/>
            </w:tabs>
            <w:rPr>
              <w:noProof/>
            </w:rPr>
          </w:pPr>
          <w:hyperlink w:anchor="_Toc213497675" w:history="1">
            <w:r w:rsidRPr="002746DF">
              <w:rPr>
                <w:rStyle w:val="Hyperlink"/>
                <w:noProof/>
                <w:color w:val="auto"/>
              </w:rPr>
              <w:t>Appendix 11: Profitability Index</w:t>
            </w:r>
            <w:r w:rsidRPr="002746DF">
              <w:rPr>
                <w:noProof/>
                <w:webHidden/>
              </w:rPr>
              <w:tab/>
            </w:r>
            <w:r w:rsidRPr="002746DF">
              <w:rPr>
                <w:noProof/>
                <w:webHidden/>
              </w:rPr>
              <w:fldChar w:fldCharType="begin"/>
            </w:r>
            <w:r w:rsidRPr="002746DF">
              <w:rPr>
                <w:noProof/>
                <w:webHidden/>
              </w:rPr>
              <w:instrText xml:space="preserve"> PAGEREF _Toc213497675 \h </w:instrText>
            </w:r>
            <w:r w:rsidRPr="002746DF">
              <w:rPr>
                <w:noProof/>
                <w:webHidden/>
              </w:rPr>
            </w:r>
            <w:r w:rsidRPr="002746DF">
              <w:rPr>
                <w:noProof/>
                <w:webHidden/>
              </w:rPr>
              <w:fldChar w:fldCharType="separate"/>
            </w:r>
            <w:r w:rsidR="002746DF" w:rsidRPr="002746DF">
              <w:rPr>
                <w:noProof/>
                <w:webHidden/>
              </w:rPr>
              <w:t>41</w:t>
            </w:r>
            <w:r w:rsidRPr="002746DF">
              <w:rPr>
                <w:noProof/>
                <w:webHidden/>
              </w:rPr>
              <w:fldChar w:fldCharType="end"/>
            </w:r>
          </w:hyperlink>
        </w:p>
        <w:p w14:paraId="7763A20B" w14:textId="260C8110" w:rsidR="009F3541" w:rsidRPr="002746DF" w:rsidRDefault="009F3541">
          <w:pPr>
            <w:pStyle w:val="TOC2"/>
            <w:tabs>
              <w:tab w:val="right" w:leader="dot" w:pos="9350"/>
            </w:tabs>
            <w:rPr>
              <w:noProof/>
            </w:rPr>
          </w:pPr>
          <w:hyperlink w:anchor="_Toc213497676" w:history="1">
            <w:r w:rsidRPr="002746DF">
              <w:rPr>
                <w:rStyle w:val="Hyperlink"/>
                <w:noProof/>
                <w:color w:val="auto"/>
              </w:rPr>
              <w:t>Appendix 12: Internal Rate of Return</w:t>
            </w:r>
            <w:r w:rsidRPr="002746DF">
              <w:rPr>
                <w:noProof/>
                <w:webHidden/>
              </w:rPr>
              <w:tab/>
            </w:r>
            <w:r w:rsidRPr="002746DF">
              <w:rPr>
                <w:noProof/>
                <w:webHidden/>
              </w:rPr>
              <w:fldChar w:fldCharType="begin"/>
            </w:r>
            <w:r w:rsidRPr="002746DF">
              <w:rPr>
                <w:noProof/>
                <w:webHidden/>
              </w:rPr>
              <w:instrText xml:space="preserve"> PAGEREF _Toc213497676 \h </w:instrText>
            </w:r>
            <w:r w:rsidRPr="002746DF">
              <w:rPr>
                <w:noProof/>
                <w:webHidden/>
              </w:rPr>
            </w:r>
            <w:r w:rsidRPr="002746DF">
              <w:rPr>
                <w:noProof/>
                <w:webHidden/>
              </w:rPr>
              <w:fldChar w:fldCharType="separate"/>
            </w:r>
            <w:r w:rsidR="002746DF" w:rsidRPr="002746DF">
              <w:rPr>
                <w:noProof/>
                <w:webHidden/>
              </w:rPr>
              <w:t>42</w:t>
            </w:r>
            <w:r w:rsidRPr="002746DF">
              <w:rPr>
                <w:noProof/>
                <w:webHidden/>
              </w:rPr>
              <w:fldChar w:fldCharType="end"/>
            </w:r>
          </w:hyperlink>
        </w:p>
        <w:p w14:paraId="444C7B67" w14:textId="77777777" w:rsidR="00AA04B6" w:rsidRPr="002746DF" w:rsidRDefault="00C5669B">
          <w:pPr>
            <w:widowControl w:val="0"/>
            <w:tabs>
              <w:tab w:val="right" w:leader="dot" w:pos="9360"/>
            </w:tabs>
            <w:spacing w:before="60" w:after="0" w:line="240" w:lineRule="auto"/>
            <w:ind w:left="360"/>
            <w:jc w:val="left"/>
          </w:pPr>
          <w:r w:rsidRPr="002746DF">
            <w:fldChar w:fldCharType="end"/>
          </w:r>
        </w:p>
      </w:sdtContent>
    </w:sdt>
    <w:p w14:paraId="4526FE8D" w14:textId="77777777" w:rsidR="00AA04B6" w:rsidRPr="002746DF" w:rsidRDefault="00C5669B">
      <w:pPr>
        <w:jc w:val="center"/>
        <w:rPr>
          <w:b/>
          <w:sz w:val="32"/>
          <w:szCs w:val="32"/>
        </w:rPr>
      </w:pPr>
      <w:r w:rsidRPr="002746DF">
        <w:br w:type="page"/>
      </w:r>
    </w:p>
    <w:p w14:paraId="040042CA" w14:textId="77777777" w:rsidR="00AA04B6" w:rsidRPr="002746DF" w:rsidRDefault="00C5669B">
      <w:pPr>
        <w:pStyle w:val="Heading1"/>
        <w:keepNext w:val="0"/>
        <w:keepLines w:val="0"/>
        <w:spacing w:before="360" w:after="80"/>
      </w:pPr>
      <w:bookmarkStart w:id="0" w:name="_Toc213497624"/>
      <w:r w:rsidRPr="002746DF">
        <w:lastRenderedPageBreak/>
        <w:t>1. Introduction</w:t>
      </w:r>
      <w:bookmarkEnd w:id="0"/>
    </w:p>
    <w:p w14:paraId="190EF183" w14:textId="77777777" w:rsidR="00AA04B6" w:rsidRPr="002746DF" w:rsidRDefault="00C5669B">
      <w:r w:rsidRPr="002746DF">
        <w:t>General Electronics Ltd. is a consumer electronics multinational company that is already experiencing financial distress because it has lost its profitability, its debt levels are increasing, and competition in the international markets is growing. The company, which was once a leader in innovation and consumer technology, has been a victim of a lack of cost-efficiency and poor strategic positioning. The purpose of this report is to review the operations of the company in the last five years of its existence, find out the hidden causes of different operational and financial problems and estimate a detailed turnaround plan that is backed by statistical data. The analysis is based on ratio analysis, trend analysis, and corporate finance models based on the financial report of the firm. The report examines financial health, working capital, restructuring and investment decisions for sustainable recovery.</w:t>
      </w:r>
    </w:p>
    <w:p w14:paraId="6D53F5EB" w14:textId="77777777" w:rsidR="00AA04B6" w:rsidRPr="002746DF" w:rsidRDefault="00C5669B">
      <w:pPr>
        <w:pStyle w:val="Heading1"/>
        <w:keepNext w:val="0"/>
        <w:keepLines w:val="0"/>
        <w:spacing w:before="360" w:after="80"/>
      </w:pPr>
      <w:bookmarkStart w:id="1" w:name="_Toc213497625"/>
      <w:r w:rsidRPr="002746DF">
        <w:t>2. Financial Health Check</w:t>
      </w:r>
      <w:bookmarkEnd w:id="1"/>
    </w:p>
    <w:p w14:paraId="490E3593" w14:textId="77777777" w:rsidR="00AA04B6" w:rsidRPr="002746DF" w:rsidRDefault="00C5669B">
      <w:pPr>
        <w:pStyle w:val="Heading2"/>
        <w:keepNext w:val="0"/>
        <w:keepLines w:val="0"/>
        <w:spacing w:before="280" w:after="80"/>
      </w:pPr>
      <w:bookmarkStart w:id="2" w:name="_Toc213497626"/>
      <w:r w:rsidRPr="002746DF">
        <w:t>2.1 Overview of Financial Performance (Five-Year Trend)</w:t>
      </w:r>
      <w:bookmarkEnd w:id="2"/>
    </w:p>
    <w:p w14:paraId="412A3653" w14:textId="77777777" w:rsidR="00AA04B6" w:rsidRPr="002746DF" w:rsidRDefault="00FC67FA">
      <w:pPr>
        <w:jc w:val="center"/>
        <w:rPr>
          <w:lang w:val="en-IN"/>
        </w:rPr>
      </w:pPr>
      <w:r w:rsidRPr="002746DF">
        <w:rPr>
          <w:noProof/>
          <w:lang w:val="en-US"/>
        </w:rPr>
        <w:drawing>
          <wp:inline distT="0" distB="0" distL="0" distR="0" wp14:anchorId="2D7BF130" wp14:editId="06E07C42">
            <wp:extent cx="5943600" cy="3385185"/>
            <wp:effectExtent l="0" t="0" r="0" b="57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72D38A" w14:textId="77777777" w:rsidR="00AA04B6" w:rsidRPr="002746DF" w:rsidRDefault="00C5669B">
      <w:pPr>
        <w:jc w:val="center"/>
        <w:rPr>
          <w:b/>
        </w:rPr>
      </w:pPr>
      <w:r w:rsidRPr="002746DF">
        <w:rPr>
          <w:b/>
        </w:rPr>
        <w:t>Figure 1: Financial Trend</w:t>
      </w:r>
    </w:p>
    <w:p w14:paraId="4F2A1040" w14:textId="77777777" w:rsidR="00AA04B6" w:rsidRPr="002746DF" w:rsidRDefault="00C5669B">
      <w:r w:rsidRPr="002746DF">
        <w:lastRenderedPageBreak/>
        <w:t>The 2020-2024 financial analysis of General Electronics indicates that the performance and stability in the company are greatly reduced. In the change in net sales, 394,879 million, a reduction in the market demand and increased competition contributed to a drop in net sales, which was down to £614,680 million in 2020. The operating income had changed drastically from a £37,267 million profit to a £15,297 million loss which was an indication of increasing cost of operation and inefficiency. It also had a bad fate on their net income which ended up in £24,029 million loss. More so, a massive decline in the total assets implies that they have been sold out or lost away. It is a systemic decline in profitability and asset base which points at acute financial distress and market share loss which require significant reorganization and liquidity aid before being competitive again (Yustina Indi Savery, Haninun Haninun and Riswan Riswan, 2024)</w:t>
      </w:r>
      <w:r w:rsidRPr="002746DF">
        <w:tab/>
        <w:t>.</w:t>
      </w:r>
    </w:p>
    <w:p w14:paraId="1BBE4D28" w14:textId="77777777" w:rsidR="00AA04B6" w:rsidRPr="002746DF" w:rsidRDefault="00C5669B">
      <w:pPr>
        <w:pStyle w:val="Heading2"/>
        <w:keepNext w:val="0"/>
        <w:keepLines w:val="0"/>
        <w:spacing w:before="280" w:after="80"/>
        <w:rPr>
          <w:lang w:val="en-IN"/>
        </w:rPr>
      </w:pPr>
      <w:bookmarkStart w:id="3" w:name="_Toc213497627"/>
      <w:r w:rsidRPr="002746DF">
        <w:t>2.2</w:t>
      </w:r>
      <w:r w:rsidRPr="002746DF">
        <w:rPr>
          <w:lang w:val="en-IN"/>
        </w:rPr>
        <w:t xml:space="preserve"> Ratio Analysis</w:t>
      </w:r>
      <w:bookmarkEnd w:id="3"/>
    </w:p>
    <w:p w14:paraId="6EA2AC34" w14:textId="77777777" w:rsidR="00AA04B6" w:rsidRPr="002746DF" w:rsidRDefault="00C5669B">
      <w:pPr>
        <w:pStyle w:val="Heading3"/>
      </w:pPr>
      <w:bookmarkStart w:id="4" w:name="_Toc213497628"/>
      <w:r w:rsidRPr="002746DF">
        <w:rPr>
          <w:lang w:val="en-IN"/>
        </w:rPr>
        <w:t xml:space="preserve">2.2.1 </w:t>
      </w:r>
      <w:r w:rsidRPr="002746DF">
        <w:t>Profitability Analysis</w:t>
      </w:r>
      <w:bookmarkEnd w:id="4"/>
    </w:p>
    <w:p w14:paraId="71B53B54" w14:textId="77777777" w:rsidR="00AA04B6" w:rsidRPr="002746DF" w:rsidRDefault="00C5669B">
      <w:pPr>
        <w:jc w:val="center"/>
        <w:rPr>
          <w:b/>
        </w:rPr>
      </w:pPr>
      <w:r w:rsidRPr="002746DF">
        <w:rPr>
          <w:noProof/>
          <w:lang w:val="en-US"/>
        </w:rPr>
        <w:drawing>
          <wp:inline distT="0" distB="0" distL="0" distR="0" wp14:anchorId="6D0B9DD5" wp14:editId="71B2D482">
            <wp:extent cx="4968240" cy="2773680"/>
            <wp:effectExtent l="0" t="0" r="3810" b="762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0B1E9D8" w14:textId="77777777" w:rsidR="00AA04B6" w:rsidRPr="002746DF" w:rsidRDefault="00C5669B">
      <w:pPr>
        <w:jc w:val="center"/>
        <w:rPr>
          <w:b/>
        </w:rPr>
      </w:pPr>
      <w:r w:rsidRPr="002746DF">
        <w:rPr>
          <w:b/>
        </w:rPr>
        <w:t>Figure 2: Profitability Ratio</w:t>
      </w:r>
    </w:p>
    <w:p w14:paraId="5464E5B3" w14:textId="77777777" w:rsidR="00AA04B6" w:rsidRPr="002746DF" w:rsidRDefault="00C5669B">
      <w:r w:rsidRPr="002746DF">
        <w:t xml:space="preserve">Profitability ratios are used to estimate the capacity of a company to make profit in relation to sales, assets, or resources used by the company. Between 2020-2024, General Electronics is destructively losing its profitability. The net margin dropped to 6.28 of 2020 and to a negative figure of -6.09 of 2024 signifying the changing fortunes into losses that are most probably due to declining sales, increasing costs and ineffective operations. ROCE declined drastically at 11.27 to </w:t>
      </w:r>
      <w:r w:rsidRPr="002746DF">
        <w:lastRenderedPageBreak/>
        <w:t>-9.27 that indicated poor utilization of the capital, and declining returns on the investments. The unfavorable ROCE 2023–2024 shows that the fundamental operations of the firm were not meeting its capital expenses and this resulted in value dissipation. All in all, falling profitability implies inadequate cost management, low price strength and decreased competitiveness, which are serious negatives to the confidence of investors and jeopardize their solvency in the long term (Bhatt, 2021).</w:t>
      </w:r>
    </w:p>
    <w:p w14:paraId="3DCCE2E3" w14:textId="77777777" w:rsidR="00AA04B6" w:rsidRPr="002746DF" w:rsidRDefault="00C5669B">
      <w:pPr>
        <w:pStyle w:val="Heading3"/>
      </w:pPr>
      <w:bookmarkStart w:id="5" w:name="_Toc213497629"/>
      <w:r w:rsidRPr="002746DF">
        <w:t>2.</w:t>
      </w:r>
      <w:r w:rsidRPr="002746DF">
        <w:rPr>
          <w:lang w:val="en-IN"/>
        </w:rPr>
        <w:t>2.2</w:t>
      </w:r>
      <w:r w:rsidRPr="002746DF">
        <w:t xml:space="preserve"> Liquidity Analysis</w:t>
      </w:r>
      <w:bookmarkEnd w:id="5"/>
    </w:p>
    <w:p w14:paraId="7828F6A7" w14:textId="77777777" w:rsidR="00AA04B6" w:rsidRPr="002746DF" w:rsidRDefault="00C5669B">
      <w:pPr>
        <w:jc w:val="center"/>
      </w:pPr>
      <w:r w:rsidRPr="002746DF">
        <w:rPr>
          <w:noProof/>
          <w:lang w:val="en-US"/>
        </w:rPr>
        <w:drawing>
          <wp:inline distT="0" distB="0" distL="0" distR="0" wp14:anchorId="748F8139" wp14:editId="405D6D9B">
            <wp:extent cx="4945380" cy="2179320"/>
            <wp:effectExtent l="0" t="0" r="7620" b="1143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8B5CDA" w14:textId="77777777" w:rsidR="00AA04B6" w:rsidRPr="002746DF" w:rsidRDefault="00C5669B">
      <w:pPr>
        <w:jc w:val="center"/>
        <w:rPr>
          <w:b/>
        </w:rPr>
      </w:pPr>
      <w:r w:rsidRPr="002746DF">
        <w:rPr>
          <w:b/>
        </w:rPr>
        <w:t>Figure 3: Liquidity Ratio</w:t>
      </w:r>
    </w:p>
    <w:p w14:paraId="3B75FE86" w14:textId="77777777" w:rsidR="00AA04B6" w:rsidRPr="002746DF" w:rsidRDefault="00C5669B">
      <w:r w:rsidRPr="002746DF">
        <w:t>Liquidity ratios determine how an organization can pay its short-term debts using current assets. The current ratio of General Electronics has fallen a notch below 1.82 in 2020 to 1.53 in 2024 but this remains moderate solvency in the short term. The quick ratio has increased and progressed to 1.03 (2024) after having an improvement of 0.91 (2022), implying better inventory management and liquid cash. Nevertheless, the decline in the total current assets and the total liabilities is also an omen of reduced liquidity reserves. This might cause a tighter availability of cash flows and lack of malleability which might require outside funding, liquidation of assets, or further debt to cover liabilities and implement a turn around (Hartman-Glaser, Mayer and Milbradt, 2025).</w:t>
      </w:r>
    </w:p>
    <w:p w14:paraId="38B220AA" w14:textId="77777777" w:rsidR="00AA04B6" w:rsidRPr="002746DF" w:rsidRDefault="00C5669B">
      <w:r w:rsidRPr="002746DF">
        <w:br w:type="page"/>
      </w:r>
    </w:p>
    <w:p w14:paraId="249BE643" w14:textId="77777777" w:rsidR="00AA04B6" w:rsidRPr="002746DF" w:rsidRDefault="00C5669B" w:rsidP="009F3541">
      <w:pPr>
        <w:pStyle w:val="Heading3"/>
      </w:pPr>
      <w:bookmarkStart w:id="6" w:name="_Toc213497630"/>
      <w:r w:rsidRPr="002746DF">
        <w:lastRenderedPageBreak/>
        <w:t>2.</w:t>
      </w:r>
      <w:r w:rsidRPr="002746DF">
        <w:rPr>
          <w:lang w:val="en-IN"/>
        </w:rPr>
        <w:t>2.3</w:t>
      </w:r>
      <w:r w:rsidRPr="002746DF">
        <w:t xml:space="preserve"> Efficiency (Activity) Analysis</w:t>
      </w:r>
      <w:bookmarkEnd w:id="6"/>
    </w:p>
    <w:p w14:paraId="0BDD5D47" w14:textId="77777777" w:rsidR="00AA04B6" w:rsidRPr="002746DF" w:rsidRDefault="00C5669B">
      <w:pPr>
        <w:jc w:val="center"/>
      </w:pPr>
      <w:r w:rsidRPr="002746DF">
        <w:rPr>
          <w:noProof/>
          <w:lang w:val="en-US"/>
        </w:rPr>
        <w:drawing>
          <wp:inline distT="0" distB="0" distL="0" distR="0" wp14:anchorId="5B429D90" wp14:editId="25A37761">
            <wp:extent cx="5044440" cy="2948940"/>
            <wp:effectExtent l="0" t="0" r="3810" b="381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502477" w14:textId="77777777" w:rsidR="00AA04B6" w:rsidRPr="002746DF" w:rsidRDefault="00C5669B">
      <w:pPr>
        <w:jc w:val="center"/>
        <w:rPr>
          <w:b/>
        </w:rPr>
      </w:pPr>
      <w:r w:rsidRPr="002746DF">
        <w:rPr>
          <w:b/>
        </w:rPr>
        <w:t>Figure 4: Efficiency Ratio</w:t>
      </w:r>
    </w:p>
    <w:p w14:paraId="0B93C180" w14:textId="77777777" w:rsidR="00AA04B6" w:rsidRPr="002746DF" w:rsidRDefault="00C5669B">
      <w:r w:rsidRPr="002746DF">
        <w:t>The working capital management is becoming worse as the efficiency ratios show. The inventory turnover days showed that inventory was moving slowly as it turned to 52 in 2024. The receivable days increased to 53 which indicated a slowness to collect the debt and an inefficient management of the credit. The growth of payable days also rose to 47, which indicates that the firm is not settling its suppliers in time, which is likely because of cash crises. This puts a strain on the supply chain and increases the cash conversion cycle which implies liquidity problems and poorer operational control (Mai, Ambashe and Ohueri, 2025).</w:t>
      </w:r>
    </w:p>
    <w:p w14:paraId="3E72FDED" w14:textId="77777777" w:rsidR="00AA04B6" w:rsidRPr="002746DF" w:rsidRDefault="00C5669B">
      <w:r w:rsidRPr="002746DF">
        <w:br w:type="page"/>
      </w:r>
    </w:p>
    <w:p w14:paraId="5C84504D" w14:textId="77777777" w:rsidR="00AA04B6" w:rsidRPr="002746DF" w:rsidRDefault="00C5669B" w:rsidP="009F3541">
      <w:pPr>
        <w:pStyle w:val="Heading3"/>
      </w:pPr>
      <w:bookmarkStart w:id="7" w:name="_Toc213497631"/>
      <w:r w:rsidRPr="002746DF">
        <w:lastRenderedPageBreak/>
        <w:t>2.</w:t>
      </w:r>
      <w:r w:rsidRPr="002746DF">
        <w:rPr>
          <w:lang w:val="en-IN"/>
        </w:rPr>
        <w:t>2.4</w:t>
      </w:r>
      <w:r w:rsidRPr="002746DF">
        <w:t xml:space="preserve"> Gearing and Capital Structure Analysis</w:t>
      </w:r>
      <w:bookmarkEnd w:id="7"/>
    </w:p>
    <w:p w14:paraId="5B0986B1" w14:textId="77777777" w:rsidR="00AA04B6" w:rsidRPr="002746DF" w:rsidRDefault="00C5669B">
      <w:pPr>
        <w:jc w:val="center"/>
      </w:pPr>
      <w:r w:rsidRPr="002746DF">
        <w:rPr>
          <w:noProof/>
          <w:lang w:val="en-US"/>
        </w:rPr>
        <w:drawing>
          <wp:inline distT="0" distB="0" distL="0" distR="0" wp14:anchorId="0B278475" wp14:editId="0611232C">
            <wp:extent cx="4960620" cy="2926080"/>
            <wp:effectExtent l="0" t="0" r="11430"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78123A6" w14:textId="77777777" w:rsidR="00AA04B6" w:rsidRPr="002746DF" w:rsidRDefault="00C5669B">
      <w:pPr>
        <w:jc w:val="center"/>
        <w:rPr>
          <w:b/>
        </w:rPr>
      </w:pPr>
      <w:r w:rsidRPr="002746DF">
        <w:rPr>
          <w:b/>
        </w:rPr>
        <w:t>Figure 5: Gearing Ratio</w:t>
      </w:r>
    </w:p>
    <w:p w14:paraId="504147A2" w14:textId="77777777" w:rsidR="00AA04B6" w:rsidRPr="002746DF" w:rsidRDefault="00C5669B">
      <w:r w:rsidRPr="002746DF">
        <w:t>Gearing ratios show growing financial risk. The debt to equity ratio increased in 2024 to 1.11 from 0.63 in 2020 due to reducing equity and losses. Importantly, the interest coverage ratio decreased to -0.41 which implies that working profits are unable to meet interest cost. This poor coverage is an indicator that there is a severe solvency problem. Tight gearing reduces credit quality, constrains new capital and puts future cash-flows and shareholder value under strain (Corporate Finance Institute, 2024).</w:t>
      </w:r>
    </w:p>
    <w:p w14:paraId="7365F1C2" w14:textId="77777777" w:rsidR="00AA04B6" w:rsidRPr="002746DF" w:rsidRDefault="00C5669B" w:rsidP="009F3541">
      <w:pPr>
        <w:pStyle w:val="Heading3"/>
      </w:pPr>
      <w:bookmarkStart w:id="8" w:name="_Toc213497632"/>
      <w:r w:rsidRPr="002746DF">
        <w:lastRenderedPageBreak/>
        <w:t>2.</w:t>
      </w:r>
      <w:r w:rsidRPr="002746DF">
        <w:rPr>
          <w:lang w:val="en-IN"/>
        </w:rPr>
        <w:t>2.5</w:t>
      </w:r>
      <w:r w:rsidRPr="002746DF">
        <w:t xml:space="preserve"> Investment Ratios</w:t>
      </w:r>
      <w:bookmarkEnd w:id="8"/>
    </w:p>
    <w:p w14:paraId="28F88C80" w14:textId="77777777" w:rsidR="00AA04B6" w:rsidRPr="002746DF" w:rsidRDefault="00C5669B">
      <w:pPr>
        <w:jc w:val="center"/>
      </w:pPr>
      <w:r w:rsidRPr="002746DF">
        <w:rPr>
          <w:noProof/>
          <w:lang w:val="en-US"/>
        </w:rPr>
        <w:drawing>
          <wp:inline distT="0" distB="0" distL="0" distR="0" wp14:anchorId="5A7EF7F8" wp14:editId="53FBCCA5">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232C910" w14:textId="77777777" w:rsidR="00AA04B6" w:rsidRPr="002746DF" w:rsidRDefault="00C5669B">
      <w:pPr>
        <w:jc w:val="center"/>
        <w:rPr>
          <w:b/>
        </w:rPr>
      </w:pPr>
      <w:r w:rsidRPr="002746DF">
        <w:rPr>
          <w:b/>
        </w:rPr>
        <w:t>Figure 6: Investment Ratio</w:t>
      </w:r>
    </w:p>
    <w:p w14:paraId="51585E5A" w14:textId="77777777" w:rsidR="00AA04B6" w:rsidRPr="002746DF" w:rsidRDefault="00C5669B">
      <w:r w:rsidRPr="002746DF">
        <w:t>Key investment ratios are showing that the company is in a gradual decreasing trend of its ability to create returns on both shareholders and on its assets. In 2024, the Return on Assets (ROA) declined to -0.06 after being 0.09 in 2020 and this highlighted low productivity of the assets as sales declined and operating losses were persistent. Equally, the Return on Equity (ROE) decreased to -0.16 indicating that the investments made by the shareholders do not generate good returns. This has weakened due to years of net losses, and a low equity base, and inefficiency in using its assets. The poor ROA and ROE indicate the operation efficiency, value destruction, and deficit of investor confidence, which means the firm desperately needs strategic restructuring and rationalization of costs (Puspitarini and Bulan Tati Fitria, 2023).</w:t>
      </w:r>
    </w:p>
    <w:p w14:paraId="46287FFB" w14:textId="77777777" w:rsidR="00AA04B6" w:rsidRPr="002746DF" w:rsidRDefault="00C5669B" w:rsidP="009F3541">
      <w:pPr>
        <w:pStyle w:val="Heading3"/>
      </w:pPr>
      <w:bookmarkStart w:id="9" w:name="_Toc213497633"/>
      <w:r w:rsidRPr="002746DF">
        <w:lastRenderedPageBreak/>
        <w:t>2.</w:t>
      </w:r>
      <w:r w:rsidRPr="002746DF">
        <w:rPr>
          <w:lang w:val="en-IN"/>
        </w:rPr>
        <w:t>2.6</w:t>
      </w:r>
      <w:r w:rsidRPr="002746DF">
        <w:t xml:space="preserve"> Market Ratios</w:t>
      </w:r>
      <w:bookmarkEnd w:id="9"/>
    </w:p>
    <w:p w14:paraId="1AC29F7F" w14:textId="77777777" w:rsidR="00AA04B6" w:rsidRPr="002746DF" w:rsidRDefault="00C5669B">
      <w:pPr>
        <w:jc w:val="center"/>
      </w:pPr>
      <w:r w:rsidRPr="002746DF">
        <w:rPr>
          <w:noProof/>
          <w:lang w:val="en-US"/>
        </w:rPr>
        <w:drawing>
          <wp:inline distT="0" distB="0" distL="0" distR="0" wp14:anchorId="7DE6B0D3" wp14:editId="196F89E8">
            <wp:extent cx="5013960" cy="3040380"/>
            <wp:effectExtent l="0" t="0" r="15240" b="762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76D8069" w14:textId="77777777" w:rsidR="00AA04B6" w:rsidRPr="002746DF" w:rsidRDefault="00C5669B">
      <w:pPr>
        <w:jc w:val="center"/>
        <w:rPr>
          <w:b/>
        </w:rPr>
      </w:pPr>
      <w:r w:rsidRPr="002746DF">
        <w:rPr>
          <w:b/>
        </w:rPr>
        <w:t>Figure 7: Market Ratio</w:t>
      </w:r>
    </w:p>
    <w:p w14:paraId="7EE41B9A" w14:textId="77777777" w:rsidR="00AA04B6" w:rsidRPr="002746DF" w:rsidRDefault="00C5669B">
      <w:r w:rsidRPr="002746DF">
        <w:t>Market ratios show how the investors view and how the market values the performance of a company. Earnings per Share (EPS) declined in 2024, as compared to 2020, with the profit plunging to -1.85. As a result, the P/E ratio became negative which shows pessimism on the side of the investor and disbelief in the recovering of the earnings. Although its profits were on a reduced trend, the market price per share deteriorated as much as 48 percent; 11.81, eroded by two-thirds, the deterioration of market capitals and shareholder worth being very pronounced. The declining P/E ratio and negative EPS reflect the bad sentiment of the investors and indicate that the business turnaround process is very much needed to regain the faith and value of the capital markets (Kuvera, 2024).</w:t>
      </w:r>
    </w:p>
    <w:p w14:paraId="1003CC86" w14:textId="77777777" w:rsidR="00AA04B6" w:rsidRPr="002746DF" w:rsidRDefault="00C5669B" w:rsidP="009F3541">
      <w:pPr>
        <w:pStyle w:val="Heading3"/>
      </w:pPr>
      <w:bookmarkStart w:id="10" w:name="_Toc213497634"/>
      <w:r w:rsidRPr="002746DF">
        <w:lastRenderedPageBreak/>
        <w:t>2.</w:t>
      </w:r>
      <w:r w:rsidRPr="002746DF">
        <w:rPr>
          <w:lang w:val="en-IN"/>
        </w:rPr>
        <w:t>2.7</w:t>
      </w:r>
      <w:r w:rsidRPr="002746DF">
        <w:t xml:space="preserve"> Cashflow Ratio Analysis</w:t>
      </w:r>
      <w:bookmarkEnd w:id="10"/>
    </w:p>
    <w:p w14:paraId="7CC9E19B" w14:textId="77777777" w:rsidR="00AA04B6" w:rsidRPr="002746DF" w:rsidRDefault="00C5669B">
      <w:pPr>
        <w:jc w:val="center"/>
      </w:pPr>
      <w:r w:rsidRPr="002746DF">
        <w:rPr>
          <w:noProof/>
          <w:lang w:val="en-US"/>
        </w:rPr>
        <w:drawing>
          <wp:inline distT="0" distB="0" distL="0" distR="0" wp14:anchorId="15CD0361" wp14:editId="75074D58">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E0E899" w14:textId="77777777" w:rsidR="00AA04B6" w:rsidRPr="002746DF" w:rsidRDefault="00C5669B">
      <w:pPr>
        <w:jc w:val="center"/>
        <w:rPr>
          <w:b/>
        </w:rPr>
      </w:pPr>
      <w:r w:rsidRPr="002746DF">
        <w:rPr>
          <w:b/>
        </w:rPr>
        <w:t>Figure 8: Cashflow Ratio</w:t>
      </w:r>
    </w:p>
    <w:p w14:paraId="3A482800" w14:textId="77777777" w:rsidR="00AA04B6" w:rsidRPr="002746DF" w:rsidRDefault="00C5669B">
      <w:r w:rsidRPr="002746DF">
        <w:t>Cash flow ratios also highlight the declining liquidity and sustainability in the company's operations. The Operating Cash Flow Ratio dropped drastically by 0.44 in 2020 to 0.02 in 2024, suggesting that the amount of cash generated during operations is hardly good to meet the short-term obligations. Similarly, the Sales Ratio decreased to 0.13 to 0.01, which proves the fact that a very small percentage of sales is translated into cash. These low and almost negative ratios denote that the core activities of this firm ceased to be self-sufficient and started to rely more on the external borrowing or selling of assets to maintain operations (Fang et al., 2023).</w:t>
      </w:r>
    </w:p>
    <w:p w14:paraId="7D33497C" w14:textId="77777777" w:rsidR="00AA04B6" w:rsidRPr="002746DF" w:rsidRDefault="00C5669B">
      <w:r w:rsidRPr="002746DF">
        <w:br w:type="page"/>
      </w:r>
    </w:p>
    <w:p w14:paraId="339710CF" w14:textId="77777777" w:rsidR="00AA04B6" w:rsidRPr="002746DF" w:rsidRDefault="00C5669B">
      <w:pPr>
        <w:pStyle w:val="Heading2"/>
      </w:pPr>
      <w:bookmarkStart w:id="11" w:name="_Toc213497635"/>
      <w:r w:rsidRPr="002746DF">
        <w:rPr>
          <w:lang w:val="en-IN"/>
        </w:rPr>
        <w:lastRenderedPageBreak/>
        <w:t xml:space="preserve">2.3 Trends, </w:t>
      </w:r>
      <w:r w:rsidRPr="002746DF">
        <w:t>Strengths and Threats</w:t>
      </w:r>
      <w:bookmarkEnd w:id="11"/>
    </w:p>
    <w:p w14:paraId="456CAB4B" w14:textId="77777777" w:rsidR="00AA04B6" w:rsidRPr="002746DF" w:rsidRDefault="00C5669B">
      <w:r w:rsidRPr="002746DF">
        <w:t>An analysis of the 2020-2024 financial trends of General Electronics shows that the company experienced a steady decrease in the profitability, liquidity and asset base. The company experienced a tremendous loss in revenue (£614,680 million to £394,879 million) and total assets (reduced to 323, 354 million), and had recurring operating and net losses.</w:t>
      </w:r>
    </w:p>
    <w:p w14:paraId="74F42AC5" w14:textId="77777777" w:rsidR="00AA04B6" w:rsidRPr="002746DF" w:rsidRDefault="00C5669B">
      <w:r w:rsidRPr="002746DF">
        <w:t>Nevertheless, the company has a relatively stable liquidity position as its current ratio of above 1.5; meaning that the company can easily cover short term obligations and has an equitable background to support any restructuring. Nonetheless, the Altman Z-Score of 2.98 indicates that it is in the grey zone, which means that it is close to financial distress. Some of the threats are rising leverage (debt ratio 1.11), low profitability, and low confidence amongst investors. The lack of speed of strategic change means additional instability and loss of company competitiveness (Vengesai, 2023).</w:t>
      </w:r>
    </w:p>
    <w:p w14:paraId="5619AF31" w14:textId="77777777" w:rsidR="00AA04B6" w:rsidRPr="002746DF" w:rsidRDefault="00C5669B">
      <w:pPr>
        <w:pStyle w:val="Heading2"/>
      </w:pPr>
      <w:bookmarkStart w:id="12" w:name="_Toc213497636"/>
      <w:r w:rsidRPr="002746DF">
        <w:rPr>
          <w:lang w:val="en-IN"/>
        </w:rPr>
        <w:t>2.4</w:t>
      </w:r>
      <w:r w:rsidRPr="002746DF">
        <w:t xml:space="preserve"> Corporate Failure Prediction</w:t>
      </w:r>
      <w:bookmarkEnd w:id="12"/>
    </w:p>
    <w:p w14:paraId="3262CCBC" w14:textId="77777777" w:rsidR="00AA04B6" w:rsidRPr="002746DF" w:rsidRDefault="00C5669B">
      <w:pPr>
        <w:jc w:val="center"/>
      </w:pPr>
      <w:r w:rsidRPr="002746DF">
        <w:rPr>
          <w:noProof/>
          <w:lang w:val="en-US"/>
        </w:rPr>
        <w:drawing>
          <wp:inline distT="0" distB="0" distL="0" distR="0" wp14:anchorId="342F1025" wp14:editId="0C8B39EE">
            <wp:extent cx="5943600" cy="2888615"/>
            <wp:effectExtent l="19050" t="19050" r="19050" b="260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5943600" cy="2889090"/>
                    </a:xfrm>
                    <a:prstGeom prst="rect">
                      <a:avLst/>
                    </a:prstGeom>
                    <a:noFill/>
                    <a:ln w="19050">
                      <a:solidFill>
                        <a:schemeClr val="tx1"/>
                      </a:solidFill>
                    </a:ln>
                  </pic:spPr>
                </pic:pic>
              </a:graphicData>
            </a:graphic>
          </wp:inline>
        </w:drawing>
      </w:r>
    </w:p>
    <w:p w14:paraId="13550B49" w14:textId="77777777" w:rsidR="00AA04B6" w:rsidRPr="002746DF" w:rsidRDefault="00C5669B">
      <w:pPr>
        <w:jc w:val="center"/>
        <w:rPr>
          <w:b/>
        </w:rPr>
      </w:pPr>
      <w:r w:rsidRPr="002746DF">
        <w:rPr>
          <w:b/>
        </w:rPr>
        <w:t>Figure 9: Altman Z-Score</w:t>
      </w:r>
    </w:p>
    <w:p w14:paraId="409EB1D5" w14:textId="77777777" w:rsidR="00AA04B6" w:rsidRPr="002746DF" w:rsidRDefault="00C5669B">
      <w:r w:rsidRPr="002746DF">
        <w:t xml:space="preserve">The Altman Z-Score of 2.98 of General Electronics puts it in the grey zone, which is an indication of a moderate risk of being in financial distress and may go into bankruptcy unless any action is taken. Although the firm has adequate working capital (X1 = 0.26) and high equity value (X5 = </w:t>
      </w:r>
      <w:r w:rsidRPr="002746DF">
        <w:lastRenderedPageBreak/>
        <w:t>1.22), there is operational inefficiency within the company. In particular, the weak asset profitability (X3 = -0.06) accounts for moderate levels of capital (X2) and solvency (X4). General Electronics is wavering between being safe and risky (Topstockresearch.com, 2025). To prevent a state of bankruptcy, the firm is in dire need of radical restructuring, cost-cutting, and innovations to enhance profitability.</w:t>
      </w:r>
    </w:p>
    <w:p w14:paraId="231908B4" w14:textId="77777777" w:rsidR="00AA04B6" w:rsidRPr="002746DF" w:rsidRDefault="00C5669B">
      <w:r w:rsidRPr="002746DF">
        <w:br w:type="page"/>
      </w:r>
    </w:p>
    <w:p w14:paraId="126FB071" w14:textId="77777777" w:rsidR="00AA04B6" w:rsidRPr="002746DF" w:rsidRDefault="00C5669B">
      <w:pPr>
        <w:pStyle w:val="Heading1"/>
        <w:keepNext w:val="0"/>
        <w:keepLines w:val="0"/>
        <w:spacing w:before="360" w:after="80"/>
        <w:rPr>
          <w:sz w:val="26"/>
          <w:szCs w:val="26"/>
        </w:rPr>
      </w:pPr>
      <w:bookmarkStart w:id="13" w:name="_Toc213497637"/>
      <w:r w:rsidRPr="002746DF">
        <w:lastRenderedPageBreak/>
        <w:t>3. Working Capital Management Analysis</w:t>
      </w:r>
      <w:bookmarkEnd w:id="13"/>
    </w:p>
    <w:p w14:paraId="61D0AABA" w14:textId="77777777" w:rsidR="00AA04B6" w:rsidRPr="002746DF" w:rsidRDefault="00C5669B">
      <w:pPr>
        <w:pStyle w:val="Heading2"/>
        <w:keepNext w:val="0"/>
        <w:keepLines w:val="0"/>
        <w:spacing w:before="280" w:after="80"/>
      </w:pPr>
      <w:bookmarkStart w:id="14" w:name="_Toc213497638"/>
      <w:r w:rsidRPr="002746DF">
        <w:t>3.1 Cash Conversion Cycle (CCC) and Working Capital Analysis</w:t>
      </w:r>
      <w:bookmarkEnd w:id="14"/>
    </w:p>
    <w:p w14:paraId="1D328CF2" w14:textId="77777777" w:rsidR="00AA04B6" w:rsidRPr="002746DF" w:rsidRDefault="00C5669B">
      <w:pPr>
        <w:jc w:val="center"/>
      </w:pPr>
      <w:r w:rsidRPr="002746DF">
        <w:rPr>
          <w:noProof/>
          <w:lang w:val="en-US"/>
        </w:rPr>
        <w:drawing>
          <wp:inline distT="0" distB="0" distL="0" distR="0" wp14:anchorId="543A14CF" wp14:editId="533D2FA0">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755DE8E" w14:textId="77777777" w:rsidR="00AA04B6" w:rsidRPr="002746DF" w:rsidRDefault="00C5669B">
      <w:pPr>
        <w:jc w:val="center"/>
        <w:rPr>
          <w:b/>
        </w:rPr>
      </w:pPr>
      <w:r w:rsidRPr="002746DF">
        <w:rPr>
          <w:b/>
        </w:rPr>
        <w:t>Figure 10: Cash Conversion Cycle (CCC)</w:t>
      </w:r>
    </w:p>
    <w:p w14:paraId="7447C1BA" w14:textId="77777777" w:rsidR="00AA04B6" w:rsidRPr="002746DF" w:rsidRDefault="00C5669B">
      <w:r w:rsidRPr="002746DF">
        <w:t>One of the most important ratios of determining the effectiveness of managing working capital is Cash Conversion Cycle (CCC) which measures the number of days a company requires to turn inventory and receivables into cash following the payment of suppliers. At General Electronics, the CCC deteriorated, rising to 54 days in 2020 to 58 days in 2024, which is an indicator of an ineffective management of cash flow and postponements in movement of resources to revenue. (Kouaib and Ibrahim, 2024)</w:t>
      </w:r>
    </w:p>
    <w:p w14:paraId="7FDFFC18" w14:textId="77777777" w:rsidR="00AA04B6" w:rsidRPr="002746DF" w:rsidRDefault="00C5669B">
      <w:r w:rsidRPr="002746DF">
        <w:t xml:space="preserve">Further research on the CCC components reveals that there are significant changes. The inventory turnover day was the variable that ranged between 50 and 66 days with a high turnover of 52 days in 2024 hence a better inventory control after a high standard in 2022 because of overstocking. However, days current general receivable decreased significantly within the period of 38 to 53 days that it was consuming much time to recover the sales of credit. This is a worrying extended time given that it will constrain the cash to be utilized in the company and will lead to a great exposure to bad debts. Conversely, the payable turnover days are increasing, 35 to 47 and can be said to be decelerating payments to the suppliers, a frivolous means to save money, and this could </w:t>
      </w:r>
      <w:r w:rsidRPr="002746DF">
        <w:lastRenderedPageBreak/>
        <w:t>eventually have a negative impact on the relationship with suppliers, and credit conditions (CFI, 2023).</w:t>
      </w:r>
    </w:p>
    <w:p w14:paraId="4ED72AEA" w14:textId="77777777" w:rsidR="00AA04B6" w:rsidRPr="002746DF" w:rsidRDefault="00C5669B">
      <w:r w:rsidRPr="002746DF">
        <w:t>The resultant impact of these constitutes a distressing operating cycle, with the CCC having stood at over 50 days and two months of capital investment almost stable. This is an area of reduced efficiency that is particularly detrimental in the consumer electronics sector where turnover and cash flow is a major concern. To shorten the cycle, the management must work on narrowing the credit terms, improving collection systems and best forecasts on its receivables and inventory optimization (Bichachi, 2024).</w:t>
      </w:r>
    </w:p>
    <w:p w14:paraId="2F963923" w14:textId="77777777" w:rsidR="00AA04B6" w:rsidRPr="002746DF" w:rsidRDefault="00C5669B">
      <w:pPr>
        <w:jc w:val="center"/>
      </w:pPr>
      <w:r w:rsidRPr="002746DF">
        <w:rPr>
          <w:noProof/>
          <w:lang w:val="en-US"/>
        </w:rPr>
        <w:drawing>
          <wp:inline distT="0" distB="0" distL="0" distR="0" wp14:anchorId="6D58F293" wp14:editId="085EEF5C">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11ABD4C" w14:textId="77777777" w:rsidR="00AA04B6" w:rsidRPr="002746DF" w:rsidRDefault="00C5669B">
      <w:pPr>
        <w:jc w:val="center"/>
        <w:rPr>
          <w:b/>
        </w:rPr>
      </w:pPr>
      <w:r w:rsidRPr="002746DF">
        <w:rPr>
          <w:b/>
        </w:rPr>
        <w:t>Figure 11: Working Capital Analysis</w:t>
      </w:r>
    </w:p>
    <w:p w14:paraId="69DCCE52" w14:textId="77777777" w:rsidR="00AA04B6" w:rsidRPr="002746DF" w:rsidRDefault="00C5669B">
      <w:r w:rsidRPr="002746DF">
        <w:t>To further add to this problem, the overall working capital position of General Electronics has worsened, as the current assets were reduced considerably and the current liabilities did not change. This decrease emphasizes decreased liquidity holdings and increases the threat of insufficient cash in the short-term (Chang and Yang, 2022). The extensive CCC together with diminishing working capital suggests that the liquidity state is very extreme and requires immediate financial and operational assistance.</w:t>
      </w:r>
    </w:p>
    <w:p w14:paraId="56E40517" w14:textId="77777777" w:rsidR="00AA04B6" w:rsidRPr="002746DF" w:rsidRDefault="00C5669B">
      <w:r w:rsidRPr="002746DF">
        <w:br w:type="page"/>
      </w:r>
    </w:p>
    <w:p w14:paraId="04A43361" w14:textId="77777777" w:rsidR="00AA04B6" w:rsidRPr="002746DF" w:rsidRDefault="00C5669B">
      <w:pPr>
        <w:pStyle w:val="Heading2"/>
        <w:keepNext w:val="0"/>
        <w:keepLines w:val="0"/>
        <w:spacing w:before="280" w:after="80"/>
      </w:pPr>
      <w:bookmarkStart w:id="15" w:name="_Toc213497639"/>
      <w:r w:rsidRPr="002746DF">
        <w:lastRenderedPageBreak/>
        <w:t>3.2 Recommended Working Capital Reforms</w:t>
      </w:r>
      <w:bookmarkEnd w:id="15"/>
    </w:p>
    <w:p w14:paraId="2A53B28F" w14:textId="77777777" w:rsidR="00AA04B6" w:rsidRPr="002746DF" w:rsidRDefault="00C5669B">
      <w:pPr>
        <w:rPr>
          <w:b/>
          <w:i/>
        </w:rPr>
      </w:pPr>
      <w:r w:rsidRPr="002746DF">
        <w:rPr>
          <w:b/>
          <w:i/>
        </w:rPr>
        <w:t xml:space="preserve">1. Inventory Management: </w:t>
      </w:r>
    </w:p>
    <w:p w14:paraId="67F5D2C4" w14:textId="77777777" w:rsidR="00AA04B6" w:rsidRPr="002746DF" w:rsidRDefault="00C5669B">
      <w:r w:rsidRPr="002746DF">
        <w:t>Implement Just-in-Time (JIT) or Demand-Driven Planning systems, to reduce inventory and storage expenses. Forecasting inventory with the help of AI-based tools and tracking stock activities in real time will allow the company to align the quantity of stocks with sales volume, which will positively impact turnover days. Holding costs can also be minimized by introducing supplier-managed inventory (SMI) arrangements which will provide supply reliability (Ogunyankinnu et al., 2024).</w:t>
      </w:r>
    </w:p>
    <w:p w14:paraId="5CA39998" w14:textId="77777777" w:rsidR="00AA04B6" w:rsidRPr="002746DF" w:rsidRDefault="00C5669B">
      <w:pPr>
        <w:rPr>
          <w:b/>
          <w:i/>
        </w:rPr>
      </w:pPr>
      <w:r w:rsidRPr="002746DF">
        <w:rPr>
          <w:b/>
          <w:i/>
        </w:rPr>
        <w:t>2. Receivables Management:</w:t>
      </w:r>
    </w:p>
    <w:p w14:paraId="0B4847BF" w14:textId="77777777" w:rsidR="00AA04B6" w:rsidRPr="002746DF" w:rsidRDefault="00C5669B">
      <w:r w:rsidRPr="002746DF">
        <w:t>The firm ought to reduce the spending time on the receivable by reclassifying the credit conditions and enacting credit restraint measures. Early payment discounted and electronic invoice should be offered to promote quicker collections. Accounts receivable aging reports used on a regular basis will assist in detecting the outstanding accounts early enough (Highradius, 2022). In partnership with financial institutions in an attempt to utilise the services of factoring or invoice discounting, receivables can be converted into immediate cash so that liquidity is enhanced without higher debt.</w:t>
      </w:r>
    </w:p>
    <w:p w14:paraId="6EF51099" w14:textId="77777777" w:rsidR="00AA04B6" w:rsidRPr="002746DF" w:rsidRDefault="00C5669B">
      <w:pPr>
        <w:rPr>
          <w:b/>
          <w:i/>
        </w:rPr>
      </w:pPr>
      <w:r w:rsidRPr="002746DF">
        <w:rPr>
          <w:b/>
          <w:i/>
        </w:rPr>
        <w:t>3. Payables Management:</w:t>
      </w:r>
    </w:p>
    <w:p w14:paraId="4A8AAFD9" w14:textId="77777777" w:rsidR="00AA04B6" w:rsidRPr="002746DF" w:rsidRDefault="00C5669B">
      <w:r w:rsidRPr="002746DF">
        <w:t>Although the extension of payables has resulted in the interim increase of liquidity, the company should create a balance to uphold supplier confidence. Terms can be obtained in a favorable manner by negotiating longer-lasting terms of payment and consolidation of suppliers relations with the most influential suppliers (Tipalti EU, 2023). It is also possible to increase profitability without the liquidity stress by introducing dynamic discounting systems, when early payment receives discounts.</w:t>
      </w:r>
    </w:p>
    <w:p w14:paraId="4588F1D2" w14:textId="77777777" w:rsidR="00AA04B6" w:rsidRPr="002746DF" w:rsidRDefault="00C5669B">
      <w:pPr>
        <w:rPr>
          <w:b/>
          <w:i/>
        </w:rPr>
      </w:pPr>
      <w:r w:rsidRPr="002746DF">
        <w:rPr>
          <w:b/>
          <w:i/>
        </w:rPr>
        <w:t>4. Cash Flow Forecasting and Control:</w:t>
      </w:r>
    </w:p>
    <w:p w14:paraId="31B1E4E6" w14:textId="77777777" w:rsidR="00AA04B6" w:rsidRPr="002746DF" w:rsidRDefault="00C5669B">
      <w:r w:rsidRPr="002746DF">
        <w:t>A rolling cash flow forecast will enable the management to predict cash deficit and cash surpluses to plan its finances better. Excessive cash may be placed in short-term marketable instruments to make returns. A temporary deficit in cash can be met by short term financing or credit facilities (cleartax, 2025).</w:t>
      </w:r>
    </w:p>
    <w:p w14:paraId="10A71CB5" w14:textId="77777777" w:rsidR="00AA04B6" w:rsidRPr="002746DF" w:rsidRDefault="00C5669B">
      <w:pPr>
        <w:rPr>
          <w:b/>
          <w:i/>
        </w:rPr>
      </w:pPr>
      <w:r w:rsidRPr="002746DF">
        <w:rPr>
          <w:b/>
          <w:i/>
        </w:rPr>
        <w:lastRenderedPageBreak/>
        <w:t>5. Technology and Process Intelligibility:</w:t>
      </w:r>
    </w:p>
    <w:p w14:paraId="7604F45D" w14:textId="77777777" w:rsidR="00AA04B6" w:rsidRPr="002746DF" w:rsidRDefault="00C5669B">
      <w:r w:rsidRPr="002746DF">
        <w:t>The installation of enterprise resource planning (ERP) systems will offer end-to-end visibility of the cash cycle, which would allow detecting inefficiencies in a timely manner. Payables, Receivables, and Inventory will be monitored in real-time, allowing decisions with data, which will enhance the operational agility.</w:t>
      </w:r>
    </w:p>
    <w:p w14:paraId="371F7EDC" w14:textId="77777777" w:rsidR="00AA04B6" w:rsidRPr="002746DF" w:rsidRDefault="00C5669B">
      <w:pPr>
        <w:pStyle w:val="Heading2"/>
        <w:keepNext w:val="0"/>
        <w:keepLines w:val="0"/>
        <w:spacing w:before="280" w:after="80"/>
      </w:pPr>
      <w:bookmarkStart w:id="16" w:name="_Toc213497640"/>
      <w:r w:rsidRPr="002746DF">
        <w:t>3.3 Short-Term vs Long-Term Financing Options</w:t>
      </w:r>
      <w:bookmarkEnd w:id="16"/>
    </w:p>
    <w:tbl>
      <w:tblPr>
        <w:tblStyle w:val="Style12"/>
        <w:tblW w:w="9360"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A0" w:firstRow="1" w:lastRow="0" w:firstColumn="1" w:lastColumn="0" w:noHBand="0" w:noVBand="1"/>
      </w:tblPr>
      <w:tblGrid>
        <w:gridCol w:w="1245"/>
        <w:gridCol w:w="1530"/>
        <w:gridCol w:w="1125"/>
        <w:gridCol w:w="1725"/>
        <w:gridCol w:w="1725"/>
        <w:gridCol w:w="2010"/>
      </w:tblGrid>
      <w:tr w:rsidR="002746DF" w:rsidRPr="002746DF" w14:paraId="6D82A7FF" w14:textId="77777777">
        <w:trPr>
          <w:trHeight w:val="1070"/>
        </w:trPr>
        <w:tc>
          <w:tcPr>
            <w:tcW w:w="12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528720" w14:textId="77777777" w:rsidR="00AA04B6" w:rsidRPr="002746DF" w:rsidRDefault="00C5669B">
            <w:pPr>
              <w:jc w:val="center"/>
            </w:pPr>
            <w:r w:rsidRPr="002746DF">
              <w:rPr>
                <w:b/>
              </w:rPr>
              <w:t>Financing Type</w:t>
            </w:r>
          </w:p>
        </w:tc>
        <w:tc>
          <w:tcPr>
            <w:tcW w:w="15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16C239" w14:textId="77777777" w:rsidR="00AA04B6" w:rsidRPr="002746DF" w:rsidRDefault="00C5669B">
            <w:pPr>
              <w:jc w:val="center"/>
            </w:pPr>
            <w:r w:rsidRPr="002746DF">
              <w:rPr>
                <w:b/>
              </w:rPr>
              <w:t>Instrument</w:t>
            </w:r>
          </w:p>
        </w:tc>
        <w:tc>
          <w:tcPr>
            <w:tcW w:w="11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25D841" w14:textId="77777777" w:rsidR="00AA04B6" w:rsidRPr="002746DF" w:rsidRDefault="00C5669B">
            <w:pPr>
              <w:jc w:val="center"/>
            </w:pPr>
            <w:r w:rsidRPr="002746DF">
              <w:rPr>
                <w:b/>
              </w:rPr>
              <w:t>Duration</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E5FD65" w14:textId="77777777" w:rsidR="00AA04B6" w:rsidRPr="002746DF" w:rsidRDefault="00C5669B">
            <w:pPr>
              <w:jc w:val="center"/>
            </w:pPr>
            <w:r w:rsidRPr="002746DF">
              <w:rPr>
                <w:b/>
              </w:rPr>
              <w:t>Advantages</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36E5FB" w14:textId="77777777" w:rsidR="00AA04B6" w:rsidRPr="002746DF" w:rsidRDefault="00C5669B">
            <w:pPr>
              <w:jc w:val="center"/>
            </w:pPr>
            <w:r w:rsidRPr="002746DF">
              <w:rPr>
                <w:b/>
              </w:rPr>
              <w:t>Disadvantages</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21A34D" w14:textId="77777777" w:rsidR="00AA04B6" w:rsidRPr="002746DF" w:rsidRDefault="00C5669B">
            <w:pPr>
              <w:jc w:val="center"/>
            </w:pPr>
            <w:r w:rsidRPr="002746DF">
              <w:rPr>
                <w:b/>
              </w:rPr>
              <w:t>Best Use Case for General Electronics</w:t>
            </w:r>
          </w:p>
        </w:tc>
      </w:tr>
      <w:tr w:rsidR="002746DF" w:rsidRPr="002746DF" w14:paraId="070078D3" w14:textId="77777777">
        <w:trPr>
          <w:trHeight w:val="2750"/>
        </w:trPr>
        <w:tc>
          <w:tcPr>
            <w:tcW w:w="12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73D879" w14:textId="77777777" w:rsidR="00AA04B6" w:rsidRPr="002746DF" w:rsidRDefault="00C5669B">
            <w:r w:rsidRPr="002746DF">
              <w:rPr>
                <w:b/>
              </w:rPr>
              <w:t>Short-Term Financing</w:t>
            </w:r>
          </w:p>
        </w:tc>
        <w:tc>
          <w:tcPr>
            <w:tcW w:w="15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447718" w14:textId="77777777" w:rsidR="00AA04B6" w:rsidRPr="002746DF" w:rsidRDefault="00C5669B">
            <w:r w:rsidRPr="002746DF">
              <w:t>Bank Overdrafts, Trade Credit, Factoring, Commercial Paper</w:t>
            </w:r>
          </w:p>
        </w:tc>
        <w:tc>
          <w:tcPr>
            <w:tcW w:w="11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99A518" w14:textId="77777777" w:rsidR="00AA04B6" w:rsidRPr="002746DF" w:rsidRDefault="00C5669B">
            <w:r w:rsidRPr="002746DF">
              <w:t>Less than 1 year</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5F473C" w14:textId="77777777" w:rsidR="00AA04B6" w:rsidRPr="002746DF" w:rsidRDefault="00C5669B">
            <w:r w:rsidRPr="002746DF">
              <w:t>Provides immediate liquidity; flexible repayment; helps manage cash flow fluctuations (RajRAS, 2025).</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3CA781" w14:textId="77777777" w:rsidR="00AA04B6" w:rsidRPr="002746DF" w:rsidRDefault="00C5669B">
            <w:r w:rsidRPr="002746DF">
              <w:t>Higher interest rates; may strain relationships if used excessively; limited amount available</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F2F07B" w14:textId="77777777" w:rsidR="00AA04B6" w:rsidRPr="002746DF" w:rsidRDefault="00C5669B">
            <w:r w:rsidRPr="002746DF">
              <w:t>To address temporary cash shortfalls, finance working capital, or bridge timing gaps between receivables and payables</w:t>
            </w:r>
          </w:p>
        </w:tc>
      </w:tr>
      <w:tr w:rsidR="002746DF" w:rsidRPr="002746DF" w14:paraId="7ADC3A5F" w14:textId="77777777">
        <w:trPr>
          <w:trHeight w:val="3760"/>
        </w:trPr>
        <w:tc>
          <w:tcPr>
            <w:tcW w:w="12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27FDD6" w14:textId="77777777" w:rsidR="00AA04B6" w:rsidRPr="002746DF" w:rsidRDefault="00C5669B">
            <w:r w:rsidRPr="002746DF">
              <w:rPr>
                <w:b/>
              </w:rPr>
              <w:lastRenderedPageBreak/>
              <w:t>Medium-Term Financing</w:t>
            </w:r>
          </w:p>
        </w:tc>
        <w:tc>
          <w:tcPr>
            <w:tcW w:w="15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41C3A5" w14:textId="77777777" w:rsidR="00AA04B6" w:rsidRPr="002746DF" w:rsidRDefault="00C5669B">
            <w:r w:rsidRPr="002746DF">
              <w:t>Revolving Credit Facility, Lease Financing, Bridge Loans</w:t>
            </w:r>
          </w:p>
        </w:tc>
        <w:tc>
          <w:tcPr>
            <w:tcW w:w="11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FB8708" w14:textId="77777777" w:rsidR="00AA04B6" w:rsidRPr="002746DF" w:rsidRDefault="00C5669B">
            <w:r w:rsidRPr="002746DF">
              <w:t>1–5 years</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77FB93" w14:textId="77777777" w:rsidR="00AA04B6" w:rsidRPr="002746DF" w:rsidRDefault="00C5669B">
            <w:r w:rsidRPr="002746DF">
              <w:t>Offers predictable cash flow management and moderate interest costs; maintains operational stability</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FAFCB0" w14:textId="77777777" w:rsidR="00AA04B6" w:rsidRPr="002746DF" w:rsidRDefault="00C5669B">
            <w:r w:rsidRPr="002746DF">
              <w:t>Potential increase in debt burden and interest expense</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BCC4F2" w14:textId="77777777" w:rsidR="00AA04B6" w:rsidRPr="002746DF" w:rsidRDefault="00C5669B">
            <w:r w:rsidRPr="002746DF">
              <w:t>For equipment financing, restructuring needs, or moderate capital requirements</w:t>
            </w:r>
          </w:p>
        </w:tc>
      </w:tr>
      <w:tr w:rsidR="00AA04B6" w:rsidRPr="002746DF" w14:paraId="51100E69" w14:textId="77777777">
        <w:trPr>
          <w:trHeight w:val="2465"/>
        </w:trPr>
        <w:tc>
          <w:tcPr>
            <w:tcW w:w="12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B85322" w14:textId="77777777" w:rsidR="00AA04B6" w:rsidRPr="002746DF" w:rsidRDefault="00C5669B">
            <w:r w:rsidRPr="002746DF">
              <w:rPr>
                <w:b/>
              </w:rPr>
              <w:t>Long-Term Financing</w:t>
            </w:r>
          </w:p>
        </w:tc>
        <w:tc>
          <w:tcPr>
            <w:tcW w:w="15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5A2CAC" w14:textId="77777777" w:rsidR="00AA04B6" w:rsidRPr="002746DF" w:rsidRDefault="00C5669B">
            <w:r w:rsidRPr="002746DF">
              <w:t>Bonds, Equity Issuance, Term Loans, Retained Earnings</w:t>
            </w:r>
          </w:p>
        </w:tc>
        <w:tc>
          <w:tcPr>
            <w:tcW w:w="11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709CEC" w14:textId="77777777" w:rsidR="00AA04B6" w:rsidRPr="002746DF" w:rsidRDefault="00C5669B">
            <w:r w:rsidRPr="002746DF">
              <w:t>Over 5 years</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40ECCB" w14:textId="77777777" w:rsidR="00AA04B6" w:rsidRPr="002746DF" w:rsidRDefault="00C5669B">
            <w:r w:rsidRPr="002746DF">
              <w:t>Provides capital for growth and expansion; improves stability; lower short-term repayment pressure</w:t>
            </w:r>
          </w:p>
        </w:tc>
        <w:tc>
          <w:tcPr>
            <w:tcW w:w="17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C8E02B" w14:textId="77777777" w:rsidR="00AA04B6" w:rsidRPr="002746DF" w:rsidRDefault="00C5669B">
            <w:r w:rsidRPr="002746DF">
              <w:t>Increases gearing ratio; equity dilution risk; higher issuance costs (Khan and Vismara, 2025).</w:t>
            </w:r>
          </w:p>
        </w:tc>
        <w:tc>
          <w:tcPr>
            <w:tcW w:w="20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4CA2D9" w14:textId="77777777" w:rsidR="00AA04B6" w:rsidRPr="002746DF" w:rsidRDefault="00C5669B">
            <w:r w:rsidRPr="002746DF">
              <w:t>To finance large-scale investments, restructure debt, or support strategic acquisitions</w:t>
            </w:r>
          </w:p>
        </w:tc>
      </w:tr>
    </w:tbl>
    <w:p w14:paraId="7005B919" w14:textId="77777777" w:rsidR="00AA04B6" w:rsidRPr="002746DF" w:rsidRDefault="00AA04B6"/>
    <w:p w14:paraId="269AD497" w14:textId="77777777" w:rsidR="00AA04B6" w:rsidRPr="002746DF" w:rsidRDefault="00C5669B">
      <w:r w:rsidRPr="002746DF">
        <w:br w:type="page"/>
      </w:r>
    </w:p>
    <w:p w14:paraId="1CDA7CE6" w14:textId="77777777" w:rsidR="00AA04B6" w:rsidRPr="002746DF" w:rsidRDefault="00C5669B">
      <w:pPr>
        <w:pStyle w:val="Heading1"/>
        <w:keepNext w:val="0"/>
        <w:keepLines w:val="0"/>
        <w:spacing w:before="360" w:after="80"/>
      </w:pPr>
      <w:bookmarkStart w:id="17" w:name="_Toc213497641"/>
      <w:r w:rsidRPr="002746DF">
        <w:lastRenderedPageBreak/>
        <w:t>4. Strategic Financial Restructuring Plan</w:t>
      </w:r>
      <w:bookmarkEnd w:id="17"/>
    </w:p>
    <w:p w14:paraId="04F64772" w14:textId="77777777" w:rsidR="00AA04B6" w:rsidRPr="002746DF" w:rsidRDefault="00C5669B">
      <w:pPr>
        <w:pStyle w:val="Heading2"/>
        <w:keepNext w:val="0"/>
        <w:keepLines w:val="0"/>
        <w:spacing w:before="280" w:after="80"/>
      </w:pPr>
      <w:bookmarkStart w:id="18" w:name="_Toc213497642"/>
      <w:r w:rsidRPr="002746DF">
        <w:t>4.1 Proposed Restructuring Options</w:t>
      </w:r>
      <w:bookmarkEnd w:id="18"/>
    </w:p>
    <w:p w14:paraId="771F8341" w14:textId="77777777" w:rsidR="00AA04B6" w:rsidRPr="002746DF" w:rsidRDefault="00C5669B">
      <w:pPr>
        <w:pStyle w:val="Heading3"/>
        <w:keepNext w:val="0"/>
        <w:keepLines w:val="0"/>
        <w:spacing w:before="240" w:after="40"/>
      </w:pPr>
      <w:bookmarkStart w:id="19" w:name="_Toc213497643"/>
      <w:r w:rsidRPr="002746DF">
        <w:t>4.1.1 Divestiture of Non-Core or Unprofitable Division</w:t>
      </w:r>
      <w:bookmarkEnd w:id="19"/>
    </w:p>
    <w:p w14:paraId="0EFB4037" w14:textId="77777777" w:rsidR="00AA04B6" w:rsidRPr="002746DF" w:rsidRDefault="00C5669B">
      <w:r w:rsidRPr="002746DF">
        <w:t>In the case of divestiture, business units that no longer support the core strategic goals of the company or are making persistent losses are sold or stopped. In General Electronics' case, this refers to the process of locating the product lines that are not performing. Especially those that are experiencing a decreasing market share or costly operations and dispose of them to release funds (Roberts et al., 2023). The cash flow used in divestitures may be allocated to decrease debt, increase liquidity, or invest in high-growth areas like smart devices, renewable energy electronics or artificial intelligence-enabled consumer technology. This would also enable operations to become easier and the management could concentrate on the areas that are profitable (Prince, 2024). Divestiture must however be well handled to ensure brand value is retained and a negative perception is not created in the market.</w:t>
      </w:r>
    </w:p>
    <w:p w14:paraId="57DB2B29" w14:textId="77777777" w:rsidR="00AA04B6" w:rsidRPr="002746DF" w:rsidRDefault="00C5669B">
      <w:pPr>
        <w:pStyle w:val="Heading3"/>
        <w:keepNext w:val="0"/>
        <w:keepLines w:val="0"/>
        <w:spacing w:before="240" w:after="40"/>
      </w:pPr>
      <w:bookmarkStart w:id="20" w:name="_Toc213497644"/>
      <w:r w:rsidRPr="002746DF">
        <w:t>4.1.2 Mergers, Strategic Alliances, or Acquisitions</w:t>
      </w:r>
      <w:bookmarkEnd w:id="20"/>
    </w:p>
    <w:p w14:paraId="0E13B20B" w14:textId="77777777" w:rsidR="00AA04B6" w:rsidRPr="002746DF" w:rsidRDefault="00C5669B">
      <w:r w:rsidRPr="002746DF">
        <w:t>Technology, supply chains, and reach are synergies that can be offered in mergers or strategic alliances. In the case of General Electronics, merging or collaborating with a company that has a powerful R&amp;D or penetrating the new market might expedite recovery. Innovation and manufacturing can also be shared through collaborations (Qiu, Zhang and Kong, 2024). Alternatively, focusing on niche technology companies may be used to foster competitiveness, and diversify revenue channels. Nevertheless, post-merger integration issues, the cultural disparity and short-term funding strains should be expected. Consequently, it should focus on the alliances or partial acquisitions that add up to already available competencies rather than complete mergers that cause a greater degree of financial risk in the context of recovery (Shonubi, 2025).</w:t>
      </w:r>
    </w:p>
    <w:p w14:paraId="24A203EC" w14:textId="77777777" w:rsidR="00AA04B6" w:rsidRPr="002746DF" w:rsidRDefault="00C5669B">
      <w:pPr>
        <w:pStyle w:val="Heading3"/>
        <w:keepNext w:val="0"/>
        <w:keepLines w:val="0"/>
        <w:spacing w:before="240" w:after="40"/>
      </w:pPr>
      <w:bookmarkStart w:id="21" w:name="_Toc213497645"/>
      <w:r w:rsidRPr="002746DF">
        <w:t>4.1.3 Equity Injection or Rights Issue</w:t>
      </w:r>
      <w:bookmarkEnd w:id="21"/>
    </w:p>
    <w:p w14:paraId="767D49DA" w14:textId="77777777" w:rsidR="00AA04B6" w:rsidRPr="002746DF" w:rsidRDefault="00C5669B">
      <w:r w:rsidRPr="002746DF">
        <w:t xml:space="preserve">A capital base would be enhanced by an equity injection in the form of a rights issue or a private placement which would lessen the reliance on debt financing. Providing the opportunity to existing shareholders to buy in a discounted form, new funds will be raised retaining the structure of ownership. This will promote liquidity, better debt to equity ratio, and reduced interest monetary </w:t>
      </w:r>
      <w:r w:rsidRPr="002746DF">
        <w:lastRenderedPageBreak/>
        <w:t>requirements. Furthermore, it is an indication of trust in the market in case it is carried out in a transparent manner and in line with a believable turnaround strategy (Hwa et al., 2024). Nevertheless, the watering down of current capital and the possible underpricing of stocks are the possible weaknesses. The debt repayment and improvement of working capital and investments of innovation should be the main purposes of the raised funds.</w:t>
      </w:r>
    </w:p>
    <w:p w14:paraId="3F871739" w14:textId="77777777" w:rsidR="00AA04B6" w:rsidRPr="002746DF" w:rsidRDefault="00C5669B">
      <w:pPr>
        <w:pStyle w:val="Heading3"/>
        <w:keepNext w:val="0"/>
        <w:keepLines w:val="0"/>
        <w:spacing w:before="240" w:after="40"/>
      </w:pPr>
      <w:bookmarkStart w:id="22" w:name="_Toc213497646"/>
      <w:r w:rsidRPr="002746DF">
        <w:t>4.1.4 Debt Refinancing</w:t>
      </w:r>
      <w:bookmarkEnd w:id="22"/>
    </w:p>
    <w:p w14:paraId="3C92B641" w14:textId="77777777" w:rsidR="00AA04B6" w:rsidRPr="002746DF" w:rsidRDefault="00C5669B">
      <w:r w:rsidRPr="002746DF">
        <w:t>Debt refinancing involves striking improved conditions of the debts, e.g. reduced rate of interest or increased time to repayment, to ease financial burden. Since the company has been experiencing an increasing debt-to-equity ratio and negative interest-to-equity, an immediate solution is to restructure long-term borrowings, which would increase the level of liquidity. The potential option of converting some of the debt into equity shares would equally reduce leverage and align the interests of creditors with the performance of the company (Financial Edge, 2024). Nevertheless, this kind of conversion has to be done very cautiously lest it results in over dilution or financial independence.</w:t>
      </w:r>
    </w:p>
    <w:p w14:paraId="6366BF91" w14:textId="77777777" w:rsidR="00AA04B6" w:rsidRPr="002746DF" w:rsidRDefault="00C5669B">
      <w:pPr>
        <w:pStyle w:val="Heading2"/>
        <w:keepNext w:val="0"/>
        <w:keepLines w:val="0"/>
        <w:spacing w:before="280" w:after="80"/>
      </w:pPr>
      <w:bookmarkStart w:id="23" w:name="_Toc213497647"/>
      <w:r w:rsidRPr="002746DF">
        <w:t>4.2 Impact Analysis</w:t>
      </w:r>
      <w:bookmarkEnd w:id="23"/>
    </w:p>
    <w:p w14:paraId="77D0035A" w14:textId="77777777" w:rsidR="00AA04B6" w:rsidRPr="002746DF" w:rsidRDefault="00C5669B">
      <w:pPr>
        <w:pStyle w:val="Heading3"/>
        <w:keepNext w:val="0"/>
        <w:keepLines w:val="0"/>
        <w:spacing w:before="240" w:after="40"/>
      </w:pPr>
      <w:bookmarkStart w:id="24" w:name="_Toc213497648"/>
      <w:r w:rsidRPr="002746DF">
        <w:t>4.2.1 Impact on Shareholder Value</w:t>
      </w:r>
      <w:bookmarkEnd w:id="24"/>
    </w:p>
    <w:p w14:paraId="021D8032" w14:textId="77777777" w:rsidR="00AA04B6" w:rsidRPr="002746DF" w:rsidRDefault="00C5669B">
      <w:r w:rsidRPr="002746DF">
        <w:t>One way of effective financial restructuring is that of impacting on shareholder value directly through reinstating profitability and market confidence. Divestitures and equity injections are indications of proactive management that will give investors more hope and share prices will become stable. An increase in the operational efficiency should strengthen the earnings per share (EPS) and the return on equity (ROE) of the company and positively impact such valuation ratios as the price-to-earnings (P/E) ratio (Anwar, 2022). But in the near-term, equity issues or debt-to-equity conversions can water down ownership and otherwise stifle dividends which can be off-putting to current investors. In the long term, high-profitability and balance sheets would improve the market capitalizations and long-term shareholder returns (Lu, 2025).</w:t>
      </w:r>
    </w:p>
    <w:p w14:paraId="40CBB23D" w14:textId="77777777" w:rsidR="00AA04B6" w:rsidRPr="002746DF" w:rsidRDefault="00C5669B">
      <w:r w:rsidRPr="002746DF">
        <w:br w:type="page"/>
      </w:r>
    </w:p>
    <w:p w14:paraId="6181B137" w14:textId="77777777" w:rsidR="00AA04B6" w:rsidRPr="002746DF" w:rsidRDefault="00C5669B">
      <w:pPr>
        <w:pStyle w:val="Heading3"/>
        <w:keepNext w:val="0"/>
        <w:keepLines w:val="0"/>
        <w:spacing w:before="240" w:after="40"/>
        <w:rPr>
          <w:lang w:val="en-IN"/>
        </w:rPr>
      </w:pPr>
      <w:bookmarkStart w:id="25" w:name="_Toc213497649"/>
      <w:r w:rsidRPr="002746DF">
        <w:lastRenderedPageBreak/>
        <w:t xml:space="preserve">4.2.2 Impact on </w:t>
      </w:r>
      <w:r w:rsidRPr="002746DF">
        <w:rPr>
          <w:lang w:val="en-IN"/>
        </w:rPr>
        <w:t>Debt Structure</w:t>
      </w:r>
      <w:bookmarkEnd w:id="25"/>
    </w:p>
    <w:p w14:paraId="477880C5" w14:textId="77777777" w:rsidR="00AA04B6" w:rsidRPr="002746DF" w:rsidRDefault="00C5669B">
      <w:r w:rsidRPr="002746DF">
        <w:t>Equity injections and debt refinancing are examples of some initiatives that are restructured and have an important impact on leverage ratios and the weighted average cost of capital (WACC). Equity financing results in reduction of high-interest debt leading to a reduction in the cost of capital and the ratio of interest coverage (Arhinful and Radmehr, 2023). A moderate balance of capital structure also boosts the credit rating and borrowing capability of the firm resulting in reduced future financing cost. Moreover, non-core asset disposal and reinvestment of the dividends in debt repayment transfer minimizes financial risk and enhances solvency. Nevertheless, over dependence on equity will reduce tax shields and slightly increase WACC. Thus, the optimum debt-equity ratio is needed to balance the need to be financially flexible and to reduce the total capital expenses (ACCA, 2025).</w:t>
      </w:r>
    </w:p>
    <w:p w14:paraId="74F0CDB8" w14:textId="77777777" w:rsidR="00AA04B6" w:rsidRPr="002746DF" w:rsidRDefault="00C5669B">
      <w:pPr>
        <w:pStyle w:val="Heading3"/>
        <w:keepNext w:val="0"/>
        <w:keepLines w:val="0"/>
        <w:spacing w:before="240" w:after="40"/>
      </w:pPr>
      <w:bookmarkStart w:id="26" w:name="_Toc213497650"/>
      <w:r w:rsidRPr="002746DF">
        <w:t>4.2.3 Impact on Operational Flexibility and Profitability</w:t>
      </w:r>
      <w:bookmarkEnd w:id="26"/>
    </w:p>
    <w:p w14:paraId="551108F9" w14:textId="77777777" w:rsidR="00AA04B6" w:rsidRPr="002746DF" w:rsidRDefault="00C5669B">
      <w:r w:rsidRPr="002746DF">
        <w:t>The operational flexibility increases as the debt pressures are reduced, which means that the management can concentrate on innovation and growth, and not on debt services. Divestitures get rid of non-performing divisions, enhancing operational efficiency and cash flow management. Strategic alliances and mergers can bring about economies of scale and spread the market more and hence improve the profit margins. Equity infusion and restructuring of the debt also liberate the working capital allowing it to be reinvested in R&amp;D and product diversification (Bhardwaj, 2025). Nevertheless, after restructuring, the issue of operational coherence has to be guaranteed by the company to avoid misallocation of resources. These measures ought to be able to rebuild profitability, stabilize company earnings, and enhance the global competitiveness of the company in the long term.</w:t>
      </w:r>
    </w:p>
    <w:p w14:paraId="09921F7D" w14:textId="77777777" w:rsidR="00AA04B6" w:rsidRPr="002746DF" w:rsidRDefault="00C5669B">
      <w:pPr>
        <w:pStyle w:val="Heading2"/>
        <w:keepNext w:val="0"/>
        <w:keepLines w:val="0"/>
        <w:spacing w:before="280" w:after="80"/>
      </w:pPr>
      <w:bookmarkStart w:id="27" w:name="_Toc213497651"/>
      <w:r w:rsidRPr="002746DF">
        <w:t>4.3 International and Ethical Considerations</w:t>
      </w:r>
      <w:bookmarkEnd w:id="27"/>
    </w:p>
    <w:p w14:paraId="59CE7EA2" w14:textId="44E63113" w:rsidR="00EB4D2B" w:rsidRPr="002746DF" w:rsidRDefault="00EB4D2B" w:rsidP="00EB4D2B">
      <w:pPr>
        <w:rPr>
          <w:b/>
          <w:bCs/>
          <w:i/>
          <w:iCs/>
        </w:rPr>
      </w:pPr>
      <w:r w:rsidRPr="002746DF">
        <w:rPr>
          <w:b/>
          <w:bCs/>
          <w:i/>
          <w:iCs/>
        </w:rPr>
        <w:t>International Considerations</w:t>
      </w:r>
    </w:p>
    <w:p w14:paraId="5C46EA1A" w14:textId="77777777" w:rsidR="005D7C84" w:rsidRPr="002746DF" w:rsidRDefault="005D7C84" w:rsidP="005D7C84">
      <w:pPr>
        <w:pStyle w:val="ListParagraph"/>
        <w:numPr>
          <w:ilvl w:val="0"/>
          <w:numId w:val="1"/>
        </w:numPr>
      </w:pPr>
      <w:r w:rsidRPr="002746DF">
        <w:t>When General Electronics introduces financial restructuring, it has to pay attention to the major international and ethical issues.</w:t>
      </w:r>
    </w:p>
    <w:p w14:paraId="278FD092" w14:textId="77777777" w:rsidR="005D7C84" w:rsidRPr="002746DF" w:rsidRDefault="005D7C84" w:rsidP="005D7C84">
      <w:pPr>
        <w:pStyle w:val="ListParagraph"/>
        <w:numPr>
          <w:ilvl w:val="0"/>
          <w:numId w:val="1"/>
        </w:numPr>
      </w:pPr>
      <w:r w:rsidRPr="002746DF">
        <w:t>As a multinational company, it is susceptible to currency exposure, cross-border taxation and also, inflation and therefore, cash flow and capital repatriation is susceptible to changes.</w:t>
      </w:r>
    </w:p>
    <w:p w14:paraId="534144CF" w14:textId="77777777" w:rsidR="005D7C84" w:rsidRPr="002746DF" w:rsidRDefault="005D7C84" w:rsidP="005D7C84">
      <w:pPr>
        <w:pStyle w:val="ListParagraph"/>
        <w:numPr>
          <w:ilvl w:val="0"/>
          <w:numId w:val="1"/>
        </w:numPr>
      </w:pPr>
      <w:r w:rsidRPr="002746DF">
        <w:lastRenderedPageBreak/>
        <w:t>The exchange rate risks in the region where the currency is volatile should be removed through the assistance of the forward contracts and hedging methods (Hammad, Khasawneh and Nobanee, 2024).</w:t>
      </w:r>
    </w:p>
    <w:p w14:paraId="09F995E4" w14:textId="77777777" w:rsidR="005D7C84" w:rsidRPr="002746DF" w:rsidRDefault="005D7C84" w:rsidP="005D7C84">
      <w:pPr>
        <w:pStyle w:val="ListParagraph"/>
        <w:numPr>
          <w:ilvl w:val="0"/>
          <w:numId w:val="1"/>
        </w:numPr>
      </w:pPr>
      <w:r w:rsidRPr="002746DF">
        <w:t>Furthermore, it is necessary to make the reorganization decision based on the local and international taxation system to prevent the legal problems and unfavorable reputation.</w:t>
      </w:r>
    </w:p>
    <w:p w14:paraId="4C71D292" w14:textId="46F7F364" w:rsidR="005D7C84" w:rsidRPr="002746DF" w:rsidRDefault="005D7C84" w:rsidP="005D7C84">
      <w:pPr>
        <w:pStyle w:val="ListParagraph"/>
        <w:numPr>
          <w:ilvl w:val="0"/>
          <w:numId w:val="1"/>
        </w:numPr>
      </w:pPr>
      <w:r w:rsidRPr="002746DF">
        <w:t>The disclosures of money should be made transparent to ensure that the investor confidence is not undermined and that there should be a regulatory adherence in the markets.</w:t>
      </w:r>
    </w:p>
    <w:p w14:paraId="5E5AABE2" w14:textId="3FB2E116" w:rsidR="00EB4D2B" w:rsidRPr="002746DF" w:rsidRDefault="00EB4D2B">
      <w:pPr>
        <w:rPr>
          <w:b/>
          <w:bCs/>
          <w:i/>
          <w:iCs/>
        </w:rPr>
      </w:pPr>
      <w:r w:rsidRPr="002746DF">
        <w:rPr>
          <w:b/>
          <w:bCs/>
          <w:i/>
          <w:iCs/>
        </w:rPr>
        <w:t>Ethical Considerations</w:t>
      </w:r>
    </w:p>
    <w:p w14:paraId="562AC47A" w14:textId="77777777" w:rsidR="005D7C84" w:rsidRPr="002746DF" w:rsidRDefault="005D7C84" w:rsidP="005D7C84">
      <w:pPr>
        <w:pStyle w:val="ListParagraph"/>
        <w:numPr>
          <w:ilvl w:val="0"/>
          <w:numId w:val="2"/>
        </w:numPr>
      </w:pPr>
      <w:r w:rsidRPr="002746DF">
        <w:t>On an ethical note, the company must ensure that restructuring must not favor the disadvantaged employees, suppliers and communities.</w:t>
      </w:r>
    </w:p>
    <w:p w14:paraId="41C06F56" w14:textId="77777777" w:rsidR="005D7C84" w:rsidRPr="002746DF" w:rsidRDefault="005D7C84" w:rsidP="005D7C84">
      <w:pPr>
        <w:pStyle w:val="ListParagraph"/>
        <w:numPr>
          <w:ilvl w:val="0"/>
          <w:numId w:val="2"/>
        </w:numPr>
      </w:pPr>
      <w:r w:rsidRPr="002746DF">
        <w:t>In the situation when the workforce reduction becomes inevitable, downsizing should be conducted in a responsible way, by ensuring that the downsizing employees are paid appropriately and retraining them.</w:t>
      </w:r>
    </w:p>
    <w:p w14:paraId="0E7C091E" w14:textId="77777777" w:rsidR="005D7C84" w:rsidRPr="002746DF" w:rsidRDefault="005D7C84" w:rsidP="005D7C84">
      <w:pPr>
        <w:pStyle w:val="ListParagraph"/>
        <w:numPr>
          <w:ilvl w:val="0"/>
          <w:numId w:val="2"/>
        </w:numPr>
      </w:pPr>
      <w:r w:rsidRPr="002746DF">
        <w:t>These decisions should also be arrived at based on the Corporate Social Responsibility (CSR), which promotes the sustainability and interests of the stakeholders (Awa, Etim and Ogbonda, 2024).</w:t>
      </w:r>
    </w:p>
    <w:p w14:paraId="2423D34E" w14:textId="47767354" w:rsidR="00AA04B6" w:rsidRPr="002746DF" w:rsidRDefault="005D7C84" w:rsidP="005D7C84">
      <w:pPr>
        <w:pStyle w:val="ListParagraph"/>
        <w:numPr>
          <w:ilvl w:val="0"/>
          <w:numId w:val="2"/>
        </w:numPr>
      </w:pPr>
      <w:r w:rsidRPr="002746DF">
        <w:t>The eco-friendly and ethical sourcing of assets divestitures are to be preserved. Ethical and professional actions towards restructuring will not only salvage the corporate image, but will also play a role in ensuring the trust of all stakeholders in the long term and also help the global brand to withstand.</w:t>
      </w:r>
    </w:p>
    <w:p w14:paraId="0D6E1AC6" w14:textId="77777777" w:rsidR="00AA04B6" w:rsidRPr="002746DF" w:rsidRDefault="00C5669B">
      <w:pPr>
        <w:pStyle w:val="Heading1"/>
        <w:keepNext w:val="0"/>
        <w:keepLines w:val="0"/>
        <w:spacing w:before="360" w:after="80"/>
      </w:pPr>
      <w:bookmarkStart w:id="28" w:name="_Toc213497652"/>
      <w:r w:rsidRPr="002746DF">
        <w:t>5. Investment Appraisal and Capital Budgeting</w:t>
      </w:r>
      <w:bookmarkEnd w:id="28"/>
    </w:p>
    <w:p w14:paraId="5405E3B0" w14:textId="77777777" w:rsidR="00AA04B6" w:rsidRPr="002746DF" w:rsidRDefault="00C5669B">
      <w:pPr>
        <w:pStyle w:val="Heading2"/>
        <w:keepNext w:val="0"/>
        <w:keepLines w:val="0"/>
        <w:spacing w:before="280" w:after="80"/>
      </w:pPr>
      <w:bookmarkStart w:id="29" w:name="_Toc213497653"/>
      <w:r w:rsidRPr="002746DF">
        <w:t>5.1 Overview of Proposed Investment Projects</w:t>
      </w:r>
      <w:bookmarkEnd w:id="29"/>
    </w:p>
    <w:p w14:paraId="00FCB4E7" w14:textId="77777777" w:rsidR="00AA04B6" w:rsidRPr="002746DF" w:rsidRDefault="00C5669B">
      <w:r w:rsidRPr="002746DF">
        <w:t xml:space="preserve">General Electronics is reviewing three suggested investment projects, namely, A, B and C to identify the most viable one in terms of finance within a capital rationing threshold of 60 million pounds. Every project contains dissimilar cash flow patterns, risk exposures and investment levels. Project A has a total cost of £40 million, and the returns to the investment are moderate and steady; Project B costs are lower (30 million) and provide more consistent returns; and Project C has an upside potential of high as well as a risk level that is higher (initially 50 million). Employing capital </w:t>
      </w:r>
      <w:r w:rsidRPr="002746DF">
        <w:lastRenderedPageBreak/>
        <w:t>budgeting tools including Payback Period (PBP), Accounting Rate of Return (ARR), Net Present Value (NPV), Profitability Index (PI), and Internal Rate of Return (IRR) is a certainty of evidence-based decision-making.</w:t>
      </w:r>
    </w:p>
    <w:p w14:paraId="79B4ACD9" w14:textId="77777777" w:rsidR="00AA04B6" w:rsidRPr="002746DF" w:rsidRDefault="00C5669B">
      <w:pPr>
        <w:pStyle w:val="Heading2"/>
        <w:keepNext w:val="0"/>
        <w:keepLines w:val="0"/>
        <w:spacing w:before="280" w:after="80"/>
      </w:pPr>
      <w:bookmarkStart w:id="30" w:name="_Toc213497654"/>
      <w:r w:rsidRPr="002746DF">
        <w:t>5.2 Financial Evaluation Techniques</w:t>
      </w:r>
      <w:bookmarkEnd w:id="30"/>
    </w:p>
    <w:p w14:paraId="2358041C" w14:textId="77777777" w:rsidR="00AA04B6" w:rsidRPr="002746DF" w:rsidRDefault="00C5669B">
      <w:pPr>
        <w:pStyle w:val="Heading3"/>
        <w:keepNext w:val="0"/>
        <w:keepLines w:val="0"/>
        <w:spacing w:before="240" w:after="40"/>
      </w:pPr>
      <w:bookmarkStart w:id="31" w:name="_Toc213497655"/>
      <w:r w:rsidRPr="002746DF">
        <w:t>5.2.1 Payback Period (PBP)</w:t>
      </w:r>
      <w:bookmarkEnd w:id="31"/>
    </w:p>
    <w:p w14:paraId="02A26E2F" w14:textId="77777777" w:rsidR="00AA04B6" w:rsidRPr="002746DF" w:rsidRDefault="00C5669B">
      <w:pPr>
        <w:jc w:val="center"/>
      </w:pPr>
      <w:r w:rsidRPr="002746DF">
        <w:rPr>
          <w:noProof/>
          <w:lang w:val="en-US"/>
        </w:rPr>
        <w:drawing>
          <wp:inline distT="0" distB="0" distL="0" distR="0" wp14:anchorId="3D115CF0" wp14:editId="5E2725B9">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C69A38B" w14:textId="77777777" w:rsidR="00AA04B6" w:rsidRPr="002746DF" w:rsidRDefault="00C5669B">
      <w:pPr>
        <w:jc w:val="center"/>
        <w:rPr>
          <w:b/>
        </w:rPr>
      </w:pPr>
      <w:r w:rsidRPr="002746DF">
        <w:rPr>
          <w:b/>
        </w:rPr>
        <w:t>Figure 12: Payback Period (PBP)</w:t>
      </w:r>
    </w:p>
    <w:p w14:paraId="6BB3D440" w14:textId="77777777" w:rsidR="00AA04B6" w:rsidRPr="002746DF" w:rsidRDefault="00C5669B">
      <w:r w:rsidRPr="002746DF">
        <w:t>The payback period analysis determines the speed at which individual projects will cover its initial investment in terms of the cumulative cash inflows (Huang, 2023). Project A is at a payback period of 3.4 years, which implies a comparatively rapid payback and average liquidity premium. Project B, which has a payback of 5 years, pays the investment back slowest, which expresses (less annual returns) and greater risk despite being subject to capital rationing. In project C, the payback period is 3.6 years old, which is not as long as project A, but has better yearly cash flows in the later years. Overall, Project A gives the shortest time to recover capital, and Project C has more opportunities of profitability in the long term. Project B, on the other hand, demonstrates poor liquidity attractiveness and capital utilization efficiency and hence is the least favorable choice in terms of payback performance.</w:t>
      </w:r>
    </w:p>
    <w:p w14:paraId="6CE29A67" w14:textId="77777777" w:rsidR="00AA04B6" w:rsidRPr="002746DF" w:rsidRDefault="00C5669B">
      <w:pPr>
        <w:pStyle w:val="Heading3"/>
        <w:keepNext w:val="0"/>
        <w:keepLines w:val="0"/>
        <w:spacing w:before="240" w:after="40"/>
      </w:pPr>
      <w:bookmarkStart w:id="32" w:name="_Toc213497656"/>
      <w:r w:rsidRPr="002746DF">
        <w:t>5.2.2 Accounting Rate of Return (ARR)</w:t>
      </w:r>
      <w:bookmarkEnd w:id="32"/>
    </w:p>
    <w:p w14:paraId="4C4A44B3" w14:textId="77777777" w:rsidR="00AA04B6" w:rsidRPr="002746DF" w:rsidRDefault="00C5669B">
      <w:pPr>
        <w:jc w:val="center"/>
      </w:pPr>
      <w:r w:rsidRPr="002746DF">
        <w:rPr>
          <w:noProof/>
          <w:lang w:val="en-US"/>
        </w:rPr>
        <w:lastRenderedPageBreak/>
        <w:drawing>
          <wp:inline distT="0" distB="0" distL="0" distR="0" wp14:anchorId="1EDF0F70" wp14:editId="6E5FFE5F">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83A546D" w14:textId="77777777" w:rsidR="00AA04B6" w:rsidRPr="002746DF" w:rsidRDefault="00C5669B">
      <w:pPr>
        <w:jc w:val="center"/>
        <w:rPr>
          <w:b/>
        </w:rPr>
      </w:pPr>
      <w:r w:rsidRPr="002746DF">
        <w:rPr>
          <w:b/>
        </w:rPr>
        <w:t>Figure 13: Accounting Rate of Return (ARR)</w:t>
      </w:r>
    </w:p>
    <w:p w14:paraId="50C5CBCA" w14:textId="77777777" w:rsidR="00AA04B6" w:rsidRPr="002746DF" w:rsidRDefault="00C5669B">
      <w:r w:rsidRPr="002746DF">
        <w:t>The analysis of the Accounting Rate of Return (ARR) is based on the evaluation of the profitability estimating the difference between the average annual accounting profit and the initial investment in the asset (Vipond, 2025). Project A provides the value of 7per cent of ARR of moderately high profitability and efficient use of assets with the taking of depreciation. Project B on the other hand gives a zero ARR, equivalent to no accounting profit and so creating returns will be just enough to cover the depreciation, not create further value. Project C is the project with the largest ARR of 10 that demonstrates the most promising chances to increase the profitability and improve the long-run returns. These findings reveal that Project C has the best investment opportunity as it produces a high profit margin in terms of profit as compared to capital invested. Project A continues to stay as the possible second alternative whereas Project B cannot be promoted by the fact that it is unprofitable and has minimal contribution to shareholder value.</w:t>
      </w:r>
    </w:p>
    <w:p w14:paraId="4F27D754" w14:textId="77777777" w:rsidR="00AA04B6" w:rsidRPr="002746DF" w:rsidRDefault="00C5669B">
      <w:pPr>
        <w:pStyle w:val="Heading3"/>
        <w:keepNext w:val="0"/>
        <w:keepLines w:val="0"/>
        <w:spacing w:before="240" w:after="40"/>
      </w:pPr>
      <w:bookmarkStart w:id="33" w:name="_Toc213497657"/>
      <w:r w:rsidRPr="002746DF">
        <w:t>5.2.3 Net Present Value (NPV)</w:t>
      </w:r>
      <w:bookmarkEnd w:id="33"/>
    </w:p>
    <w:p w14:paraId="467C8E47" w14:textId="77777777" w:rsidR="00AA04B6" w:rsidRPr="002746DF" w:rsidRDefault="00C5669B">
      <w:pPr>
        <w:jc w:val="center"/>
      </w:pPr>
      <w:r w:rsidRPr="002746DF">
        <w:rPr>
          <w:noProof/>
          <w:lang w:val="en-US"/>
        </w:rPr>
        <w:lastRenderedPageBreak/>
        <w:drawing>
          <wp:inline distT="0" distB="0" distL="0" distR="0" wp14:anchorId="73AE75AC" wp14:editId="06E54EBC">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36B0EB0" w14:textId="77777777" w:rsidR="00AA04B6" w:rsidRPr="002746DF" w:rsidRDefault="00C5669B">
      <w:pPr>
        <w:jc w:val="center"/>
        <w:rPr>
          <w:b/>
        </w:rPr>
      </w:pPr>
      <w:r w:rsidRPr="002746DF">
        <w:rPr>
          <w:b/>
        </w:rPr>
        <w:t>Figure 14: Net Present Value (NPV)</w:t>
      </w:r>
    </w:p>
    <w:p w14:paraId="2D1F480F" w14:textId="77777777" w:rsidR="00AA04B6" w:rsidRPr="002746DF" w:rsidRDefault="00C5669B">
      <w:r w:rsidRPr="002746DF">
        <w:t>In the Net Present Value (NPV) analysis, the profitability of each project is measured with the potential of discounting future cash inflows at a 10 percent rate (Dobrowolski and Drozdowski, 2022). Project A has a positive NPV of £1.32 million implying a low, yet satisfactory, return over the cost of capital. Project B has a negative NPV of-£7.26 million indicating that the discounted cash inflows do not cover up the initial investment of a project and thereby project B is financially not viable. Project C has the greatest NPV of 4.23 million underlining the high profitability during the project and value creation. According to NPV, Project C will provide the most attractive investment opportunity though Project A will be an additional but satisfactory alternative. This project B is not worth keeping because it will lower shareholder value and not yield the expectations of what is required in terms of returning value.</w:t>
      </w:r>
    </w:p>
    <w:p w14:paraId="241C444A" w14:textId="77777777" w:rsidR="00AA04B6" w:rsidRPr="002746DF" w:rsidRDefault="00C5669B">
      <w:pPr>
        <w:pStyle w:val="Heading3"/>
        <w:keepNext w:val="0"/>
        <w:keepLines w:val="0"/>
        <w:spacing w:before="240" w:after="40"/>
      </w:pPr>
      <w:bookmarkStart w:id="34" w:name="_Toc213497658"/>
      <w:r w:rsidRPr="002746DF">
        <w:t>5.2.4 Profitability Index (PI)</w:t>
      </w:r>
      <w:bookmarkEnd w:id="34"/>
    </w:p>
    <w:p w14:paraId="6B748061" w14:textId="77777777" w:rsidR="00AA04B6" w:rsidRPr="002746DF" w:rsidRDefault="00C5669B">
      <w:pPr>
        <w:jc w:val="center"/>
      </w:pPr>
      <w:r w:rsidRPr="002746DF">
        <w:rPr>
          <w:noProof/>
          <w:lang w:val="en-US"/>
        </w:rPr>
        <w:lastRenderedPageBreak/>
        <w:drawing>
          <wp:inline distT="0" distB="0" distL="0" distR="0" wp14:anchorId="260A3088" wp14:editId="6FF487A7">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F6DFD99" w14:textId="77777777" w:rsidR="00AA04B6" w:rsidRPr="002746DF" w:rsidRDefault="00C5669B">
      <w:pPr>
        <w:jc w:val="center"/>
        <w:rPr>
          <w:b/>
        </w:rPr>
      </w:pPr>
      <w:r w:rsidRPr="002746DF">
        <w:rPr>
          <w:b/>
        </w:rPr>
        <w:t>Figure 15: Profitability Index (PI)</w:t>
      </w:r>
    </w:p>
    <w:p w14:paraId="69A6DA3B" w14:textId="77777777" w:rsidR="00AA04B6" w:rsidRPr="002746DF" w:rsidRDefault="00C5669B">
      <w:r w:rsidRPr="002746DF">
        <w:t>Profitability Index (PI) is used to determine the comparative profitability of both the projects by comparing the discounted inflows to the original capital (Rong, 2023). A ratio above 1 means value creation. In Project A, PI is 1.03, which means that its profits are relatively modest and it makes a small increment over its cost. Project B describes the least PI of 0.76, i.e. the discounted inflows of the project are not enough to compensate for the investment and this is financially unattractive. Project C has the best PI of 1.08, which indicates a good value generation and good utilisation of capital. Under this criterion Project C would give the most profitable payback on the dollar invested after which comes Project A and Project B is to be disqualified because of the failure to achieve the minimum profitability cutoff.</w:t>
      </w:r>
    </w:p>
    <w:p w14:paraId="410EE8D1" w14:textId="77777777" w:rsidR="00AA04B6" w:rsidRPr="002746DF" w:rsidRDefault="00C5669B">
      <w:pPr>
        <w:pStyle w:val="Heading3"/>
        <w:keepNext w:val="0"/>
        <w:keepLines w:val="0"/>
        <w:spacing w:before="240" w:after="40"/>
      </w:pPr>
      <w:bookmarkStart w:id="35" w:name="_Toc213497659"/>
      <w:r w:rsidRPr="002746DF">
        <w:t>5.2.5 Internal Rate of Return (IRR)</w:t>
      </w:r>
      <w:bookmarkEnd w:id="35"/>
    </w:p>
    <w:p w14:paraId="74067C87" w14:textId="77777777" w:rsidR="00AA04B6" w:rsidRPr="002746DF" w:rsidRDefault="00C5669B">
      <w:pPr>
        <w:jc w:val="center"/>
      </w:pPr>
      <w:r w:rsidRPr="002746DF">
        <w:rPr>
          <w:noProof/>
          <w:lang w:val="en-US"/>
        </w:rPr>
        <w:lastRenderedPageBreak/>
        <w:drawing>
          <wp:inline distT="0" distB="0" distL="0" distR="0" wp14:anchorId="1304FEFE" wp14:editId="41B70A59">
            <wp:extent cx="4572000" cy="27432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7E448BF" w14:textId="77777777" w:rsidR="00AA04B6" w:rsidRPr="002746DF" w:rsidRDefault="00C5669B">
      <w:pPr>
        <w:jc w:val="center"/>
        <w:rPr>
          <w:b/>
        </w:rPr>
      </w:pPr>
      <w:r w:rsidRPr="002746DF">
        <w:rPr>
          <w:b/>
        </w:rPr>
        <w:t>Figure 16: Internal Rate of Return (IRR)</w:t>
      </w:r>
    </w:p>
    <w:p w14:paraId="4BC78B0C" w14:textId="77777777" w:rsidR="00AA04B6" w:rsidRPr="002746DF" w:rsidRDefault="00C5669B">
      <w:r w:rsidRPr="002746DF">
        <w:t>The Internal Rate of Return (IRR) assesses the projected percent returns of a particular project meaning the discount level at which the NPV of that specific project will be zero (Corporate Finance Institute, 2025). Project A is expected to have a 11 percent IRR which is slightly higher than the 10 percent cost of capital indicating low, yet respectable profitability. Project B reports an IRR of zero which shows that its incoming cash flows are only able to recoup the initial investment but nothing beyond that, i.e. it is not financially feasible. Project C, which has the highest IRR of 13 will offer the greatest potential of the project which is well beyond the required rate of return by the company and the ultimate value creation is high. Thus, the most negative development is Project C, which is the most appealing investment; Project A is relatively acceptable, and Project B ought not to be accepted since it does not reach the minimum standard of the performance at the company.</w:t>
      </w:r>
    </w:p>
    <w:p w14:paraId="412E2606" w14:textId="77777777" w:rsidR="00AA04B6" w:rsidRPr="002746DF" w:rsidRDefault="00C5669B">
      <w:pPr>
        <w:pStyle w:val="Heading2"/>
        <w:keepNext w:val="0"/>
        <w:keepLines w:val="0"/>
        <w:spacing w:before="280" w:after="80"/>
      </w:pPr>
      <w:bookmarkStart w:id="36" w:name="_Toc213497660"/>
      <w:r w:rsidRPr="002746DF">
        <w:t>5.3 Capital Rationing and Project Selection</w:t>
      </w:r>
      <w:bookmarkEnd w:id="36"/>
    </w:p>
    <w:p w14:paraId="227585C7" w14:textId="77777777" w:rsidR="00AA04B6" w:rsidRPr="002746DF" w:rsidRDefault="00C5669B">
      <w:r w:rsidRPr="002746DF">
        <w:t>Within the capital rationing, General Electronics is restricted to an optimum investment of capital of 60 million pounds which should be effectively utilized to the maximum realization of the shareholder value by investing money in projects which would bring such returns. According to the financial analysis (NPV, IRR, ARR, PI, and Payback Period) every project has varying returns and risk.</w:t>
      </w:r>
    </w:p>
    <w:p w14:paraId="1199F5B8" w14:textId="77777777" w:rsidR="00AA04B6" w:rsidRPr="002746DF" w:rsidRDefault="00C5669B">
      <w:r w:rsidRPr="002746DF">
        <w:lastRenderedPageBreak/>
        <w:t>Project A has an investment of 40 million pounds and NPV of 1.32 million (positive value) which has an IRR of 11, PI (1.03) and payback period (3.4years) and is coming with moderate profitability and acceptable risk. In project B, the amount of investment is 30 million pounds, the NPV is negative ( -7.26 million) and PI is 0.76, indicating the destruction of value, and lack of prospects of high returns. Project C would gain the best NPV (£4.23 million), IRR (13 percent), and PI (1.08) as it has demonstrated excellent profitability over the long run and utilization of capital (Fiveable, 2025).</w:t>
      </w:r>
    </w:p>
    <w:p w14:paraId="5A743FD3" w14:textId="77777777" w:rsidR="00AA04B6" w:rsidRPr="002746DF" w:rsidRDefault="00C5669B">
      <w:r w:rsidRPr="002746DF">
        <w:t>The constraint of the company under the 60 million limit implies that the company cannot finance all three projects. Project A and Project C would be the most efficient one, as they consume 90 million pounds, which is more than the budget. Hence, the criteria used in selection should focus on the best NPV/lbs. of money. On a comparison on returns, Project C has a better profitability statement and value creation compared to Project A. Nonetheless, in an event where the management is interested in risk diversification, Project A would be complementary to Project C by financing it in phases or infusion of external equity.</w:t>
      </w:r>
    </w:p>
    <w:p w14:paraId="38C17365" w14:textId="77777777" w:rsidR="00AA04B6" w:rsidRPr="002746DF" w:rsidRDefault="00C5669B">
      <w:r w:rsidRPr="002746DF">
        <w:t>Conflict of interest and pressure-stricken rationing: Project C should only be chosen, however, because it is financially beneficial and it follows the strategic interests of expanding and gaining market competitiveness.</w:t>
      </w:r>
    </w:p>
    <w:p w14:paraId="7074B930" w14:textId="77777777" w:rsidR="00AA04B6" w:rsidRPr="002746DF" w:rsidRDefault="00C5669B">
      <w:pPr>
        <w:pStyle w:val="Heading2"/>
        <w:keepNext w:val="0"/>
        <w:keepLines w:val="0"/>
        <w:spacing w:before="280" w:after="80"/>
      </w:pPr>
      <w:bookmarkStart w:id="37" w:name="_Toc213497661"/>
      <w:r w:rsidRPr="002746DF">
        <w:t>5.4 Final Investment Recommendation and Strategic Fit</w:t>
      </w:r>
      <w:bookmarkEnd w:id="37"/>
    </w:p>
    <w:p w14:paraId="48F15BED" w14:textId="77777777" w:rsidR="00AA04B6" w:rsidRPr="002746DF" w:rsidRDefault="00C5669B">
      <w:r w:rsidRPr="002746DF">
        <w:t>Upon considering all the capital budgeting indicators and financial restrictions, Project C is the best investment decision to take General Electronics. It produces the best NPV and IRR, high profitability index and the best long-term cash inflows, which is an indication of a good financial and strategic performance. This project will be consistent with the company turnaround objectives because it helps in strengthening the future revenue streams, attaining increased operational capacity and aiding technological innovation in high growth product segments (Daraojimba et al., 2023).</w:t>
      </w:r>
    </w:p>
    <w:p w14:paraId="6E6065BE" w14:textId="77777777" w:rsidR="00AA04B6" w:rsidRPr="002746DF" w:rsidRDefault="00C5669B">
      <w:r w:rsidRPr="002746DF">
        <w:t>To scale up, the monetization of Project C will enrich the restructuring process of the company and will cause long-term profitability and competitive rejuvenation. With Project C, General Electronics would be able to restore investor confidence in the company, maximize resources, and be in a position to recover the market in the long run and worldwide opportunities.</w:t>
      </w:r>
    </w:p>
    <w:p w14:paraId="032C1147" w14:textId="77777777" w:rsidR="00532AA2" w:rsidRPr="002746DF" w:rsidRDefault="00532AA2">
      <w:r w:rsidRPr="002746DF">
        <w:lastRenderedPageBreak/>
        <w:t xml:space="preserve"> Project C will be a good strategic fit in the overall corporate transformation agenda of General electronics. Its diversified pattern of cash flow, which increases largely in later years, have encouraged the long-term liquidity and recovery objectives of the firm and it has advanced the opportunity to reinvest in innovation and going digital (Fiveable, 2025). The high consumer technology products targeted by the project also coincide with the new market conditions and the changing demand inclination of consumers towards intelligent and energy-efficient appliances. Project C, further, presents a possibility of streamlining the supply chain, cost reduction via economies of scale and a potential to enter into partnerships all over the globe. An increase in operational margins and brand positioning that will be possible is expected to help in regaining market competitiveness. In general, Project C is not only financial returns maximising but also enhances strategic resilience, technological progress and sustainable value creation among the shareholders, the prosperity of General Electronics will take a successful leap to recovery and expansion among the global electronics industries.</w:t>
      </w:r>
    </w:p>
    <w:p w14:paraId="4C9F8FF5" w14:textId="77777777" w:rsidR="00AA04B6" w:rsidRPr="002746DF" w:rsidRDefault="00C5669B">
      <w:pPr>
        <w:pStyle w:val="Heading1"/>
        <w:keepNext w:val="0"/>
        <w:keepLines w:val="0"/>
        <w:spacing w:before="360" w:after="80"/>
      </w:pPr>
      <w:bookmarkStart w:id="38" w:name="_Toc213497662"/>
      <w:r w:rsidRPr="002746DF">
        <w:t>6. Conclusion</w:t>
      </w:r>
      <w:bookmarkEnd w:id="38"/>
    </w:p>
    <w:p w14:paraId="20628891" w14:textId="77777777" w:rsidR="00AA04B6" w:rsidRPr="002746DF" w:rsidRDefault="00C5669B">
      <w:r w:rsidRPr="002746DF">
        <w:t>The financial analysis of General Electronics shows that the company is facing negative profitability growth, small asset growth and significant increase in leverage and therefore, urgent strategic turnaround is needed. The ratio analysis reveals poor liquidity, diminishing efficiency, and the negative returns, whereas the Altman Z-Score puts the company in the intermediate grey area of financial distress. But, its average working capital and stable asset base has room to recover due to restructuring. The strategic financial perspective focuses on decreasing the debt, controlling the costs, and redistributing the funds to profitable areas. Project C presents the best NPV (£4.23m), IRR (13%), and profitability ratio (1.08) and is, therefore, the most viable considering the limit of capital considered is not more than £60 million. In the future, financial restructuring, effective working capital and ethical international operations should be given priority by the company. General Electronics can turn around and attain long term sustainable growth by implementing Project C and regaining financial discipline, and reviving investor confidence.</w:t>
      </w:r>
      <w:r w:rsidRPr="002746DF">
        <w:br w:type="page"/>
      </w:r>
    </w:p>
    <w:p w14:paraId="7F1DF5FE" w14:textId="77777777" w:rsidR="00AA04B6" w:rsidRPr="002746DF" w:rsidRDefault="00C5669B">
      <w:pPr>
        <w:pStyle w:val="Heading1"/>
      </w:pPr>
      <w:bookmarkStart w:id="39" w:name="_Toc213497663"/>
      <w:r w:rsidRPr="002746DF">
        <w:lastRenderedPageBreak/>
        <w:t>Reference List</w:t>
      </w:r>
      <w:bookmarkEnd w:id="39"/>
    </w:p>
    <w:p w14:paraId="3B7310E0" w14:textId="77777777" w:rsidR="00AA04B6" w:rsidRPr="002746DF" w:rsidRDefault="00C5669B">
      <w:pPr>
        <w:spacing w:after="240"/>
      </w:pPr>
      <w:r w:rsidRPr="002746DF">
        <w:t xml:space="preserve">ACCA (2025). </w:t>
      </w:r>
      <w:r w:rsidRPr="002746DF">
        <w:rPr>
          <w:i/>
        </w:rPr>
        <w:t>Optimum capital structure | F9 Financial Management | ACCA Qualification | Students | ACCA Global</w:t>
      </w:r>
      <w:r w:rsidRPr="002746DF">
        <w:t xml:space="preserve">. [online] www.accaglobal.com. Available at: </w:t>
      </w:r>
      <w:hyperlink r:id="rId24">
        <w:r w:rsidRPr="002746DF">
          <w:rPr>
            <w:u w:val="single"/>
          </w:rPr>
          <w:t>https://www.accaglobal.com/in/en/student/exam-support-resources/fundamentals-exams-study-resources/f9/technical-articles/optimum-capital-structure.html</w:t>
        </w:r>
      </w:hyperlink>
      <w:r w:rsidRPr="002746DF">
        <w:t xml:space="preserve">. </w:t>
      </w:r>
    </w:p>
    <w:p w14:paraId="485B481A" w14:textId="77777777" w:rsidR="00AA04B6" w:rsidRPr="002746DF" w:rsidRDefault="00C5669B">
      <w:pPr>
        <w:spacing w:after="240"/>
      </w:pPr>
      <w:r w:rsidRPr="002746DF">
        <w:t xml:space="preserve">Anwar, Y. (2022). The effect of return on equity, earning per share and price earning ratio on stock prices. </w:t>
      </w:r>
      <w:r w:rsidRPr="002746DF">
        <w:rPr>
          <w:i/>
        </w:rPr>
        <w:t>The Accounting Journal of Binaniaga</w:t>
      </w:r>
      <w:r w:rsidRPr="002746DF">
        <w:t>, 4(01), p.57. doi:</w:t>
      </w:r>
      <w:hyperlink r:id="rId25">
        <w:r w:rsidRPr="002746DF">
          <w:rPr>
            <w:u w:val="single"/>
          </w:rPr>
          <w:t>https://doi.org/10.33062/ajb.v4i01.314</w:t>
        </w:r>
      </w:hyperlink>
      <w:r w:rsidRPr="002746DF">
        <w:t xml:space="preserve">. </w:t>
      </w:r>
    </w:p>
    <w:p w14:paraId="70E9E868" w14:textId="77777777" w:rsidR="00AA04B6" w:rsidRPr="002746DF" w:rsidRDefault="00C5669B">
      <w:pPr>
        <w:spacing w:after="240"/>
      </w:pPr>
      <w:r w:rsidRPr="002746DF">
        <w:t xml:space="preserve">Arhinful, R. and Radmehr, M. (2023). The Impact of Financial Leverage on the Financial Performance of the Firms Listed on the Tokyo Stock Exchange. </w:t>
      </w:r>
      <w:r w:rsidRPr="002746DF">
        <w:rPr>
          <w:i/>
        </w:rPr>
        <w:t>SAGE Open</w:t>
      </w:r>
      <w:r w:rsidRPr="002746DF">
        <w:t>, [online] 13(4). doi:</w:t>
      </w:r>
      <w:hyperlink r:id="rId26">
        <w:r w:rsidRPr="002746DF">
          <w:rPr>
            <w:u w:val="single"/>
          </w:rPr>
          <w:t>https://doi.org/10.1177/21582440231204099</w:t>
        </w:r>
      </w:hyperlink>
      <w:r w:rsidRPr="002746DF">
        <w:t xml:space="preserve">. </w:t>
      </w:r>
    </w:p>
    <w:p w14:paraId="5885CB40" w14:textId="77777777" w:rsidR="00AA04B6" w:rsidRPr="002746DF" w:rsidRDefault="00C5669B">
      <w:pPr>
        <w:spacing w:after="240"/>
      </w:pPr>
      <w:r w:rsidRPr="002746DF">
        <w:t xml:space="preserve">Awa, H.O., Etim, W. and Ogbonda, E. (2024). Stakeholders, Stakeholder Theory and Corporate Social Responsibility (CSR). </w:t>
      </w:r>
      <w:r w:rsidRPr="002746DF">
        <w:rPr>
          <w:i/>
        </w:rPr>
        <w:t>International Journal of Corporate Social Responsibility</w:t>
      </w:r>
      <w:r w:rsidRPr="002746DF">
        <w:t>, 9(1), pp.1–14. doi:</w:t>
      </w:r>
      <w:hyperlink r:id="rId27">
        <w:r w:rsidRPr="002746DF">
          <w:rPr>
            <w:u w:val="single"/>
          </w:rPr>
          <w:t>https://doi.org/10.1186/s40991-024-00094-y</w:t>
        </w:r>
      </w:hyperlink>
      <w:r w:rsidRPr="002746DF">
        <w:t xml:space="preserve">. </w:t>
      </w:r>
    </w:p>
    <w:p w14:paraId="1FD33EA1" w14:textId="77777777" w:rsidR="00AA04B6" w:rsidRPr="002746DF" w:rsidRDefault="00C5669B">
      <w:pPr>
        <w:spacing w:after="240"/>
      </w:pPr>
      <w:r w:rsidRPr="002746DF">
        <w:t xml:space="preserve">Bhardwaj, K. (2025). </w:t>
      </w:r>
      <w:r w:rsidRPr="002746DF">
        <w:rPr>
          <w:i/>
        </w:rPr>
        <w:t>The Complete Guide to Capital Financing for Growing Businesses. | EnKash</w:t>
      </w:r>
      <w:r w:rsidRPr="002746DF">
        <w:t xml:space="preserve">. [online] EnKash. Available at: </w:t>
      </w:r>
      <w:hyperlink r:id="rId28">
        <w:r w:rsidRPr="002746DF">
          <w:rPr>
            <w:u w:val="single"/>
          </w:rPr>
          <w:t>https://www.enkash.com/resources/blog/capital-financing-types-costs-and-application</w:t>
        </w:r>
      </w:hyperlink>
      <w:r w:rsidRPr="002746DF">
        <w:t xml:space="preserve"> </w:t>
      </w:r>
    </w:p>
    <w:p w14:paraId="06165AF1" w14:textId="77777777" w:rsidR="00AA04B6" w:rsidRPr="002746DF" w:rsidRDefault="00C5669B">
      <w:pPr>
        <w:spacing w:after="240"/>
      </w:pPr>
      <w:r w:rsidRPr="002746DF">
        <w:t xml:space="preserve">Bhatt, M. (2021). </w:t>
      </w:r>
      <w:r w:rsidRPr="002746DF">
        <w:rPr>
          <w:i/>
        </w:rPr>
        <w:t>Profit and Loss Statement Meaning, Importance and Examples in 2022-23</w:t>
      </w:r>
      <w:r w:rsidRPr="002746DF">
        <w:t xml:space="preserve">. [online] Online Demat, Trading, and Mutual Fund Investment in India - Fisdom. Available at: </w:t>
      </w:r>
      <w:hyperlink r:id="rId29">
        <w:r w:rsidRPr="002746DF">
          <w:rPr>
            <w:u w:val="single"/>
          </w:rPr>
          <w:t>https://www.fisdom.com/profit-loss-pl-statement/</w:t>
        </w:r>
      </w:hyperlink>
      <w:r w:rsidRPr="002746DF">
        <w:t xml:space="preserve">. </w:t>
      </w:r>
    </w:p>
    <w:p w14:paraId="22AB88B9" w14:textId="77777777" w:rsidR="00AA04B6" w:rsidRPr="002746DF" w:rsidRDefault="00C5669B">
      <w:pPr>
        <w:spacing w:after="240"/>
      </w:pPr>
      <w:r w:rsidRPr="002746DF">
        <w:t xml:space="preserve">Bichachi, R. (2024). </w:t>
      </w:r>
      <w:r w:rsidRPr="002746DF">
        <w:rPr>
          <w:i/>
        </w:rPr>
        <w:t>What Is the Operating Cycle? Formula &amp; Importance</w:t>
      </w:r>
      <w:r w:rsidRPr="002746DF">
        <w:t xml:space="preserve">. [online] Oracle NetSuite. Available at: </w:t>
      </w:r>
      <w:hyperlink r:id="rId30">
        <w:r w:rsidRPr="002746DF">
          <w:rPr>
            <w:u w:val="single"/>
          </w:rPr>
          <w:t>https://www.netsuite.com/portal/resource/articles/accounting/operating-cycle.shtml</w:t>
        </w:r>
      </w:hyperlink>
      <w:r w:rsidRPr="002746DF">
        <w:t xml:space="preserve">. </w:t>
      </w:r>
    </w:p>
    <w:p w14:paraId="29A8EB63" w14:textId="77777777" w:rsidR="00AA04B6" w:rsidRPr="002746DF" w:rsidRDefault="00C5669B">
      <w:pPr>
        <w:spacing w:after="240"/>
      </w:pPr>
      <w:r w:rsidRPr="002746DF">
        <w:t xml:space="preserve">CFI (2023). </w:t>
      </w:r>
      <w:r w:rsidRPr="002746DF">
        <w:rPr>
          <w:i/>
        </w:rPr>
        <w:t>Accounts Payable Turnover Ratio</w:t>
      </w:r>
      <w:r w:rsidRPr="002746DF">
        <w:t xml:space="preserve">. [online] Corporate Finance Institute. Available at: </w:t>
      </w:r>
      <w:hyperlink r:id="rId31">
        <w:r w:rsidRPr="002746DF">
          <w:rPr>
            <w:u w:val="single"/>
          </w:rPr>
          <w:t>https://corporatefinanceinstitute.com/resources/accounting/accounts-payable-turnover-ratio/</w:t>
        </w:r>
      </w:hyperlink>
      <w:r w:rsidRPr="002746DF">
        <w:t xml:space="preserve">. </w:t>
      </w:r>
    </w:p>
    <w:p w14:paraId="505B080F" w14:textId="77777777" w:rsidR="00AA04B6" w:rsidRPr="002746DF" w:rsidRDefault="00C5669B">
      <w:pPr>
        <w:spacing w:after="240"/>
      </w:pPr>
      <w:r w:rsidRPr="002746DF">
        <w:lastRenderedPageBreak/>
        <w:t xml:space="preserve">Chang, C.-C. and Yang, H. (2022). The role of cash holdings during financial crises. </w:t>
      </w:r>
      <w:r w:rsidRPr="002746DF">
        <w:rPr>
          <w:i/>
        </w:rPr>
        <w:t>Pacific-Basin Finance Journal</w:t>
      </w:r>
      <w:r w:rsidRPr="002746DF">
        <w:t>, [online] 72, p.101733. doi:</w:t>
      </w:r>
      <w:hyperlink r:id="rId32">
        <w:r w:rsidRPr="002746DF">
          <w:rPr>
            <w:u w:val="single"/>
          </w:rPr>
          <w:t>https://doi.org/10.1016/j.pacfin.2022.101733</w:t>
        </w:r>
      </w:hyperlink>
      <w:r w:rsidRPr="002746DF">
        <w:t xml:space="preserve">. </w:t>
      </w:r>
    </w:p>
    <w:p w14:paraId="4F511226" w14:textId="77777777" w:rsidR="00AA04B6" w:rsidRPr="002746DF" w:rsidRDefault="00C5669B">
      <w:pPr>
        <w:spacing w:after="240"/>
      </w:pPr>
      <w:r w:rsidRPr="002746DF">
        <w:t xml:space="preserve">cleartax. (2025). </w:t>
      </w:r>
      <w:r w:rsidRPr="002746DF">
        <w:rPr>
          <w:i/>
        </w:rPr>
        <w:t>Money Market Instruments: Meaning, Types, Examples, Features and Benefits</w:t>
      </w:r>
      <w:r w:rsidRPr="002746DF">
        <w:t xml:space="preserve">. [online] Available at: </w:t>
      </w:r>
      <w:hyperlink r:id="rId33">
        <w:r w:rsidRPr="002746DF">
          <w:rPr>
            <w:u w:val="single"/>
          </w:rPr>
          <w:t>https://cleartax.in/s/money-market-instruments</w:t>
        </w:r>
      </w:hyperlink>
      <w:r w:rsidRPr="002746DF">
        <w:t xml:space="preserve">. </w:t>
      </w:r>
    </w:p>
    <w:p w14:paraId="74320874" w14:textId="77777777" w:rsidR="00AA04B6" w:rsidRPr="002746DF" w:rsidRDefault="00C5669B">
      <w:pPr>
        <w:spacing w:after="240"/>
      </w:pPr>
      <w:r w:rsidRPr="002746DF">
        <w:t xml:space="preserve">Corporate Finance Institute (2024). </w:t>
      </w:r>
      <w:r w:rsidRPr="002746DF">
        <w:rPr>
          <w:i/>
        </w:rPr>
        <w:t>Gearing</w:t>
      </w:r>
      <w:r w:rsidRPr="002746DF">
        <w:t xml:space="preserve">. [online] Corporate Finance Institute. Available at: </w:t>
      </w:r>
      <w:hyperlink r:id="rId34">
        <w:r w:rsidRPr="002746DF">
          <w:rPr>
            <w:u w:val="single"/>
          </w:rPr>
          <w:t>https://corporatefinanceinstitute.com/resources/accounting/gearing/</w:t>
        </w:r>
      </w:hyperlink>
      <w:r w:rsidRPr="002746DF">
        <w:t xml:space="preserve">. </w:t>
      </w:r>
    </w:p>
    <w:p w14:paraId="3E7B4360" w14:textId="77777777" w:rsidR="00AA04B6" w:rsidRPr="002746DF" w:rsidRDefault="00C5669B">
      <w:pPr>
        <w:spacing w:after="240"/>
      </w:pPr>
      <w:r w:rsidRPr="002746DF">
        <w:t xml:space="preserve">Corporate Finance Institute (2025). </w:t>
      </w:r>
      <w:r w:rsidRPr="002746DF">
        <w:rPr>
          <w:i/>
        </w:rPr>
        <w:t>Net Present Value (NPV)</w:t>
      </w:r>
      <w:r w:rsidRPr="002746DF">
        <w:t xml:space="preserve">. [online] Corporate Finance Institute. Available at: </w:t>
      </w:r>
      <w:hyperlink r:id="rId35">
        <w:r w:rsidRPr="002746DF">
          <w:rPr>
            <w:u w:val="single"/>
          </w:rPr>
          <w:t>https://corporatefinanceinstitute.com/resources/valuation/net-present-value-npv/</w:t>
        </w:r>
      </w:hyperlink>
      <w:r w:rsidRPr="002746DF">
        <w:t xml:space="preserve">. </w:t>
      </w:r>
    </w:p>
    <w:p w14:paraId="19D48FD2" w14:textId="77777777" w:rsidR="00AA04B6" w:rsidRPr="002746DF" w:rsidRDefault="00C5669B">
      <w:pPr>
        <w:spacing w:after="240"/>
      </w:pPr>
      <w:r w:rsidRPr="002746DF">
        <w:t xml:space="preserve">Daraojimba, C., Abioye, K.M., Bakare, A.D., Mhlongo, N.Z., Onunka, O. and Daraojimba, D.O. (2023). TECHNOLOGY AND INNOVATION TO GROWTH OF ENTREPRENEURSHIP AND FINANCIAL BOOST: A DECADE IN REVIEW (2013-2023). </w:t>
      </w:r>
      <w:r w:rsidRPr="002746DF">
        <w:rPr>
          <w:i/>
        </w:rPr>
        <w:t>International Journal of Management &amp; Entrepreneurship Research</w:t>
      </w:r>
      <w:r w:rsidRPr="002746DF">
        <w:t>, 5(10), pp.769–792. doi:</w:t>
      </w:r>
      <w:hyperlink r:id="rId36">
        <w:r w:rsidRPr="002746DF">
          <w:rPr>
            <w:u w:val="single"/>
          </w:rPr>
          <w:t>https://doi.org/10.51594/ijmer.v5i10.593</w:t>
        </w:r>
      </w:hyperlink>
      <w:r w:rsidRPr="002746DF">
        <w:t xml:space="preserve">. </w:t>
      </w:r>
    </w:p>
    <w:p w14:paraId="0A9E2BE1" w14:textId="77777777" w:rsidR="00AA04B6" w:rsidRPr="002746DF" w:rsidRDefault="00C5669B">
      <w:pPr>
        <w:spacing w:after="240"/>
      </w:pPr>
      <w:r w:rsidRPr="002746DF">
        <w:t xml:space="preserve">Dobrowolski, Z. and Drozdowski, G. (2022). Does the Net Present Value as a Financial Metric Fit Investment in Green Energy Security? </w:t>
      </w:r>
      <w:r w:rsidRPr="002746DF">
        <w:rPr>
          <w:i/>
        </w:rPr>
        <w:t>Energies</w:t>
      </w:r>
      <w:r w:rsidRPr="002746DF">
        <w:t>, [online] 15(1), p.353. doi:</w:t>
      </w:r>
      <w:hyperlink r:id="rId37">
        <w:r w:rsidRPr="002746DF">
          <w:rPr>
            <w:u w:val="single"/>
          </w:rPr>
          <w:t>https://doi.org/10.3390/en15010353</w:t>
        </w:r>
      </w:hyperlink>
      <w:r w:rsidRPr="002746DF">
        <w:t xml:space="preserve">.  </w:t>
      </w:r>
    </w:p>
    <w:p w14:paraId="7106203E" w14:textId="77777777" w:rsidR="00AA04B6" w:rsidRPr="002746DF" w:rsidRDefault="00C5669B">
      <w:pPr>
        <w:spacing w:after="240"/>
      </w:pPr>
      <w:r w:rsidRPr="002746DF">
        <w:t xml:space="preserve">Fang, Y., Fiordelisi, F., Hasan, I., Leung, W.S. and Wong, G. (2023). Corporate culture and firm value: Evidence from crisis. </w:t>
      </w:r>
      <w:r w:rsidRPr="002746DF">
        <w:rPr>
          <w:i/>
        </w:rPr>
        <w:t>Journal of Banking &amp; Finance</w:t>
      </w:r>
      <w:r w:rsidRPr="002746DF">
        <w:t>, 146, p.106710. doi:</w:t>
      </w:r>
      <w:hyperlink r:id="rId38">
        <w:r w:rsidRPr="002746DF">
          <w:rPr>
            <w:u w:val="single"/>
          </w:rPr>
          <w:t>https://doi.org/10.1016/j.jbankfin.2022.106710</w:t>
        </w:r>
      </w:hyperlink>
      <w:r w:rsidRPr="002746DF">
        <w:t xml:space="preserve">. </w:t>
      </w:r>
    </w:p>
    <w:p w14:paraId="130FCBA2" w14:textId="77777777" w:rsidR="00AA04B6" w:rsidRPr="002746DF" w:rsidRDefault="00C5669B">
      <w:pPr>
        <w:spacing w:after="240"/>
      </w:pPr>
      <w:r w:rsidRPr="002746DF">
        <w:t xml:space="preserve">Financial Edge. (2024). </w:t>
      </w:r>
      <w:r w:rsidRPr="002746DF">
        <w:rPr>
          <w:i/>
        </w:rPr>
        <w:t>Debt Refinancing</w:t>
      </w:r>
      <w:r w:rsidRPr="002746DF">
        <w:t xml:space="preserve">. [online] Available at: </w:t>
      </w:r>
      <w:hyperlink r:id="rId39">
        <w:r w:rsidRPr="002746DF">
          <w:rPr>
            <w:u w:val="single"/>
          </w:rPr>
          <w:t>https://www.fe.training/free-resources/valuation/debt-refinancing/</w:t>
        </w:r>
      </w:hyperlink>
      <w:r w:rsidRPr="002746DF">
        <w:t xml:space="preserve">. </w:t>
      </w:r>
    </w:p>
    <w:p w14:paraId="6003C8E9" w14:textId="77777777" w:rsidR="00AA04B6" w:rsidRPr="002746DF" w:rsidRDefault="00C5669B">
      <w:pPr>
        <w:spacing w:after="240"/>
      </w:pPr>
      <w:r w:rsidRPr="002746DF">
        <w:t xml:space="preserve">Fiveable (2025). </w:t>
      </w:r>
      <w:r w:rsidRPr="002746DF">
        <w:rPr>
          <w:i/>
        </w:rPr>
        <w:t>Capital Rationing and Risk Analysis in Capital Budgeting</w:t>
      </w:r>
      <w:r w:rsidRPr="002746DF">
        <w:t xml:space="preserve">. [online] Fiveable. Available at: </w:t>
      </w:r>
      <w:hyperlink r:id="rId40">
        <w:r w:rsidRPr="002746DF">
          <w:rPr>
            <w:u w:val="single"/>
          </w:rPr>
          <w:t>https://fiveable.me/introduction-finance/unit-7/capital-rationing-risk-analysis-capital-budgeting/study-guide/KCO4qU1EjfaagW55</w:t>
        </w:r>
      </w:hyperlink>
      <w:r w:rsidRPr="002746DF">
        <w:t xml:space="preserve"> </w:t>
      </w:r>
    </w:p>
    <w:p w14:paraId="0C3F824B" w14:textId="77777777" w:rsidR="00AA04B6" w:rsidRPr="002746DF" w:rsidRDefault="00C5669B">
      <w:pPr>
        <w:spacing w:after="240"/>
      </w:pPr>
      <w:r w:rsidRPr="002746DF">
        <w:t xml:space="preserve">Hammad, R.M., Khasawneh, D. and Nobanee, H. (2024). Economic Exposure and the Power of Forward Contracts. </w:t>
      </w:r>
      <w:r w:rsidRPr="002746DF">
        <w:rPr>
          <w:i/>
        </w:rPr>
        <w:t>SSRN Electronic Journal</w:t>
      </w:r>
      <w:r w:rsidRPr="002746DF">
        <w:t>. [online] doi:</w:t>
      </w:r>
      <w:hyperlink r:id="rId41">
        <w:r w:rsidRPr="002746DF">
          <w:rPr>
            <w:u w:val="single"/>
          </w:rPr>
          <w:t>https://doi.org/10.2139/ssrn.5073874</w:t>
        </w:r>
      </w:hyperlink>
      <w:r w:rsidRPr="002746DF">
        <w:t xml:space="preserve">. </w:t>
      </w:r>
    </w:p>
    <w:p w14:paraId="7B761D15" w14:textId="77777777" w:rsidR="00AA04B6" w:rsidRPr="002746DF" w:rsidRDefault="00C5669B">
      <w:pPr>
        <w:spacing w:after="240"/>
      </w:pPr>
      <w:r w:rsidRPr="002746DF">
        <w:lastRenderedPageBreak/>
        <w:t xml:space="preserve">Hartman-Glaser, B., Mayer, S. and Milbradt, K. (2025). A Theory of Cash Flow-Based Financing with Distress Resolution. </w:t>
      </w:r>
      <w:r w:rsidRPr="002746DF">
        <w:rPr>
          <w:i/>
        </w:rPr>
        <w:t>The Review of Economic Studies</w:t>
      </w:r>
      <w:r w:rsidRPr="002746DF">
        <w:t>. [online] doi:</w:t>
      </w:r>
      <w:hyperlink r:id="rId42">
        <w:r w:rsidRPr="002746DF">
          <w:rPr>
            <w:u w:val="single"/>
          </w:rPr>
          <w:t>https://doi.org/10.1093/restud/rdaf009</w:t>
        </w:r>
      </w:hyperlink>
      <w:r w:rsidRPr="002746DF">
        <w:t xml:space="preserve">. </w:t>
      </w:r>
    </w:p>
    <w:p w14:paraId="7D46A46A" w14:textId="77777777" w:rsidR="00AA04B6" w:rsidRPr="002746DF" w:rsidRDefault="00C5669B">
      <w:pPr>
        <w:spacing w:after="240"/>
      </w:pPr>
      <w:r w:rsidRPr="002746DF">
        <w:t xml:space="preserve">Highradius (2022). </w:t>
      </w:r>
      <w:r w:rsidRPr="002746DF">
        <w:rPr>
          <w:i/>
        </w:rPr>
        <w:t>AR Aging Report: Importance, How to Create &amp; Use It?</w:t>
      </w:r>
      <w:r w:rsidRPr="002746DF">
        <w:t xml:space="preserve"> [online] Available at: </w:t>
      </w:r>
      <w:hyperlink r:id="rId43">
        <w:r w:rsidRPr="002746DF">
          <w:rPr>
            <w:u w:val="single"/>
          </w:rPr>
          <w:t>https://www.highradius.com/resources/Blog/accounts-receivable-aging-report/</w:t>
        </w:r>
      </w:hyperlink>
      <w:r w:rsidRPr="002746DF">
        <w:t xml:space="preserve">. </w:t>
      </w:r>
    </w:p>
    <w:p w14:paraId="1A1E6508" w14:textId="77777777" w:rsidR="00AA04B6" w:rsidRPr="002746DF" w:rsidRDefault="00C5669B">
      <w:pPr>
        <w:spacing w:after="240"/>
      </w:pPr>
      <w:r w:rsidRPr="002746DF">
        <w:t xml:space="preserve">Huang, V. (2023). </w:t>
      </w:r>
      <w:r w:rsidRPr="002746DF">
        <w:rPr>
          <w:i/>
        </w:rPr>
        <w:t>Payback Period Explained: Formula, Calculation and Importance</w:t>
      </w:r>
      <w:r w:rsidRPr="002746DF">
        <w:t xml:space="preserve">. [online] blog.harvestr.io. Available at: </w:t>
      </w:r>
      <w:hyperlink r:id="rId44">
        <w:r w:rsidRPr="002746DF">
          <w:rPr>
            <w:u w:val="single"/>
          </w:rPr>
          <w:t>https://blog.harvestr.io/payback-period</w:t>
        </w:r>
      </w:hyperlink>
      <w:r w:rsidRPr="002746DF">
        <w:t xml:space="preserve">. </w:t>
      </w:r>
    </w:p>
    <w:p w14:paraId="1B169463" w14:textId="77777777" w:rsidR="00AA04B6" w:rsidRPr="002746DF" w:rsidRDefault="00C5669B">
      <w:pPr>
        <w:spacing w:after="240"/>
      </w:pPr>
      <w:r w:rsidRPr="002746DF">
        <w:t xml:space="preserve">Hwa, H., Brown, C., Ho, C. and Chander Shekhar (2024). Equity in Capital Raising? Empirical Evidence from Structured Private Placements. </w:t>
      </w:r>
      <w:r w:rsidRPr="002746DF">
        <w:rPr>
          <w:i/>
        </w:rPr>
        <w:t>Journal of Banking and Finance</w:t>
      </w:r>
      <w:r w:rsidRPr="002746DF">
        <w:t>, 159, pp.107074–107074. doi:</w:t>
      </w:r>
      <w:hyperlink r:id="rId45">
        <w:r w:rsidRPr="002746DF">
          <w:rPr>
            <w:u w:val="single"/>
          </w:rPr>
          <w:t>https://doi.org/10.1016/j.jbankfin.2023.107074</w:t>
        </w:r>
      </w:hyperlink>
      <w:r w:rsidRPr="002746DF">
        <w:t xml:space="preserve">. </w:t>
      </w:r>
    </w:p>
    <w:p w14:paraId="4C476172" w14:textId="77777777" w:rsidR="00AA04B6" w:rsidRPr="002746DF" w:rsidRDefault="00C5669B">
      <w:pPr>
        <w:spacing w:after="240"/>
      </w:pPr>
      <w:r w:rsidRPr="002746DF">
        <w:t xml:space="preserve">Khan, M.A. and Vismara, S. (2025). Green bond issuance and corporate environmental and financial performance: A meta-analysis. </w:t>
      </w:r>
      <w:r w:rsidRPr="002746DF">
        <w:rPr>
          <w:i/>
        </w:rPr>
        <w:t>International Review of Economics &amp; Finance</w:t>
      </w:r>
      <w:r w:rsidRPr="002746DF">
        <w:t>, [online] 102, p.104313. doi:</w:t>
      </w:r>
      <w:hyperlink r:id="rId46">
        <w:r w:rsidRPr="002746DF">
          <w:rPr>
            <w:u w:val="single"/>
          </w:rPr>
          <w:t>https://doi.org/10.1016/j.iref.2025.104313</w:t>
        </w:r>
      </w:hyperlink>
      <w:r w:rsidRPr="002746DF">
        <w:t xml:space="preserve">. </w:t>
      </w:r>
    </w:p>
    <w:p w14:paraId="69723731" w14:textId="77777777" w:rsidR="00AA04B6" w:rsidRPr="002746DF" w:rsidRDefault="00C5669B">
      <w:pPr>
        <w:spacing w:after="240"/>
      </w:pPr>
      <w:r w:rsidRPr="002746DF">
        <w:t xml:space="preserve">Kouaib, A. and Ibrahim, M. (2024). Firm Performance of Saudi Manufacturers: Does the Management of Cash Conversion Cycle Components Matter? </w:t>
      </w:r>
      <w:r w:rsidRPr="002746DF">
        <w:rPr>
          <w:i/>
        </w:rPr>
        <w:t>Journal of risk and financial management</w:t>
      </w:r>
      <w:r w:rsidRPr="002746DF">
        <w:t>, 17(1), pp.16–16. doi:</w:t>
      </w:r>
      <w:hyperlink r:id="rId47">
        <w:r w:rsidRPr="002746DF">
          <w:rPr>
            <w:u w:val="single"/>
          </w:rPr>
          <w:t>https://doi.org/10.3390/jrfm17010016</w:t>
        </w:r>
      </w:hyperlink>
      <w:r w:rsidRPr="002746DF">
        <w:t xml:space="preserve">. </w:t>
      </w:r>
    </w:p>
    <w:p w14:paraId="5DBC3867" w14:textId="77777777" w:rsidR="00AA04B6" w:rsidRPr="002746DF" w:rsidRDefault="00C5669B">
      <w:pPr>
        <w:spacing w:after="240"/>
      </w:pPr>
      <w:r w:rsidRPr="002746DF">
        <w:t xml:space="preserve">Kuvera (2024). </w:t>
      </w:r>
      <w:r w:rsidRPr="002746DF">
        <w:rPr>
          <w:i/>
        </w:rPr>
        <w:t>Fundamental Analysis vs Technical Analysis</w:t>
      </w:r>
      <w:r w:rsidRPr="002746DF">
        <w:t xml:space="preserve">. [online] Kuvera. Available at: </w:t>
      </w:r>
      <w:hyperlink r:id="rId48">
        <w:r w:rsidRPr="002746DF">
          <w:rPr>
            <w:u w:val="single"/>
          </w:rPr>
          <w:t>https://kuvera.in/blog/negative-pe-ratio-a-red-flag-for-investors/</w:t>
        </w:r>
      </w:hyperlink>
      <w:r w:rsidRPr="002746DF">
        <w:t xml:space="preserve"> </w:t>
      </w:r>
    </w:p>
    <w:p w14:paraId="18CCACF3" w14:textId="77777777" w:rsidR="00AA04B6" w:rsidRPr="002746DF" w:rsidRDefault="00C5669B">
      <w:pPr>
        <w:spacing w:after="240"/>
      </w:pPr>
      <w:r w:rsidRPr="002746DF">
        <w:t xml:space="preserve">Lu, C. (2025). </w:t>
      </w:r>
      <w:r w:rsidRPr="002746DF">
        <w:rPr>
          <w:i/>
        </w:rPr>
        <w:t>Settle | Settle Blog - What Are the Consequences of Equity Dilution?</w:t>
      </w:r>
      <w:r w:rsidRPr="002746DF">
        <w:t xml:space="preserve"> [online] Settle.com. Available at: </w:t>
      </w:r>
      <w:hyperlink r:id="rId49">
        <w:r w:rsidRPr="002746DF">
          <w:rPr>
            <w:u w:val="single"/>
          </w:rPr>
          <w:t>https://www.settle.com/blog/equity-dilution</w:t>
        </w:r>
      </w:hyperlink>
      <w:r w:rsidRPr="002746DF">
        <w:t xml:space="preserve"> </w:t>
      </w:r>
    </w:p>
    <w:p w14:paraId="7F139E78" w14:textId="77777777" w:rsidR="00AA04B6" w:rsidRPr="002746DF" w:rsidRDefault="00C5669B">
      <w:pPr>
        <w:spacing w:after="240"/>
      </w:pPr>
      <w:r w:rsidRPr="002746DF">
        <w:t xml:space="preserve">Mai, W., Ambashe, M.S. and Ohueri, C.C. (2025). Optimizing Working Capital in E-Commerce Supply Chains. </w:t>
      </w:r>
      <w:r w:rsidRPr="002746DF">
        <w:rPr>
          <w:i/>
        </w:rPr>
        <w:t>International Journal of Information Systems and Supply Chain Management</w:t>
      </w:r>
      <w:r w:rsidRPr="002746DF">
        <w:t>, [online] 18(1), pp.1–30. doi:</w:t>
      </w:r>
      <w:hyperlink r:id="rId50">
        <w:r w:rsidRPr="002746DF">
          <w:rPr>
            <w:u w:val="single"/>
          </w:rPr>
          <w:t>https://doi.org/10.4018/ijisscm.369154</w:t>
        </w:r>
      </w:hyperlink>
      <w:r w:rsidRPr="002746DF">
        <w:t xml:space="preserve">. </w:t>
      </w:r>
    </w:p>
    <w:p w14:paraId="2EB36AA4" w14:textId="77777777" w:rsidR="00AA04B6" w:rsidRPr="002746DF" w:rsidRDefault="00C5669B">
      <w:pPr>
        <w:spacing w:after="240"/>
      </w:pPr>
      <w:r w:rsidRPr="002746DF">
        <w:t xml:space="preserve">Ogunyankinnu, T., Osunkanmibi, A.A., Onotole, E.F., Ukatu, C.E., Ajayi, O.A. and Adeoye, Y. (2024). AI-Powered Demand Forecasting for Enhancing JIT Inventory Models. </w:t>
      </w:r>
      <w:r w:rsidRPr="002746DF">
        <w:rPr>
          <w:i/>
        </w:rPr>
        <w:t xml:space="preserve">Journal of </w:t>
      </w:r>
      <w:r w:rsidRPr="002746DF">
        <w:rPr>
          <w:i/>
        </w:rPr>
        <w:lastRenderedPageBreak/>
        <w:t>Frontiers in Multidisciplinary Research</w:t>
      </w:r>
      <w:r w:rsidRPr="002746DF">
        <w:t>, 5(1), pp.184–196. doi:</w:t>
      </w:r>
      <w:hyperlink r:id="rId51">
        <w:r w:rsidRPr="002746DF">
          <w:rPr>
            <w:u w:val="single"/>
          </w:rPr>
          <w:t>https://doi.org/10.54660/.ijfmr.2024.5.1.184-196</w:t>
        </w:r>
      </w:hyperlink>
      <w:r w:rsidRPr="002746DF">
        <w:t xml:space="preserve">. </w:t>
      </w:r>
    </w:p>
    <w:p w14:paraId="340ED199" w14:textId="77777777" w:rsidR="00AA04B6" w:rsidRPr="002746DF" w:rsidRDefault="00C5669B">
      <w:pPr>
        <w:spacing w:after="240"/>
      </w:pPr>
      <w:r w:rsidRPr="002746DF">
        <w:t xml:space="preserve">Prince, H. (2024). </w:t>
      </w:r>
      <w:r w:rsidRPr="002746DF">
        <w:rPr>
          <w:i/>
        </w:rPr>
        <w:t>What is a Cash Flow Statement?</w:t>
      </w:r>
      <w:r w:rsidRPr="002746DF">
        <w:t xml:space="preserve"> [online] What is a Cash Flow Statement? | Workiva. Available at: </w:t>
      </w:r>
      <w:hyperlink r:id="rId52">
        <w:r w:rsidRPr="002746DF">
          <w:rPr>
            <w:u w:val="single"/>
          </w:rPr>
          <w:t>https://www.workiva.com/blog/what-is-a-cash-flow-statement</w:t>
        </w:r>
      </w:hyperlink>
      <w:r w:rsidRPr="002746DF">
        <w:t xml:space="preserve">. </w:t>
      </w:r>
    </w:p>
    <w:p w14:paraId="378BA104" w14:textId="77777777" w:rsidR="00AA04B6" w:rsidRPr="002746DF" w:rsidRDefault="00C5669B">
      <w:pPr>
        <w:spacing w:after="240"/>
      </w:pPr>
      <w:r w:rsidRPr="002746DF">
        <w:t xml:space="preserve">Puspitarini, A.A. and Bulan Tati Fitria (2023). Effect of Return on Assets (ROA) and Debt to Equity (DER) on Firm Value: Study of One of The Selected Bank Companies on the IDX. </w:t>
      </w:r>
      <w:r w:rsidRPr="002746DF">
        <w:rPr>
          <w:i/>
        </w:rPr>
        <w:t>Jurnal Ekonomi Bisnis &amp; Entrepreneurship</w:t>
      </w:r>
      <w:r w:rsidRPr="002746DF">
        <w:t>, [online] 17(2), pp.323–333. doi:</w:t>
      </w:r>
      <w:hyperlink r:id="rId53">
        <w:r w:rsidRPr="002746DF">
          <w:rPr>
            <w:u w:val="single"/>
          </w:rPr>
          <w:t>https://doi.org/10.55208/0e8mr651</w:t>
        </w:r>
      </w:hyperlink>
      <w:r w:rsidRPr="002746DF">
        <w:t xml:space="preserve">. </w:t>
      </w:r>
    </w:p>
    <w:p w14:paraId="02ACE668" w14:textId="77777777" w:rsidR="00AA04B6" w:rsidRPr="002746DF" w:rsidRDefault="00C5669B">
      <w:pPr>
        <w:spacing w:after="240"/>
      </w:pPr>
      <w:r w:rsidRPr="002746DF">
        <w:t xml:space="preserve">Qiu, W., Zhang, Y. and Kong, L. (2024). Promoting Industrial Symbiosis: Does the Synergistic Drive of Innovation and Domestic Demand Work? Evidence from Listed Enterprises in China. </w:t>
      </w:r>
      <w:r w:rsidRPr="002746DF">
        <w:rPr>
          <w:i/>
        </w:rPr>
        <w:t>Sustainability</w:t>
      </w:r>
      <w:r w:rsidRPr="002746DF">
        <w:t>, 17(1), p.165. doi:</w:t>
      </w:r>
      <w:hyperlink r:id="rId54">
        <w:r w:rsidRPr="002746DF">
          <w:rPr>
            <w:u w:val="single"/>
          </w:rPr>
          <w:t>https://doi.org/10.3390/su17010165</w:t>
        </w:r>
      </w:hyperlink>
      <w:r w:rsidRPr="002746DF">
        <w:t xml:space="preserve">. </w:t>
      </w:r>
    </w:p>
    <w:p w14:paraId="3E0FCFFD" w14:textId="77777777" w:rsidR="00AA04B6" w:rsidRPr="002746DF" w:rsidRDefault="00C5669B">
      <w:pPr>
        <w:spacing w:after="240"/>
      </w:pPr>
      <w:r w:rsidRPr="002746DF">
        <w:t xml:space="preserve">RajRAS (2025). </w:t>
      </w:r>
      <w:r w:rsidRPr="002746DF">
        <w:rPr>
          <w:i/>
        </w:rPr>
        <w:t>Sources of Finance : Short and Long Term - RajRAS | RAS Exam Preparation</w:t>
      </w:r>
      <w:r w:rsidRPr="002746DF">
        <w:t xml:space="preserve">. [online] RajRAS. Available at: </w:t>
      </w:r>
      <w:hyperlink r:id="rId55">
        <w:r w:rsidRPr="002746DF">
          <w:rPr>
            <w:u w:val="single"/>
          </w:rPr>
          <w:t>https://rajras.in/ras/mains/paper-1/management/sources-of-finance-short-and-long-term/</w:t>
        </w:r>
      </w:hyperlink>
      <w:r w:rsidRPr="002746DF">
        <w:t xml:space="preserve">. </w:t>
      </w:r>
    </w:p>
    <w:p w14:paraId="7FAAFD31" w14:textId="77777777" w:rsidR="00AA04B6" w:rsidRPr="002746DF" w:rsidRDefault="00C5669B">
      <w:pPr>
        <w:spacing w:after="240"/>
      </w:pPr>
      <w:r w:rsidRPr="002746DF">
        <w:t xml:space="preserve">Roberts, H., Milios, L., Mont, O. and Dalhammar, C. (2023). Product destruction: Exploring unsustainable production-consumption systems and appropriate policy responses. </w:t>
      </w:r>
      <w:r w:rsidRPr="002746DF">
        <w:rPr>
          <w:i/>
        </w:rPr>
        <w:t>Sustainable Production and Consumption</w:t>
      </w:r>
      <w:r w:rsidRPr="002746DF">
        <w:t>, [online] 35, pp.300–312. doi:</w:t>
      </w:r>
      <w:hyperlink r:id="rId56">
        <w:r w:rsidRPr="002746DF">
          <w:rPr>
            <w:u w:val="single"/>
          </w:rPr>
          <w:t>https://doi.org/10.1016/j.spc.2022.11.009</w:t>
        </w:r>
      </w:hyperlink>
      <w:r w:rsidRPr="002746DF">
        <w:t xml:space="preserve">. </w:t>
      </w:r>
    </w:p>
    <w:p w14:paraId="5DC0414D" w14:textId="77777777" w:rsidR="00AA04B6" w:rsidRPr="002746DF" w:rsidRDefault="00C5669B">
      <w:pPr>
        <w:spacing w:after="240"/>
      </w:pPr>
      <w:r w:rsidRPr="002746DF">
        <w:t xml:space="preserve">Rong, X. (2023). Comparative Analysis of Different Investment Decision Indicators: NPV and PI. </w:t>
      </w:r>
      <w:r w:rsidRPr="002746DF">
        <w:rPr>
          <w:i/>
        </w:rPr>
        <w:t>Advances in Economics, Management and Political Sciences</w:t>
      </w:r>
      <w:r w:rsidRPr="002746DF">
        <w:t>, [online] 15, pp.353–358. doi:</w:t>
      </w:r>
      <w:hyperlink r:id="rId57">
        <w:r w:rsidRPr="002746DF">
          <w:rPr>
            <w:u w:val="single"/>
          </w:rPr>
          <w:t>https://doi.org/10.54254/2754-1169/15/20230946</w:t>
        </w:r>
      </w:hyperlink>
      <w:r w:rsidRPr="002746DF">
        <w:t xml:space="preserve">. </w:t>
      </w:r>
    </w:p>
    <w:p w14:paraId="33961498" w14:textId="77777777" w:rsidR="00AA04B6" w:rsidRPr="002746DF" w:rsidRDefault="00C5669B">
      <w:pPr>
        <w:spacing w:after="240"/>
      </w:pPr>
      <w:r w:rsidRPr="002746DF">
        <w:t xml:space="preserve">Shonubi, O. (2025). Innovation Challenges of Digital Transformation: Transitioning Legacy to the Future. </w:t>
      </w:r>
      <w:r w:rsidRPr="002746DF">
        <w:rPr>
          <w:i/>
        </w:rPr>
        <w:t>Sustainable Futures</w:t>
      </w:r>
      <w:r w:rsidRPr="002746DF">
        <w:t>, [online] p.100971. doi:</w:t>
      </w:r>
      <w:hyperlink r:id="rId58">
        <w:r w:rsidRPr="002746DF">
          <w:rPr>
            <w:u w:val="single"/>
          </w:rPr>
          <w:t>https://doi.org/10.1016/j.sftr.2025.100971</w:t>
        </w:r>
      </w:hyperlink>
      <w:r w:rsidRPr="002746DF">
        <w:t xml:space="preserve">. </w:t>
      </w:r>
    </w:p>
    <w:p w14:paraId="1FA0DB18" w14:textId="77777777" w:rsidR="00AA04B6" w:rsidRPr="002746DF" w:rsidRDefault="00C5669B">
      <w:pPr>
        <w:spacing w:after="240"/>
      </w:pPr>
      <w:r w:rsidRPr="002746DF">
        <w:t xml:space="preserve">Tipalti EU (2023). </w:t>
      </w:r>
      <w:r w:rsidRPr="002746DF">
        <w:rPr>
          <w:i/>
        </w:rPr>
        <w:t>Accounts Payable Management: Best Practices &amp; Solutions</w:t>
      </w:r>
      <w:r w:rsidRPr="002746DF">
        <w:t xml:space="preserve">. [online] Tipalti EU. Available at: </w:t>
      </w:r>
      <w:hyperlink r:id="rId59">
        <w:r w:rsidRPr="002746DF">
          <w:rPr>
            <w:u w:val="single"/>
          </w:rPr>
          <w:t>https://tipalti.com/en-eu/resources/learn/accounts-payable-management/</w:t>
        </w:r>
      </w:hyperlink>
      <w:r w:rsidRPr="002746DF">
        <w:t xml:space="preserve">. </w:t>
      </w:r>
    </w:p>
    <w:p w14:paraId="7901F351" w14:textId="77777777" w:rsidR="00AA04B6" w:rsidRPr="002746DF" w:rsidRDefault="00C5669B">
      <w:pPr>
        <w:spacing w:after="240"/>
      </w:pPr>
      <w:r w:rsidRPr="002746DF">
        <w:lastRenderedPageBreak/>
        <w:t xml:space="preserve">Topstockresearch.com. (2025). </w:t>
      </w:r>
      <w:r w:rsidRPr="002746DF">
        <w:rPr>
          <w:i/>
        </w:rPr>
        <w:t>Altman Z Score analysis of Jindal Steel Limited, Value 2.98 - Indecisive Altman Z Score</w:t>
      </w:r>
      <w:r w:rsidRPr="002746DF">
        <w:t xml:space="preserve">. [online] Available at: </w:t>
      </w:r>
      <w:hyperlink r:id="rId60">
        <w:r w:rsidRPr="002746DF">
          <w:rPr>
            <w:u w:val="single"/>
          </w:rPr>
          <w:t>https://www.topstockresearch.com/rt/Financial/JINDALSTEL/AltmanZScore</w:t>
        </w:r>
      </w:hyperlink>
      <w:r w:rsidRPr="002746DF">
        <w:t xml:space="preserve"> </w:t>
      </w:r>
    </w:p>
    <w:p w14:paraId="5AE07531" w14:textId="77777777" w:rsidR="00AA04B6" w:rsidRPr="002746DF" w:rsidRDefault="00C5669B">
      <w:pPr>
        <w:spacing w:after="240"/>
      </w:pPr>
      <w:r w:rsidRPr="002746DF">
        <w:t xml:space="preserve">Vengesai, E. (2023). Unveiling the Role of Investment Tangibility on Financial Leverage: Insights from African-Listed Firms. </w:t>
      </w:r>
      <w:r w:rsidRPr="002746DF">
        <w:rPr>
          <w:i/>
        </w:rPr>
        <w:t>Risks</w:t>
      </w:r>
      <w:r w:rsidRPr="002746DF">
        <w:t>, [online] 11(11), p.192. doi:</w:t>
      </w:r>
      <w:hyperlink r:id="rId61">
        <w:r w:rsidRPr="002746DF">
          <w:rPr>
            <w:u w:val="single"/>
          </w:rPr>
          <w:t>https://doi.org/10.3390/risks11110192</w:t>
        </w:r>
      </w:hyperlink>
      <w:r w:rsidRPr="002746DF">
        <w:t xml:space="preserve">. </w:t>
      </w:r>
    </w:p>
    <w:p w14:paraId="6FFCC1EC" w14:textId="77777777" w:rsidR="00AA04B6" w:rsidRPr="002746DF" w:rsidRDefault="00C5669B">
      <w:pPr>
        <w:spacing w:after="240"/>
      </w:pPr>
      <w:r w:rsidRPr="002746DF">
        <w:t xml:space="preserve">Vipond, T. (2025). </w:t>
      </w:r>
      <w:r w:rsidRPr="002746DF">
        <w:rPr>
          <w:i/>
        </w:rPr>
        <w:t>ARR - Accounting Rate of Return</w:t>
      </w:r>
      <w:r w:rsidRPr="002746DF">
        <w:t xml:space="preserve">. [online] Corporate Finance Institute. Available at: </w:t>
      </w:r>
      <w:hyperlink r:id="rId62">
        <w:r w:rsidRPr="002746DF">
          <w:rPr>
            <w:u w:val="single"/>
          </w:rPr>
          <w:t>https://corporatefinanceinstitute.com/resources/accounting/arr-accounting-rate-of-return/</w:t>
        </w:r>
      </w:hyperlink>
      <w:r w:rsidRPr="002746DF">
        <w:t xml:space="preserve">. </w:t>
      </w:r>
    </w:p>
    <w:p w14:paraId="4EA874DE" w14:textId="77777777" w:rsidR="00AA04B6" w:rsidRPr="002746DF" w:rsidRDefault="00C5669B">
      <w:pPr>
        <w:spacing w:after="240"/>
      </w:pPr>
      <w:r w:rsidRPr="002746DF">
        <w:t xml:space="preserve">Yustina Indi Savery, Haninun Haninun and Riswan Riswan (2024). FINANCIAL PERFORMANCE TO DETERMINE FINANCIAL DISTRESS CONDITIONS. </w:t>
      </w:r>
      <w:r w:rsidRPr="002746DF">
        <w:rPr>
          <w:i/>
        </w:rPr>
        <w:t>MARGINAL JOURNAL OF MANAGEMENT ACCOUNTING GENERAL FINANCE AND INTERNATIONAL ECONOMIC ISSUES</w:t>
      </w:r>
      <w:r w:rsidRPr="002746DF">
        <w:t>, 3(2), pp.598–611. doi:</w:t>
      </w:r>
      <w:hyperlink r:id="rId63">
        <w:r w:rsidRPr="002746DF">
          <w:rPr>
            <w:u w:val="single"/>
          </w:rPr>
          <w:t>https://doi.org/10.55047/marginal.v3i2.1077</w:t>
        </w:r>
      </w:hyperlink>
      <w:r w:rsidRPr="002746DF">
        <w:t xml:space="preserve">. </w:t>
      </w:r>
      <w:r w:rsidRPr="002746DF">
        <w:br w:type="page"/>
      </w:r>
    </w:p>
    <w:p w14:paraId="2F98457C" w14:textId="77777777" w:rsidR="00AA04B6" w:rsidRPr="002746DF" w:rsidRDefault="00C5669B">
      <w:pPr>
        <w:pStyle w:val="Heading1"/>
        <w:spacing w:after="240"/>
      </w:pPr>
      <w:bookmarkStart w:id="40" w:name="_Toc213497664"/>
      <w:r w:rsidRPr="002746DF">
        <w:lastRenderedPageBreak/>
        <w:t>Appendices</w:t>
      </w:r>
      <w:bookmarkEnd w:id="40"/>
    </w:p>
    <w:p w14:paraId="7FAE81E8" w14:textId="77777777" w:rsidR="00AA04B6" w:rsidRPr="002746DF" w:rsidRDefault="00C5669B">
      <w:pPr>
        <w:pStyle w:val="Heading2"/>
      </w:pPr>
      <w:bookmarkStart w:id="41" w:name="_Toc213497665"/>
      <w:r w:rsidRPr="002746DF">
        <w:t>Appendix 1: Profitability Ratios</w:t>
      </w:r>
      <w:bookmarkEnd w:id="41"/>
    </w:p>
    <w:p w14:paraId="64BA95A5" w14:textId="77777777" w:rsidR="00AA04B6" w:rsidRPr="002746DF" w:rsidRDefault="00C5669B">
      <w:pPr>
        <w:jc w:val="center"/>
      </w:pPr>
      <w:r w:rsidRPr="002746DF">
        <w:rPr>
          <w:noProof/>
          <w:lang w:val="en-US"/>
        </w:rPr>
        <w:drawing>
          <wp:inline distT="0" distB="0" distL="0" distR="0" wp14:anchorId="2614DB64" wp14:editId="093143C1">
            <wp:extent cx="5943600" cy="16605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a:xfrm>
                      <a:off x="0" y="0"/>
                      <a:ext cx="5943600" cy="1661067"/>
                    </a:xfrm>
                    <a:prstGeom prst="rect">
                      <a:avLst/>
                    </a:prstGeom>
                    <a:noFill/>
                    <a:ln>
                      <a:noFill/>
                    </a:ln>
                  </pic:spPr>
                </pic:pic>
              </a:graphicData>
            </a:graphic>
          </wp:inline>
        </w:drawing>
      </w:r>
    </w:p>
    <w:p w14:paraId="650BB83A" w14:textId="77777777" w:rsidR="00AA04B6" w:rsidRPr="002746DF" w:rsidRDefault="00C5669B">
      <w:pPr>
        <w:pStyle w:val="Heading2"/>
      </w:pPr>
      <w:bookmarkStart w:id="42" w:name="_Toc213497666"/>
      <w:r w:rsidRPr="002746DF">
        <w:t>Appendix 2: Liquidity Ratios</w:t>
      </w:r>
      <w:bookmarkEnd w:id="42"/>
    </w:p>
    <w:p w14:paraId="0DA76862" w14:textId="77777777" w:rsidR="00AA04B6" w:rsidRPr="002746DF" w:rsidRDefault="00C5669B">
      <w:pPr>
        <w:jc w:val="center"/>
      </w:pPr>
      <w:r w:rsidRPr="002746DF">
        <w:rPr>
          <w:noProof/>
          <w:lang w:val="en-US"/>
        </w:rPr>
        <w:drawing>
          <wp:inline distT="0" distB="0" distL="0" distR="0" wp14:anchorId="4200EDF9" wp14:editId="38B63F67">
            <wp:extent cx="5943600" cy="1116965"/>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a:xfrm>
                      <a:off x="0" y="0"/>
                      <a:ext cx="5943600" cy="1117445"/>
                    </a:xfrm>
                    <a:prstGeom prst="rect">
                      <a:avLst/>
                    </a:prstGeom>
                    <a:noFill/>
                    <a:ln>
                      <a:noFill/>
                    </a:ln>
                  </pic:spPr>
                </pic:pic>
              </a:graphicData>
            </a:graphic>
          </wp:inline>
        </w:drawing>
      </w:r>
    </w:p>
    <w:p w14:paraId="6A5C2CE0" w14:textId="77777777" w:rsidR="00AA04B6" w:rsidRPr="002746DF" w:rsidRDefault="00C5669B">
      <w:pPr>
        <w:pStyle w:val="Heading2"/>
      </w:pPr>
      <w:bookmarkStart w:id="43" w:name="_Toc213497667"/>
      <w:r w:rsidRPr="002746DF">
        <w:t>Appendix 3: Gearing Ratios</w:t>
      </w:r>
      <w:bookmarkEnd w:id="43"/>
    </w:p>
    <w:p w14:paraId="6D326CD5" w14:textId="77777777" w:rsidR="00AA04B6" w:rsidRPr="002746DF" w:rsidRDefault="00C5669B">
      <w:pPr>
        <w:jc w:val="center"/>
      </w:pPr>
      <w:r w:rsidRPr="002746DF">
        <w:rPr>
          <w:noProof/>
          <w:lang w:val="en-US"/>
        </w:rPr>
        <w:drawing>
          <wp:inline distT="0" distB="0" distL="0" distR="0" wp14:anchorId="42AB1302" wp14:editId="3804FD3B">
            <wp:extent cx="5943600" cy="127444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a:xfrm>
                      <a:off x="0" y="0"/>
                      <a:ext cx="5943600" cy="1274491"/>
                    </a:xfrm>
                    <a:prstGeom prst="rect">
                      <a:avLst/>
                    </a:prstGeom>
                    <a:noFill/>
                    <a:ln>
                      <a:noFill/>
                    </a:ln>
                  </pic:spPr>
                </pic:pic>
              </a:graphicData>
            </a:graphic>
          </wp:inline>
        </w:drawing>
      </w:r>
    </w:p>
    <w:p w14:paraId="428610F4" w14:textId="77777777" w:rsidR="00AA04B6" w:rsidRPr="002746DF" w:rsidRDefault="00C5669B">
      <w:pPr>
        <w:pStyle w:val="Heading2"/>
      </w:pPr>
      <w:bookmarkStart w:id="44" w:name="_Toc213497668"/>
      <w:r w:rsidRPr="002746DF">
        <w:lastRenderedPageBreak/>
        <w:t>Appendix 4: Efficiency Ratios</w:t>
      </w:r>
      <w:bookmarkEnd w:id="44"/>
    </w:p>
    <w:p w14:paraId="2C4537EF" w14:textId="77777777" w:rsidR="00AA04B6" w:rsidRPr="002746DF" w:rsidRDefault="00C5669B">
      <w:pPr>
        <w:jc w:val="center"/>
      </w:pPr>
      <w:r w:rsidRPr="002746DF">
        <w:rPr>
          <w:noProof/>
          <w:lang w:val="en-US"/>
        </w:rPr>
        <w:drawing>
          <wp:inline distT="0" distB="0" distL="0" distR="0" wp14:anchorId="3273A18B" wp14:editId="1909148F">
            <wp:extent cx="5943600" cy="1594485"/>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a:xfrm>
                      <a:off x="0" y="0"/>
                      <a:ext cx="5943600" cy="1594624"/>
                    </a:xfrm>
                    <a:prstGeom prst="rect">
                      <a:avLst/>
                    </a:prstGeom>
                    <a:noFill/>
                    <a:ln>
                      <a:noFill/>
                    </a:ln>
                  </pic:spPr>
                </pic:pic>
              </a:graphicData>
            </a:graphic>
          </wp:inline>
        </w:drawing>
      </w:r>
    </w:p>
    <w:p w14:paraId="767F96C0" w14:textId="77777777" w:rsidR="00AA04B6" w:rsidRPr="002746DF" w:rsidRDefault="00C5669B">
      <w:pPr>
        <w:pStyle w:val="Heading2"/>
      </w:pPr>
      <w:bookmarkStart w:id="45" w:name="_Toc213497669"/>
      <w:r w:rsidRPr="002746DF">
        <w:t>Appendix 5: Market Ratios</w:t>
      </w:r>
      <w:bookmarkEnd w:id="45"/>
    </w:p>
    <w:p w14:paraId="17C7362B" w14:textId="77777777" w:rsidR="00AA04B6" w:rsidRPr="002746DF" w:rsidRDefault="00C5669B">
      <w:r w:rsidRPr="002746DF">
        <w:rPr>
          <w:noProof/>
          <w:lang w:val="en-US"/>
        </w:rPr>
        <w:drawing>
          <wp:inline distT="0" distB="0" distL="0" distR="0" wp14:anchorId="0C667B3C" wp14:editId="529252A3">
            <wp:extent cx="5943600" cy="8032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a:xfrm>
                      <a:off x="0" y="0"/>
                      <a:ext cx="5943600" cy="803352"/>
                    </a:xfrm>
                    <a:prstGeom prst="rect">
                      <a:avLst/>
                    </a:prstGeom>
                    <a:noFill/>
                    <a:ln>
                      <a:noFill/>
                    </a:ln>
                  </pic:spPr>
                </pic:pic>
              </a:graphicData>
            </a:graphic>
          </wp:inline>
        </w:drawing>
      </w:r>
    </w:p>
    <w:p w14:paraId="5075D12F" w14:textId="77777777" w:rsidR="00AA04B6" w:rsidRPr="002746DF" w:rsidRDefault="00C5669B">
      <w:pPr>
        <w:pStyle w:val="Heading2"/>
      </w:pPr>
      <w:bookmarkStart w:id="46" w:name="_Toc213497670"/>
      <w:r w:rsidRPr="002746DF">
        <w:t>Appendix 6:Investment Ratios</w:t>
      </w:r>
      <w:bookmarkEnd w:id="46"/>
    </w:p>
    <w:p w14:paraId="52E6CF71" w14:textId="77777777" w:rsidR="00AA04B6" w:rsidRPr="002746DF" w:rsidRDefault="00C5669B">
      <w:r w:rsidRPr="002746DF">
        <w:rPr>
          <w:noProof/>
          <w:lang w:val="en-US"/>
        </w:rPr>
        <w:drawing>
          <wp:inline distT="0" distB="0" distL="0" distR="0" wp14:anchorId="527906A3" wp14:editId="080089BD">
            <wp:extent cx="5943600" cy="127444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a:xfrm>
                      <a:off x="0" y="0"/>
                      <a:ext cx="5943600" cy="1274491"/>
                    </a:xfrm>
                    <a:prstGeom prst="rect">
                      <a:avLst/>
                    </a:prstGeom>
                    <a:noFill/>
                    <a:ln>
                      <a:noFill/>
                    </a:ln>
                  </pic:spPr>
                </pic:pic>
              </a:graphicData>
            </a:graphic>
          </wp:inline>
        </w:drawing>
      </w:r>
    </w:p>
    <w:p w14:paraId="7BB0F3F2" w14:textId="77777777" w:rsidR="00AA04B6" w:rsidRPr="002746DF" w:rsidRDefault="00C5669B">
      <w:pPr>
        <w:pStyle w:val="Heading2"/>
      </w:pPr>
      <w:bookmarkStart w:id="47" w:name="_Toc213497671"/>
      <w:r w:rsidRPr="002746DF">
        <w:t>Appendix 7: Cashflow Ratios</w:t>
      </w:r>
      <w:bookmarkEnd w:id="47"/>
    </w:p>
    <w:p w14:paraId="4E8B7935" w14:textId="77777777" w:rsidR="00AA04B6" w:rsidRPr="002746DF" w:rsidRDefault="00C5669B">
      <w:r w:rsidRPr="002746DF">
        <w:rPr>
          <w:noProof/>
          <w:lang w:val="en-US"/>
        </w:rPr>
        <w:drawing>
          <wp:inline distT="0" distB="0" distL="0" distR="0" wp14:anchorId="17B0C811" wp14:editId="73F7F4B0">
            <wp:extent cx="5943600" cy="1116965"/>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a:xfrm>
                      <a:off x="0" y="0"/>
                      <a:ext cx="5943600" cy="1117445"/>
                    </a:xfrm>
                    <a:prstGeom prst="rect">
                      <a:avLst/>
                    </a:prstGeom>
                    <a:noFill/>
                    <a:ln>
                      <a:noFill/>
                    </a:ln>
                  </pic:spPr>
                </pic:pic>
              </a:graphicData>
            </a:graphic>
          </wp:inline>
        </w:drawing>
      </w:r>
    </w:p>
    <w:p w14:paraId="57B5CE7A" w14:textId="77777777" w:rsidR="00AA04B6" w:rsidRPr="002746DF" w:rsidRDefault="00C5669B">
      <w:pPr>
        <w:pStyle w:val="Heading2"/>
      </w:pPr>
      <w:bookmarkStart w:id="48" w:name="_Toc213497672"/>
      <w:r w:rsidRPr="002746DF">
        <w:lastRenderedPageBreak/>
        <w:t>Appendix 8: Payback Period</w:t>
      </w:r>
      <w:bookmarkEnd w:id="48"/>
    </w:p>
    <w:p w14:paraId="74BF118F" w14:textId="77777777" w:rsidR="00AA04B6" w:rsidRPr="002746DF" w:rsidRDefault="00C5669B">
      <w:pPr>
        <w:jc w:val="center"/>
      </w:pPr>
      <w:r w:rsidRPr="002746DF">
        <w:rPr>
          <w:noProof/>
          <w:lang w:val="en-US"/>
        </w:rPr>
        <w:drawing>
          <wp:inline distT="0" distB="0" distL="0" distR="0" wp14:anchorId="0A72ECD7" wp14:editId="75F4B2F8">
            <wp:extent cx="4709160" cy="40005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a:xfrm>
                      <a:off x="0" y="0"/>
                      <a:ext cx="4709160" cy="4000500"/>
                    </a:xfrm>
                    <a:prstGeom prst="rect">
                      <a:avLst/>
                    </a:prstGeom>
                    <a:noFill/>
                    <a:ln>
                      <a:noFill/>
                    </a:ln>
                  </pic:spPr>
                </pic:pic>
              </a:graphicData>
            </a:graphic>
          </wp:inline>
        </w:drawing>
      </w:r>
    </w:p>
    <w:p w14:paraId="611182B9" w14:textId="77777777" w:rsidR="00AA04B6" w:rsidRPr="002746DF" w:rsidRDefault="00C5669B">
      <w:pPr>
        <w:pStyle w:val="Heading2"/>
      </w:pPr>
      <w:bookmarkStart w:id="49" w:name="_Toc213497673"/>
      <w:r w:rsidRPr="002746DF">
        <w:lastRenderedPageBreak/>
        <w:t>Appendix 9: Accounting Rate of return</w:t>
      </w:r>
      <w:bookmarkEnd w:id="49"/>
    </w:p>
    <w:p w14:paraId="77D0E312" w14:textId="77777777" w:rsidR="00AA04B6" w:rsidRPr="002746DF" w:rsidRDefault="00C5669B">
      <w:pPr>
        <w:jc w:val="center"/>
      </w:pPr>
      <w:r w:rsidRPr="002746DF">
        <w:rPr>
          <w:noProof/>
          <w:lang w:val="en-US"/>
        </w:rPr>
        <w:drawing>
          <wp:inline distT="0" distB="0" distL="0" distR="0" wp14:anchorId="4782BD25" wp14:editId="7D9F0164">
            <wp:extent cx="3425825" cy="7368540"/>
            <wp:effectExtent l="0" t="0" r="3175"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a:xfrm>
                      <a:off x="0" y="0"/>
                      <a:ext cx="3426483" cy="7369555"/>
                    </a:xfrm>
                    <a:prstGeom prst="rect">
                      <a:avLst/>
                    </a:prstGeom>
                    <a:noFill/>
                    <a:ln>
                      <a:noFill/>
                    </a:ln>
                  </pic:spPr>
                </pic:pic>
              </a:graphicData>
            </a:graphic>
          </wp:inline>
        </w:drawing>
      </w:r>
    </w:p>
    <w:p w14:paraId="23A43103" w14:textId="77777777" w:rsidR="00AA04B6" w:rsidRPr="002746DF" w:rsidRDefault="00C5669B">
      <w:pPr>
        <w:pStyle w:val="Heading2"/>
      </w:pPr>
      <w:bookmarkStart w:id="50" w:name="_Toc213497674"/>
      <w:r w:rsidRPr="002746DF">
        <w:lastRenderedPageBreak/>
        <w:t>Appendix 10: Net Present Value</w:t>
      </w:r>
      <w:bookmarkEnd w:id="50"/>
    </w:p>
    <w:p w14:paraId="6CF90326" w14:textId="77777777" w:rsidR="00AA04B6" w:rsidRPr="002746DF" w:rsidRDefault="00C5669B">
      <w:pPr>
        <w:jc w:val="center"/>
      </w:pPr>
      <w:r w:rsidRPr="002746DF">
        <w:rPr>
          <w:noProof/>
          <w:lang w:val="en-US"/>
        </w:rPr>
        <w:drawing>
          <wp:inline distT="0" distB="0" distL="0" distR="0" wp14:anchorId="58054812" wp14:editId="5DAAC65C">
            <wp:extent cx="4442460" cy="640842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a:xfrm>
                      <a:off x="0" y="0"/>
                      <a:ext cx="4442460" cy="6408420"/>
                    </a:xfrm>
                    <a:prstGeom prst="rect">
                      <a:avLst/>
                    </a:prstGeom>
                    <a:noFill/>
                    <a:ln>
                      <a:noFill/>
                    </a:ln>
                  </pic:spPr>
                </pic:pic>
              </a:graphicData>
            </a:graphic>
          </wp:inline>
        </w:drawing>
      </w:r>
    </w:p>
    <w:p w14:paraId="27FAB873" w14:textId="77777777" w:rsidR="00AA04B6" w:rsidRPr="002746DF" w:rsidRDefault="00C5669B">
      <w:pPr>
        <w:pStyle w:val="Heading2"/>
      </w:pPr>
      <w:bookmarkStart w:id="51" w:name="_Toc213497675"/>
      <w:r w:rsidRPr="002746DF">
        <w:lastRenderedPageBreak/>
        <w:t>Appendix 11: Profitability Index</w:t>
      </w:r>
      <w:bookmarkEnd w:id="51"/>
    </w:p>
    <w:p w14:paraId="5882E021" w14:textId="77777777" w:rsidR="00AA04B6" w:rsidRPr="002746DF" w:rsidRDefault="00C5669B">
      <w:pPr>
        <w:jc w:val="center"/>
      </w:pPr>
      <w:r w:rsidRPr="002746DF">
        <w:rPr>
          <w:noProof/>
          <w:lang w:val="en-US"/>
        </w:rPr>
        <w:drawing>
          <wp:inline distT="0" distB="0" distL="0" distR="0" wp14:anchorId="7B889FDE" wp14:editId="436A0FCB">
            <wp:extent cx="4442460" cy="70789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a:xfrm>
                      <a:off x="0" y="0"/>
                      <a:ext cx="4442460" cy="7078980"/>
                    </a:xfrm>
                    <a:prstGeom prst="rect">
                      <a:avLst/>
                    </a:prstGeom>
                    <a:noFill/>
                    <a:ln>
                      <a:noFill/>
                    </a:ln>
                  </pic:spPr>
                </pic:pic>
              </a:graphicData>
            </a:graphic>
          </wp:inline>
        </w:drawing>
      </w:r>
    </w:p>
    <w:p w14:paraId="2FDD2F5A" w14:textId="77777777" w:rsidR="00AA04B6" w:rsidRPr="002746DF" w:rsidRDefault="00C5669B">
      <w:pPr>
        <w:pStyle w:val="Heading2"/>
      </w:pPr>
      <w:bookmarkStart w:id="52" w:name="_Toc213497676"/>
      <w:r w:rsidRPr="002746DF">
        <w:lastRenderedPageBreak/>
        <w:t>Appendix 12: Internal Rate of Return</w:t>
      </w:r>
      <w:bookmarkEnd w:id="52"/>
    </w:p>
    <w:p w14:paraId="536E4F9C" w14:textId="77777777" w:rsidR="00AA04B6" w:rsidRPr="002746DF" w:rsidRDefault="00C5669B">
      <w:pPr>
        <w:jc w:val="center"/>
      </w:pPr>
      <w:r w:rsidRPr="002746DF">
        <w:rPr>
          <w:noProof/>
          <w:lang w:val="en-US"/>
        </w:rPr>
        <w:drawing>
          <wp:inline distT="0" distB="0" distL="0" distR="0" wp14:anchorId="56ECBA3C" wp14:editId="52B16151">
            <wp:extent cx="2941320" cy="583692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a:xfrm>
                      <a:off x="0" y="0"/>
                      <a:ext cx="2941320" cy="5836920"/>
                    </a:xfrm>
                    <a:prstGeom prst="rect">
                      <a:avLst/>
                    </a:prstGeom>
                    <a:noFill/>
                    <a:ln>
                      <a:noFill/>
                    </a:ln>
                  </pic:spPr>
                </pic:pic>
              </a:graphicData>
            </a:graphic>
          </wp:inline>
        </w:drawing>
      </w:r>
    </w:p>
    <w:p w14:paraId="49F0EB30" w14:textId="77777777" w:rsidR="00AA04B6" w:rsidRPr="002746DF" w:rsidRDefault="00AA04B6"/>
    <w:p w14:paraId="3A7B7045" w14:textId="77777777" w:rsidR="00AA04B6" w:rsidRPr="002746DF" w:rsidRDefault="00AA04B6"/>
    <w:p w14:paraId="2C8EED1F" w14:textId="77777777" w:rsidR="00AA04B6" w:rsidRPr="002746DF" w:rsidRDefault="00AA04B6"/>
    <w:p w14:paraId="022B80E1" w14:textId="77777777" w:rsidR="00AA04B6" w:rsidRPr="002746DF" w:rsidRDefault="00AA04B6">
      <w:pPr>
        <w:pStyle w:val="Heading4"/>
        <w:keepNext w:val="0"/>
        <w:keepLines w:val="0"/>
        <w:spacing w:before="240" w:after="40"/>
        <w:rPr>
          <w:b/>
          <w:color w:val="auto"/>
          <w:sz w:val="22"/>
          <w:szCs w:val="22"/>
        </w:rPr>
      </w:pPr>
      <w:bookmarkStart w:id="53" w:name="_qri97fz7o8yr" w:colFirst="0" w:colLast="0"/>
      <w:bookmarkEnd w:id="53"/>
    </w:p>
    <w:p w14:paraId="59FBD735" w14:textId="77777777" w:rsidR="00AA04B6" w:rsidRPr="002746DF" w:rsidRDefault="00AA04B6"/>
    <w:sectPr w:rsidR="00AA04B6" w:rsidRPr="002746DF">
      <w:footerReference w:type="default" r:id="rId76"/>
      <w:headerReference w:type="first" r:id="rId77"/>
      <w:footerReference w:type="first" r:id="rId7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B4DB9" w14:textId="77777777" w:rsidR="005D3BF0" w:rsidRDefault="005D3BF0">
      <w:pPr>
        <w:spacing w:line="240" w:lineRule="auto"/>
      </w:pPr>
      <w:r>
        <w:separator/>
      </w:r>
    </w:p>
  </w:endnote>
  <w:endnote w:type="continuationSeparator" w:id="0">
    <w:p w14:paraId="01E639B8" w14:textId="77777777" w:rsidR="005D3BF0" w:rsidRDefault="005D3B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3EA7555D-328D-4FF0-B8B2-70D1462BD1C2}"/>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D5F1B8B1-453E-4077-896F-79F8F4A1A8D8}"/>
  </w:font>
  <w:font w:name="Angsana New">
    <w:panose1 w:val="02020603050405020304"/>
    <w:charset w:val="DE"/>
    <w:family w:val="roman"/>
    <w:pitch w:val="variable"/>
    <w:sig w:usb0="81000003" w:usb1="00000000" w:usb2="00000000" w:usb3="00000000" w:csb0="00010001" w:csb1="00000000"/>
    <w:embedRegular r:id="rId3" w:fontKey="{C886B2C4-C7F4-415B-8636-84161D72A068}"/>
  </w:font>
  <w:font w:name="Cambria">
    <w:panose1 w:val="02040503050406030204"/>
    <w:charset w:val="00"/>
    <w:family w:val="roman"/>
    <w:pitch w:val="variable"/>
    <w:sig w:usb0="E00006FF" w:usb1="420024FF" w:usb2="02000000" w:usb3="00000000" w:csb0="0000019F" w:csb1="00000000"/>
    <w:embedRegular r:id="rId4" w:fontKey="{CC9B93F7-4DBC-40AD-8699-857ABE97A702}"/>
  </w:font>
  <w:font w:name="Cordia New">
    <w:panose1 w:val="020B0304020202020204"/>
    <w:charset w:val="DE"/>
    <w:family w:val="swiss"/>
    <w:pitch w:val="variable"/>
    <w:sig w:usb0="81000003" w:usb1="00000000" w:usb2="00000000" w:usb3="00000000" w:csb0="00010001" w:csb1="00000000"/>
    <w:embedRegular r:id="rId5" w:fontKey="{E13D30D1-E55B-43CE-B648-5603934B3F2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788C1" w14:textId="77777777" w:rsidR="00AA04B6" w:rsidRDefault="00C5669B">
    <w:pPr>
      <w:jc w:val="right"/>
    </w:pPr>
    <w:r>
      <w:fldChar w:fldCharType="begin"/>
    </w:r>
    <w:r>
      <w:instrText>PAGE</w:instrText>
    </w:r>
    <w:r>
      <w:fldChar w:fldCharType="separate"/>
    </w:r>
    <w:r w:rsidR="00FC67FA">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62CF6" w14:textId="77777777" w:rsidR="00AA04B6" w:rsidRDefault="00AA04B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9E322" w14:textId="77777777" w:rsidR="005D3BF0" w:rsidRDefault="005D3BF0">
      <w:pPr>
        <w:spacing w:after="0"/>
      </w:pPr>
      <w:r>
        <w:separator/>
      </w:r>
    </w:p>
  </w:footnote>
  <w:footnote w:type="continuationSeparator" w:id="0">
    <w:p w14:paraId="65B78869" w14:textId="77777777" w:rsidR="005D3BF0" w:rsidRDefault="005D3BF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8AFC2" w14:textId="77777777" w:rsidR="00AA04B6" w:rsidRDefault="00AA04B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0D010F"/>
    <w:multiLevelType w:val="hybridMultilevel"/>
    <w:tmpl w:val="B4D0FB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6075E4"/>
    <w:multiLevelType w:val="hybridMultilevel"/>
    <w:tmpl w:val="DCEAA8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33861916">
    <w:abstractNumId w:val="0"/>
  </w:num>
  <w:num w:numId="2" w16cid:durableId="2059819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613"/>
    <w:rsid w:val="0019399B"/>
    <w:rsid w:val="002746DF"/>
    <w:rsid w:val="00306E2B"/>
    <w:rsid w:val="00532AA2"/>
    <w:rsid w:val="005D3BF0"/>
    <w:rsid w:val="005D7C84"/>
    <w:rsid w:val="006A58BF"/>
    <w:rsid w:val="006C582D"/>
    <w:rsid w:val="0083267F"/>
    <w:rsid w:val="008C73D8"/>
    <w:rsid w:val="009E17ED"/>
    <w:rsid w:val="009F3541"/>
    <w:rsid w:val="00AA04B6"/>
    <w:rsid w:val="00B30613"/>
    <w:rsid w:val="00C5669B"/>
    <w:rsid w:val="00CC0848"/>
    <w:rsid w:val="00CF28EB"/>
    <w:rsid w:val="00CF4744"/>
    <w:rsid w:val="00D95937"/>
    <w:rsid w:val="00E75DF8"/>
    <w:rsid w:val="00EB4D2B"/>
    <w:rsid w:val="00EB5C34"/>
    <w:rsid w:val="00FC67FA"/>
    <w:rsid w:val="4FF420B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2D385"/>
  <w15:docId w15:val="{66D18B1C-3E62-472D-BA34-AFB122910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after="200" w:line="360" w:lineRule="auto"/>
      <w:jc w:val="both"/>
    </w:pPr>
    <w:rPr>
      <w:sz w:val="24"/>
      <w:szCs w:val="24"/>
      <w:lang w:val="en"/>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uiPriority w:val="99"/>
    <w:semiHidden/>
    <w:unhideWhenUsed/>
    <w:pPr>
      <w:jc w:val="left"/>
    </w:p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itle">
    <w:name w:val="Title"/>
    <w:basedOn w:val="Normal"/>
    <w:next w:val="Normal"/>
    <w:pPr>
      <w:keepNext/>
      <w:keepLines/>
      <w:spacing w:after="60"/>
    </w:pPr>
    <w:rPr>
      <w:sz w:val="52"/>
      <w:szCs w:val="52"/>
    </w:r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tbl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32A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2AA2"/>
    <w:rPr>
      <w:rFonts w:ascii="Segoe UI" w:hAnsi="Segoe UI" w:cs="Segoe UI"/>
      <w:sz w:val="18"/>
      <w:szCs w:val="18"/>
      <w:lang w:val="en"/>
    </w:rPr>
  </w:style>
  <w:style w:type="paragraph" w:styleId="TOC1">
    <w:name w:val="toc 1"/>
    <w:basedOn w:val="Normal"/>
    <w:next w:val="Normal"/>
    <w:autoRedefine/>
    <w:uiPriority w:val="39"/>
    <w:unhideWhenUsed/>
    <w:rsid w:val="009F3541"/>
    <w:pPr>
      <w:spacing w:after="100"/>
    </w:pPr>
  </w:style>
  <w:style w:type="paragraph" w:styleId="TOC2">
    <w:name w:val="toc 2"/>
    <w:basedOn w:val="Normal"/>
    <w:next w:val="Normal"/>
    <w:autoRedefine/>
    <w:uiPriority w:val="39"/>
    <w:unhideWhenUsed/>
    <w:rsid w:val="009F3541"/>
    <w:pPr>
      <w:spacing w:after="100"/>
      <w:ind w:left="240"/>
    </w:pPr>
  </w:style>
  <w:style w:type="paragraph" w:styleId="TOC3">
    <w:name w:val="toc 3"/>
    <w:basedOn w:val="Normal"/>
    <w:next w:val="Normal"/>
    <w:autoRedefine/>
    <w:uiPriority w:val="39"/>
    <w:unhideWhenUsed/>
    <w:rsid w:val="009F3541"/>
    <w:pPr>
      <w:spacing w:after="100"/>
      <w:ind w:left="480"/>
    </w:pPr>
  </w:style>
  <w:style w:type="character" w:styleId="Hyperlink">
    <w:name w:val="Hyperlink"/>
    <w:basedOn w:val="DefaultParagraphFont"/>
    <w:uiPriority w:val="99"/>
    <w:unhideWhenUsed/>
    <w:rsid w:val="009F3541"/>
    <w:rPr>
      <w:color w:val="0000FF" w:themeColor="hyperlink"/>
      <w:u w:val="single"/>
    </w:rPr>
  </w:style>
  <w:style w:type="paragraph" w:styleId="ListParagraph">
    <w:name w:val="List Paragraph"/>
    <w:basedOn w:val="Normal"/>
    <w:uiPriority w:val="99"/>
    <w:rsid w:val="005D7C84"/>
    <w:pPr>
      <w:ind w:left="720"/>
      <w:contextualSpacing/>
    </w:pPr>
  </w:style>
  <w:style w:type="character" w:styleId="UnresolvedMention">
    <w:name w:val="Unresolved Mention"/>
    <w:basedOn w:val="DefaultParagraphFont"/>
    <w:uiPriority w:val="99"/>
    <w:semiHidden/>
    <w:unhideWhenUsed/>
    <w:rsid w:val="00D959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21582440231204099" TargetMode="External"/><Relationship Id="rId21" Type="http://schemas.openxmlformats.org/officeDocument/2006/relationships/chart" Target="charts/chart13.xml"/><Relationship Id="rId42" Type="http://schemas.openxmlformats.org/officeDocument/2006/relationships/hyperlink" Target="https://doi.org/10.1093/restud/rdaf009" TargetMode="External"/><Relationship Id="rId47" Type="http://schemas.openxmlformats.org/officeDocument/2006/relationships/hyperlink" Target="https://doi.org/10.3390/jrfm17010016" TargetMode="External"/><Relationship Id="rId63" Type="http://schemas.openxmlformats.org/officeDocument/2006/relationships/hyperlink" Target="https://doi.org/10.55047/marginal.v3i2.1077" TargetMode="External"/><Relationship Id="rId68" Type="http://schemas.openxmlformats.org/officeDocument/2006/relationships/image" Target="media/image7.emf"/><Relationship Id="rId16" Type="http://schemas.openxmlformats.org/officeDocument/2006/relationships/image" Target="media/image2.emf"/><Relationship Id="rId11" Type="http://schemas.openxmlformats.org/officeDocument/2006/relationships/chart" Target="charts/chart4.xml"/><Relationship Id="rId24" Type="http://schemas.openxmlformats.org/officeDocument/2006/relationships/hyperlink" Target="https://www.accaglobal.com/in/en/student/exam-support-resources/fundamentals-exams-study-resources/f9/technical-articles/optimum-capital-structure.html" TargetMode="External"/><Relationship Id="rId32" Type="http://schemas.openxmlformats.org/officeDocument/2006/relationships/hyperlink" Target="https://doi.org/10.1016/j.pacfin.2022.101733" TargetMode="External"/><Relationship Id="rId37" Type="http://schemas.openxmlformats.org/officeDocument/2006/relationships/hyperlink" Target="https://doi.org/10.3390/en15010353" TargetMode="External"/><Relationship Id="rId40" Type="http://schemas.openxmlformats.org/officeDocument/2006/relationships/hyperlink" Target="https://fiveable.me/introduction-finance/unit-7/capital-rationing-risk-analysis-capital-budgeting/study-guide/KCO4qU1EjfaagW55" TargetMode="External"/><Relationship Id="rId45" Type="http://schemas.openxmlformats.org/officeDocument/2006/relationships/hyperlink" Target="https://doi.org/10.1016/j.jbankfin.2023.107074" TargetMode="External"/><Relationship Id="rId53" Type="http://schemas.openxmlformats.org/officeDocument/2006/relationships/hyperlink" Target="https://doi.org/10.55208/0e8mr651" TargetMode="External"/><Relationship Id="rId58" Type="http://schemas.openxmlformats.org/officeDocument/2006/relationships/hyperlink" Target="https://doi.org/10.1016/j.sftr.2025.100971" TargetMode="External"/><Relationship Id="rId66" Type="http://schemas.openxmlformats.org/officeDocument/2006/relationships/image" Target="media/image5.emf"/><Relationship Id="rId74" Type="http://schemas.openxmlformats.org/officeDocument/2006/relationships/image" Target="media/image13.emf"/><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3390/risks11110192" TargetMode="External"/><Relationship Id="rId19" Type="http://schemas.openxmlformats.org/officeDocument/2006/relationships/chart" Target="charts/chart11.xml"/><Relationship Id="rId14" Type="http://schemas.openxmlformats.org/officeDocument/2006/relationships/chart" Target="charts/chart7.xml"/><Relationship Id="rId22" Type="http://schemas.openxmlformats.org/officeDocument/2006/relationships/chart" Target="charts/chart14.xml"/><Relationship Id="rId27" Type="http://schemas.openxmlformats.org/officeDocument/2006/relationships/hyperlink" Target="https://doi.org/10.1186/s40991-024-00094-y" TargetMode="External"/><Relationship Id="rId30" Type="http://schemas.openxmlformats.org/officeDocument/2006/relationships/hyperlink" Target="https://www.netsuite.com/portal/resource/articles/accounting/operating-cycle.shtml" TargetMode="External"/><Relationship Id="rId35" Type="http://schemas.openxmlformats.org/officeDocument/2006/relationships/hyperlink" Target="https://corporatefinanceinstitute.com/resources/valuation/net-present-value-npv/" TargetMode="External"/><Relationship Id="rId43" Type="http://schemas.openxmlformats.org/officeDocument/2006/relationships/hyperlink" Target="https://www.highradius.com/resources/Blog/accounts-receivable-aging-report/" TargetMode="External"/><Relationship Id="rId48" Type="http://schemas.openxmlformats.org/officeDocument/2006/relationships/hyperlink" Target="https://kuvera.in/blog/negative-pe-ratio-a-red-flag-for-investors/" TargetMode="External"/><Relationship Id="rId56" Type="http://schemas.openxmlformats.org/officeDocument/2006/relationships/hyperlink" Target="https://doi.org/10.1016/j.spc.2022.11.009" TargetMode="External"/><Relationship Id="rId64" Type="http://schemas.openxmlformats.org/officeDocument/2006/relationships/image" Target="media/image3.emf"/><Relationship Id="rId69" Type="http://schemas.openxmlformats.org/officeDocument/2006/relationships/image" Target="media/image8.emf"/><Relationship Id="rId77" Type="http://schemas.openxmlformats.org/officeDocument/2006/relationships/header" Target="header1.xml"/><Relationship Id="rId8" Type="http://schemas.openxmlformats.org/officeDocument/2006/relationships/chart" Target="charts/chart1.xml"/><Relationship Id="rId51" Type="http://schemas.openxmlformats.org/officeDocument/2006/relationships/hyperlink" Target="https://doi.org/10.54660/.ijfmr.2024.5.1.184-196" TargetMode="External"/><Relationship Id="rId72" Type="http://schemas.openxmlformats.org/officeDocument/2006/relationships/image" Target="media/image11.emf"/><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hart" Target="charts/chart9.xml"/><Relationship Id="rId25" Type="http://schemas.openxmlformats.org/officeDocument/2006/relationships/hyperlink" Target="https://doi.org/10.33062/ajb.v4i01.314" TargetMode="External"/><Relationship Id="rId33" Type="http://schemas.openxmlformats.org/officeDocument/2006/relationships/hyperlink" Target="https://cleartax.in/s/money-market-instruments" TargetMode="External"/><Relationship Id="rId38" Type="http://schemas.openxmlformats.org/officeDocument/2006/relationships/hyperlink" Target="https://doi.org/10.1016/j.jbankfin.2022.106710" TargetMode="External"/><Relationship Id="rId46" Type="http://schemas.openxmlformats.org/officeDocument/2006/relationships/hyperlink" Target="https://doi.org/10.1016/j.iref.2025.104313" TargetMode="External"/><Relationship Id="rId59" Type="http://schemas.openxmlformats.org/officeDocument/2006/relationships/hyperlink" Target="https://tipalti.com/en-eu/resources/learn/accounts-payable-management/" TargetMode="External"/><Relationship Id="rId67" Type="http://schemas.openxmlformats.org/officeDocument/2006/relationships/image" Target="media/image6.emf"/><Relationship Id="rId20" Type="http://schemas.openxmlformats.org/officeDocument/2006/relationships/chart" Target="charts/chart12.xml"/><Relationship Id="rId41" Type="http://schemas.openxmlformats.org/officeDocument/2006/relationships/hyperlink" Target="https://doi.org/10.2139/ssrn.5073874" TargetMode="External"/><Relationship Id="rId54" Type="http://schemas.openxmlformats.org/officeDocument/2006/relationships/hyperlink" Target="https://doi.org/10.3390/su17010165" TargetMode="External"/><Relationship Id="rId62" Type="http://schemas.openxmlformats.org/officeDocument/2006/relationships/hyperlink" Target="https://corporatefinanceinstitute.com/resources/accounting/arr-accounting-rate-of-return/" TargetMode="External"/><Relationship Id="rId70" Type="http://schemas.openxmlformats.org/officeDocument/2006/relationships/image" Target="media/image9.emf"/><Relationship Id="rId75"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8.xml"/><Relationship Id="rId23" Type="http://schemas.openxmlformats.org/officeDocument/2006/relationships/chart" Target="charts/chart15.xml"/><Relationship Id="rId28" Type="http://schemas.openxmlformats.org/officeDocument/2006/relationships/hyperlink" Target="https://www.enkash.com/resources/blog/capital-financing-types-costs-and-application" TargetMode="External"/><Relationship Id="rId36" Type="http://schemas.openxmlformats.org/officeDocument/2006/relationships/hyperlink" Target="https://doi.org/10.51594/ijmer.v5i10.593" TargetMode="External"/><Relationship Id="rId49" Type="http://schemas.openxmlformats.org/officeDocument/2006/relationships/hyperlink" Target="https://www.settle.com/blog/equity-dilution" TargetMode="External"/><Relationship Id="rId57" Type="http://schemas.openxmlformats.org/officeDocument/2006/relationships/hyperlink" Target="https://doi.org/10.54254/2754-1169/15/20230946" TargetMode="External"/><Relationship Id="rId10" Type="http://schemas.openxmlformats.org/officeDocument/2006/relationships/chart" Target="charts/chart3.xml"/><Relationship Id="rId31" Type="http://schemas.openxmlformats.org/officeDocument/2006/relationships/hyperlink" Target="https://corporatefinanceinstitute.com/resources/accounting/accounts-payable-turnover-ratio/" TargetMode="External"/><Relationship Id="rId44" Type="http://schemas.openxmlformats.org/officeDocument/2006/relationships/hyperlink" Target="https://blog.harvestr.io/payback-period" TargetMode="External"/><Relationship Id="rId52" Type="http://schemas.openxmlformats.org/officeDocument/2006/relationships/hyperlink" Target="https://www.workiva.com/blog/what-is-a-cash-flow-statement" TargetMode="External"/><Relationship Id="rId60" Type="http://schemas.openxmlformats.org/officeDocument/2006/relationships/hyperlink" Target="https://www.topstockresearch.com/rt/Financial/JINDALSTEL/AltmanZScore" TargetMode="External"/><Relationship Id="rId65" Type="http://schemas.openxmlformats.org/officeDocument/2006/relationships/image" Target="media/image4.emf"/><Relationship Id="rId73" Type="http://schemas.openxmlformats.org/officeDocument/2006/relationships/image" Target="media/image12.emf"/><Relationship Id="rId78"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chart" Target="charts/chart2.xml"/><Relationship Id="rId13" Type="http://schemas.openxmlformats.org/officeDocument/2006/relationships/chart" Target="charts/chart6.xml"/><Relationship Id="rId18" Type="http://schemas.openxmlformats.org/officeDocument/2006/relationships/chart" Target="charts/chart10.xml"/><Relationship Id="rId39" Type="http://schemas.openxmlformats.org/officeDocument/2006/relationships/hyperlink" Target="https://www.fe.training/free-resources/valuation/debt-refinancing/" TargetMode="External"/><Relationship Id="rId34" Type="http://schemas.openxmlformats.org/officeDocument/2006/relationships/hyperlink" Target="https://corporatefinanceinstitute.com/resources/accounting/gearing/" TargetMode="External"/><Relationship Id="rId50" Type="http://schemas.openxmlformats.org/officeDocument/2006/relationships/hyperlink" Target="https://doi.org/10.4018/ijisscm.369154" TargetMode="External"/><Relationship Id="rId55" Type="http://schemas.openxmlformats.org/officeDocument/2006/relationships/hyperlink" Target="https://rajras.in/ras/mains/paper-1/management/sources-of-finance-short-and-long-term/" TargetMode="External"/><Relationship Id="rId76"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image" Target="media/image10.emf"/><Relationship Id="rId2" Type="http://schemas.openxmlformats.org/officeDocument/2006/relationships/styles" Target="styles.xml"/><Relationship Id="rId29" Type="http://schemas.openxmlformats.org/officeDocument/2006/relationships/hyperlink" Target="https://www.fisdom.com/profit-loss-pl-statemen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A2\BM12255\Calculation.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Trend Analysis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'Trend Analysis'!$B$3</c:f>
              <c:strCache>
                <c:ptCount val="1"/>
                <c:pt idx="0">
                  <c:v>Net sales</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numRef>
              <c:f>'Trend Analysis'!$C$2:$G$2</c:f>
              <c:numCache>
                <c:formatCode>General</c:formatCode>
                <c:ptCount val="5"/>
                <c:pt idx="0">
                  <c:v>2020</c:v>
                </c:pt>
                <c:pt idx="1">
                  <c:v>2021</c:v>
                </c:pt>
                <c:pt idx="2">
                  <c:v>2022</c:v>
                </c:pt>
                <c:pt idx="3">
                  <c:v>2023</c:v>
                </c:pt>
                <c:pt idx="4">
                  <c:v>2024</c:v>
                </c:pt>
              </c:numCache>
            </c:numRef>
          </c:cat>
          <c:val>
            <c:numRef>
              <c:f>'Trend Analysis'!$C$3:$G$3</c:f>
              <c:numCache>
                <c:formatCode>_-[$£-809]* #,##0.00_-;\-[$£-809]* #,##0.00_-;_-[$£-809]* "-"??_-;_-@_-</c:formatCode>
                <c:ptCount val="5"/>
                <c:pt idx="0">
                  <c:v>614680</c:v>
                </c:pt>
                <c:pt idx="1">
                  <c:v>601602</c:v>
                </c:pt>
                <c:pt idx="2">
                  <c:v>542751</c:v>
                </c:pt>
                <c:pt idx="3">
                  <c:v>420457</c:v>
                </c:pt>
                <c:pt idx="4">
                  <c:v>394879</c:v>
                </c:pt>
              </c:numCache>
            </c:numRef>
          </c:val>
          <c:extLst>
            <c:ext xmlns:c16="http://schemas.microsoft.com/office/drawing/2014/chart" uri="{C3380CC4-5D6E-409C-BE32-E72D297353CC}">
              <c16:uniqueId val="{00000000-7191-47A5-963B-75D56F29AF13}"/>
            </c:ext>
          </c:extLst>
        </c:ser>
        <c:ser>
          <c:idx val="1"/>
          <c:order val="1"/>
          <c:tx>
            <c:strRef>
              <c:f>'Trend Analysis'!$B$4</c:f>
              <c:strCache>
                <c:ptCount val="1"/>
                <c:pt idx="0">
                  <c:v>Operating income (loss)</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numRef>
              <c:f>'Trend Analysis'!$C$2:$G$2</c:f>
              <c:numCache>
                <c:formatCode>General</c:formatCode>
                <c:ptCount val="5"/>
                <c:pt idx="0">
                  <c:v>2020</c:v>
                </c:pt>
                <c:pt idx="1">
                  <c:v>2021</c:v>
                </c:pt>
                <c:pt idx="2">
                  <c:v>2022</c:v>
                </c:pt>
                <c:pt idx="3">
                  <c:v>2023</c:v>
                </c:pt>
                <c:pt idx="4">
                  <c:v>2024</c:v>
                </c:pt>
              </c:numCache>
            </c:numRef>
          </c:cat>
          <c:val>
            <c:numRef>
              <c:f>'Trend Analysis'!$C$4:$G$4</c:f>
              <c:numCache>
                <c:formatCode>_-[$£-809]* #,##0.00_-;\-[$£-809]* #,##0.00_-;_-[$£-809]* "-"??_-;_-@_-</c:formatCode>
                <c:ptCount val="5"/>
                <c:pt idx="0">
                  <c:v>37267</c:v>
                </c:pt>
                <c:pt idx="1">
                  <c:v>23253</c:v>
                </c:pt>
                <c:pt idx="2">
                  <c:v>14548</c:v>
                </c:pt>
                <c:pt idx="3">
                  <c:v>-85301</c:v>
                </c:pt>
                <c:pt idx="4">
                  <c:v>-15297</c:v>
                </c:pt>
              </c:numCache>
            </c:numRef>
          </c:val>
          <c:extLst>
            <c:ext xmlns:c16="http://schemas.microsoft.com/office/drawing/2014/chart" uri="{C3380CC4-5D6E-409C-BE32-E72D297353CC}">
              <c16:uniqueId val="{00000001-7191-47A5-963B-75D56F29AF13}"/>
            </c:ext>
          </c:extLst>
        </c:ser>
        <c:ser>
          <c:idx val="2"/>
          <c:order val="2"/>
          <c:tx>
            <c:strRef>
              <c:f>'Trend Analysis'!$B$5</c:f>
              <c:strCache>
                <c:ptCount val="1"/>
                <c:pt idx="0">
                  <c:v>Net income (loss)</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numRef>
              <c:f>'Trend Analysis'!$C$2:$G$2</c:f>
              <c:numCache>
                <c:formatCode>General</c:formatCode>
                <c:ptCount val="5"/>
                <c:pt idx="0">
                  <c:v>2020</c:v>
                </c:pt>
                <c:pt idx="1">
                  <c:v>2021</c:v>
                </c:pt>
                <c:pt idx="2">
                  <c:v>2022</c:v>
                </c:pt>
                <c:pt idx="3">
                  <c:v>2023</c:v>
                </c:pt>
                <c:pt idx="4">
                  <c:v>2024</c:v>
                </c:pt>
              </c:numCache>
            </c:numRef>
          </c:cat>
          <c:val>
            <c:numRef>
              <c:f>'Trend Analysis'!$C$5:$G$5</c:f>
              <c:numCache>
                <c:formatCode>_-[$£-809]* #,##0.00_-;\-[$£-809]* #,##0.00_-;_-[$£-809]* "-"??_-;_-@_-</c:formatCode>
                <c:ptCount val="5"/>
                <c:pt idx="0">
                  <c:v>38572</c:v>
                </c:pt>
                <c:pt idx="1">
                  <c:v>5301</c:v>
                </c:pt>
                <c:pt idx="2">
                  <c:v>407</c:v>
                </c:pt>
                <c:pt idx="3">
                  <c:v>-98238</c:v>
                </c:pt>
                <c:pt idx="4">
                  <c:v>-24029</c:v>
                </c:pt>
              </c:numCache>
            </c:numRef>
          </c:val>
          <c:extLst>
            <c:ext xmlns:c16="http://schemas.microsoft.com/office/drawing/2014/chart" uri="{C3380CC4-5D6E-409C-BE32-E72D297353CC}">
              <c16:uniqueId val="{00000002-7191-47A5-963B-75D56F29AF13}"/>
            </c:ext>
          </c:extLst>
        </c:ser>
        <c:ser>
          <c:idx val="3"/>
          <c:order val="3"/>
          <c:tx>
            <c:strRef>
              <c:f>'Trend Analysis'!$B$6</c:f>
              <c:strCache>
                <c:ptCount val="1"/>
                <c:pt idx="0">
                  <c:v>Total assets</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numRef>
              <c:f>'Trend Analysis'!$C$2:$G$2</c:f>
              <c:numCache>
                <c:formatCode>General</c:formatCode>
                <c:ptCount val="5"/>
                <c:pt idx="0">
                  <c:v>2020</c:v>
                </c:pt>
                <c:pt idx="1">
                  <c:v>2021</c:v>
                </c:pt>
                <c:pt idx="2">
                  <c:v>2022</c:v>
                </c:pt>
                <c:pt idx="3">
                  <c:v>2023</c:v>
                </c:pt>
                <c:pt idx="4">
                  <c:v>2024</c:v>
                </c:pt>
              </c:numCache>
            </c:numRef>
          </c:cat>
          <c:val>
            <c:numRef>
              <c:f>'Trend Analysis'!$C$6:$G$6</c:f>
              <c:numCache>
                <c:formatCode>_-[$£-809]* #,##0.00_-;\-[$£-809]* #,##0.00_-;_-[$£-809]* "-"??_-;_-@_-</c:formatCode>
                <c:ptCount val="5"/>
                <c:pt idx="0">
                  <c:v>510290</c:v>
                </c:pt>
                <c:pt idx="1">
                  <c:v>510348</c:v>
                </c:pt>
                <c:pt idx="2">
                  <c:v>504163</c:v>
                </c:pt>
                <c:pt idx="3">
                  <c:v>355872</c:v>
                </c:pt>
                <c:pt idx="4">
                  <c:v>323354</c:v>
                </c:pt>
              </c:numCache>
            </c:numRef>
          </c:val>
          <c:extLst>
            <c:ext xmlns:c16="http://schemas.microsoft.com/office/drawing/2014/chart" uri="{C3380CC4-5D6E-409C-BE32-E72D297353CC}">
              <c16:uniqueId val="{00000003-7191-47A5-963B-75D56F29AF13}"/>
            </c:ext>
          </c:extLst>
        </c:ser>
        <c:dLbls>
          <c:showLegendKey val="0"/>
          <c:showVal val="0"/>
          <c:showCatName val="0"/>
          <c:showSerName val="0"/>
          <c:showPercent val="0"/>
          <c:showBubbleSize val="0"/>
        </c:dLbls>
        <c:gapWidth val="315"/>
        <c:overlap val="-40"/>
        <c:axId val="1931244448"/>
        <c:axId val="1931229888"/>
      </c:barChart>
      <c:catAx>
        <c:axId val="193124444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31229888"/>
        <c:crosses val="autoZero"/>
        <c:auto val="1"/>
        <c:lblAlgn val="ctr"/>
        <c:lblOffset val="100"/>
        <c:noMultiLvlLbl val="0"/>
      </c:catAx>
      <c:valAx>
        <c:axId val="193122988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31244448"/>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Ratio!$B$9:$C$9</c:f>
              <c:strCache>
                <c:ptCount val="1"/>
                <c:pt idx="0">
                  <c:v>Net Margin C/A</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Ratio!$D$3:$H$3</c:f>
              <c:numCache>
                <c:formatCode>General</c:formatCode>
                <c:ptCount val="5"/>
                <c:pt idx="0">
                  <c:v>2020</c:v>
                </c:pt>
                <c:pt idx="1">
                  <c:v>2021</c:v>
                </c:pt>
                <c:pt idx="2">
                  <c:v>2022</c:v>
                </c:pt>
                <c:pt idx="3">
                  <c:v>2023</c:v>
                </c:pt>
                <c:pt idx="4">
                  <c:v>2024</c:v>
                </c:pt>
              </c:numCache>
            </c:numRef>
          </c:cat>
          <c:val>
            <c:numRef>
              <c:f>Ratio!$D$9:$H$9</c:f>
              <c:numCache>
                <c:formatCode>0.00%</c:formatCode>
                <c:ptCount val="5"/>
                <c:pt idx="0">
                  <c:v>6.2751350296088998E-2</c:v>
                </c:pt>
                <c:pt idx="1">
                  <c:v>8.8114733661124808E-3</c:v>
                </c:pt>
                <c:pt idx="2">
                  <c:v>7.4988346405626197E-4</c:v>
                </c:pt>
                <c:pt idx="3">
                  <c:v>-0.233645771149012</c:v>
                </c:pt>
                <c:pt idx="4">
                  <c:v>-6.08515519944084E-2</c:v>
                </c:pt>
              </c:numCache>
            </c:numRef>
          </c:val>
          <c:extLst>
            <c:ext xmlns:c16="http://schemas.microsoft.com/office/drawing/2014/chart" uri="{C3380CC4-5D6E-409C-BE32-E72D297353CC}">
              <c16:uniqueId val="{00000000-8D75-48F5-BF13-1CC033AE074F}"/>
            </c:ext>
          </c:extLst>
        </c:ser>
        <c:ser>
          <c:idx val="1"/>
          <c:order val="1"/>
          <c:tx>
            <c:strRef>
              <c:f>Ratio!$B$10:$C$10</c:f>
              <c:strCache>
                <c:ptCount val="1"/>
                <c:pt idx="0">
                  <c:v>Return on Capital Employed (ROCE) B/(D-E)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Ratio!$D$3:$H$3</c:f>
              <c:numCache>
                <c:formatCode>General</c:formatCode>
                <c:ptCount val="5"/>
                <c:pt idx="0">
                  <c:v>2020</c:v>
                </c:pt>
                <c:pt idx="1">
                  <c:v>2021</c:v>
                </c:pt>
                <c:pt idx="2">
                  <c:v>2022</c:v>
                </c:pt>
                <c:pt idx="3">
                  <c:v>2023</c:v>
                </c:pt>
                <c:pt idx="4">
                  <c:v>2024</c:v>
                </c:pt>
              </c:numCache>
            </c:numRef>
          </c:cat>
          <c:val>
            <c:numRef>
              <c:f>Ratio!$D$10:$H$10</c:f>
              <c:numCache>
                <c:formatCode>0.00%</c:formatCode>
                <c:ptCount val="5"/>
                <c:pt idx="0">
                  <c:v>0.112664006288167</c:v>
                </c:pt>
                <c:pt idx="1">
                  <c:v>7.92101130599773E-2</c:v>
                </c:pt>
                <c:pt idx="2">
                  <c:v>5.0568320066738497E-2</c:v>
                </c:pt>
                <c:pt idx="3">
                  <c:v>-0.43806105051251998</c:v>
                </c:pt>
                <c:pt idx="4">
                  <c:v>-9.2673706403009801E-2</c:v>
                </c:pt>
              </c:numCache>
            </c:numRef>
          </c:val>
          <c:extLst>
            <c:ext xmlns:c16="http://schemas.microsoft.com/office/drawing/2014/chart" uri="{C3380CC4-5D6E-409C-BE32-E72D297353CC}">
              <c16:uniqueId val="{00000001-8D75-48F5-BF13-1CC033AE074F}"/>
            </c:ext>
          </c:extLst>
        </c:ser>
        <c:dLbls>
          <c:showLegendKey val="0"/>
          <c:showVal val="1"/>
          <c:showCatName val="0"/>
          <c:showSerName val="0"/>
          <c:showPercent val="0"/>
          <c:showBubbleSize val="0"/>
        </c:dLbls>
        <c:gapWidth val="315"/>
        <c:overlap val="-40"/>
        <c:axId val="1340866224"/>
        <c:axId val="1340866768"/>
      </c:barChart>
      <c:catAx>
        <c:axId val="134086622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340866768"/>
        <c:crosses val="autoZero"/>
        <c:auto val="1"/>
        <c:lblAlgn val="ctr"/>
        <c:lblOffset val="100"/>
        <c:noMultiLvlLbl val="0"/>
      </c:catAx>
      <c:valAx>
        <c:axId val="134086676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340866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b659c81d-d88a-4d94-a79e-226ded935cc9}"/>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Ratio!$B$17:$C$17</c:f>
              <c:strCache>
                <c:ptCount val="1"/>
                <c:pt idx="0">
                  <c:v>Current Ratio A/C</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Ratio!$D$13:$H$13</c:f>
              <c:numCache>
                <c:formatCode>General</c:formatCode>
                <c:ptCount val="5"/>
                <c:pt idx="0">
                  <c:v>2020</c:v>
                </c:pt>
                <c:pt idx="1">
                  <c:v>2021</c:v>
                </c:pt>
                <c:pt idx="2">
                  <c:v>2022</c:v>
                </c:pt>
                <c:pt idx="3">
                  <c:v>2023</c:v>
                </c:pt>
                <c:pt idx="4">
                  <c:v>2024</c:v>
                </c:pt>
              </c:numCache>
            </c:numRef>
          </c:cat>
          <c:val>
            <c:numRef>
              <c:f>Ratio!$D$17:$H$17</c:f>
              <c:numCache>
                <c:formatCode>_(* #,##0.00_);_(* \(#,##0.00\);_(* "-"??_);_(@_)</c:formatCode>
                <c:ptCount val="5"/>
                <c:pt idx="0">
                  <c:v>1.8207509330956499</c:v>
                </c:pt>
                <c:pt idx="1">
                  <c:v>1.5551947303113201</c:v>
                </c:pt>
                <c:pt idx="2">
                  <c:v>1.5615804280441401</c:v>
                </c:pt>
                <c:pt idx="3">
                  <c:v>1.6062935934668801</c:v>
                </c:pt>
                <c:pt idx="4">
                  <c:v>1.5319506478574301</c:v>
                </c:pt>
              </c:numCache>
            </c:numRef>
          </c:val>
          <c:extLst>
            <c:ext xmlns:c16="http://schemas.microsoft.com/office/drawing/2014/chart" uri="{C3380CC4-5D6E-409C-BE32-E72D297353CC}">
              <c16:uniqueId val="{00000000-9951-4CAE-9EB7-E16FB1E52B1A}"/>
            </c:ext>
          </c:extLst>
        </c:ser>
        <c:ser>
          <c:idx val="1"/>
          <c:order val="1"/>
          <c:tx>
            <c:strRef>
              <c:f>Ratio!$B$18:$C$18</c:f>
              <c:strCache>
                <c:ptCount val="1"/>
                <c:pt idx="0">
                  <c:v>Quick Ratio (A-B)/C</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Ratio!$D$13:$H$13</c:f>
              <c:numCache>
                <c:formatCode>General</c:formatCode>
                <c:ptCount val="5"/>
                <c:pt idx="0">
                  <c:v>2020</c:v>
                </c:pt>
                <c:pt idx="1">
                  <c:v>2021</c:v>
                </c:pt>
                <c:pt idx="2">
                  <c:v>2022</c:v>
                </c:pt>
                <c:pt idx="3">
                  <c:v>2023</c:v>
                </c:pt>
                <c:pt idx="4">
                  <c:v>2024</c:v>
                </c:pt>
              </c:numCache>
            </c:numRef>
          </c:cat>
          <c:val>
            <c:numRef>
              <c:f>Ratio!$D$18:$H$18</c:f>
              <c:numCache>
                <c:formatCode>_(* #,##0.00_);_(* \(#,##0.00\);_(* "-"??_);_(@_)</c:formatCode>
                <c:ptCount val="5"/>
                <c:pt idx="0">
                  <c:v>1.14986908807309</c:v>
                </c:pt>
                <c:pt idx="1">
                  <c:v>0.93491307135575497</c:v>
                </c:pt>
                <c:pt idx="2">
                  <c:v>0.91401237105782196</c:v>
                </c:pt>
                <c:pt idx="3">
                  <c:v>1.0585176359619699</c:v>
                </c:pt>
                <c:pt idx="4">
                  <c:v>1.0306271360974399</c:v>
                </c:pt>
              </c:numCache>
            </c:numRef>
          </c:val>
          <c:extLst>
            <c:ext xmlns:c16="http://schemas.microsoft.com/office/drawing/2014/chart" uri="{C3380CC4-5D6E-409C-BE32-E72D297353CC}">
              <c16:uniqueId val="{00000001-9951-4CAE-9EB7-E16FB1E52B1A}"/>
            </c:ext>
          </c:extLst>
        </c:ser>
        <c:dLbls>
          <c:showLegendKey val="0"/>
          <c:showVal val="1"/>
          <c:showCatName val="0"/>
          <c:showSerName val="0"/>
          <c:showPercent val="0"/>
          <c:showBubbleSize val="0"/>
        </c:dLbls>
        <c:gapWidth val="315"/>
        <c:overlap val="-40"/>
        <c:axId val="1340868944"/>
        <c:axId val="1340869488"/>
      </c:barChart>
      <c:catAx>
        <c:axId val="134086894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340869488"/>
        <c:crosses val="autoZero"/>
        <c:auto val="1"/>
        <c:lblAlgn val="ctr"/>
        <c:lblOffset val="100"/>
        <c:noMultiLvlLbl val="0"/>
      </c:catAx>
      <c:valAx>
        <c:axId val="134086948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340868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7450ac4d-5f51-4b60-9a51-ec96115fa084}"/>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Ratio!$B$36:$C$36</c:f>
              <c:strCache>
                <c:ptCount val="1"/>
                <c:pt idx="0">
                  <c:v>Inventory Turnover Days 365/(B/E)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Ratio!$D$41:$H$41</c:f>
              <c:numCache>
                <c:formatCode>General</c:formatCode>
                <c:ptCount val="5"/>
                <c:pt idx="0">
                  <c:v>2020</c:v>
                </c:pt>
                <c:pt idx="1">
                  <c:v>2021</c:v>
                </c:pt>
                <c:pt idx="2">
                  <c:v>2022</c:v>
                </c:pt>
                <c:pt idx="3">
                  <c:v>2023</c:v>
                </c:pt>
                <c:pt idx="4">
                  <c:v>2024</c:v>
                </c:pt>
              </c:numCache>
            </c:numRef>
          </c:cat>
          <c:val>
            <c:numRef>
              <c:f>Ratio!$D$36:$H$36</c:f>
              <c:numCache>
                <c:formatCode>_(* #,##0_);_(* \(#,##0\);_(* "-"??_);_(@_)</c:formatCode>
                <c:ptCount val="5"/>
                <c:pt idx="0">
                  <c:v>50.130638377461104</c:v>
                </c:pt>
                <c:pt idx="1">
                  <c:v>57.2594356791869</c:v>
                </c:pt>
                <c:pt idx="2">
                  <c:v>65.520406752053404</c:v>
                </c:pt>
                <c:pt idx="3">
                  <c:v>49.891521135222703</c:v>
                </c:pt>
                <c:pt idx="4">
                  <c:v>51.559490538832598</c:v>
                </c:pt>
              </c:numCache>
            </c:numRef>
          </c:val>
          <c:extLst>
            <c:ext xmlns:c16="http://schemas.microsoft.com/office/drawing/2014/chart" uri="{C3380CC4-5D6E-409C-BE32-E72D297353CC}">
              <c16:uniqueId val="{00000000-CA24-4272-9525-C888802EC076}"/>
            </c:ext>
          </c:extLst>
        </c:ser>
        <c:ser>
          <c:idx val="1"/>
          <c:order val="1"/>
          <c:tx>
            <c:strRef>
              <c:f>Ratio!$B$37:$C$37</c:f>
              <c:strCache>
                <c:ptCount val="1"/>
                <c:pt idx="0">
                  <c:v>Receivables Turnover Days 365/(A/H)</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Ratio!$D$41:$H$41</c:f>
              <c:numCache>
                <c:formatCode>General</c:formatCode>
                <c:ptCount val="5"/>
                <c:pt idx="0">
                  <c:v>2020</c:v>
                </c:pt>
                <c:pt idx="1">
                  <c:v>2021</c:v>
                </c:pt>
                <c:pt idx="2">
                  <c:v>2022</c:v>
                </c:pt>
                <c:pt idx="3">
                  <c:v>2023</c:v>
                </c:pt>
                <c:pt idx="4">
                  <c:v>2024</c:v>
                </c:pt>
              </c:numCache>
            </c:numRef>
          </c:cat>
          <c:val>
            <c:numRef>
              <c:f>Ratio!$D$37:$H$37</c:f>
              <c:numCache>
                <c:formatCode>_(* #,##0_);_(* \(#,##0\);_(* "-"??_);_(@_)</c:formatCode>
                <c:ptCount val="5"/>
                <c:pt idx="0">
                  <c:v>38.428975239148798</c:v>
                </c:pt>
                <c:pt idx="1">
                  <c:v>39.198236541766803</c:v>
                </c:pt>
                <c:pt idx="2">
                  <c:v>37.776337583901302</c:v>
                </c:pt>
                <c:pt idx="3">
                  <c:v>48.872464960745098</c:v>
                </c:pt>
                <c:pt idx="4">
                  <c:v>52.771140020107403</c:v>
                </c:pt>
              </c:numCache>
            </c:numRef>
          </c:val>
          <c:extLst>
            <c:ext xmlns:c16="http://schemas.microsoft.com/office/drawing/2014/chart" uri="{C3380CC4-5D6E-409C-BE32-E72D297353CC}">
              <c16:uniqueId val="{00000001-CA24-4272-9525-C888802EC076}"/>
            </c:ext>
          </c:extLst>
        </c:ser>
        <c:ser>
          <c:idx val="2"/>
          <c:order val="2"/>
          <c:tx>
            <c:strRef>
              <c:f>Ratio!$B$38:$C$38</c:f>
              <c:strCache>
                <c:ptCount val="1"/>
                <c:pt idx="0">
                  <c:v>Payables Turnover Days 365/(B/K)</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Ratio!$D$41:$H$41</c:f>
              <c:numCache>
                <c:formatCode>General</c:formatCode>
                <c:ptCount val="5"/>
                <c:pt idx="0">
                  <c:v>2020</c:v>
                </c:pt>
                <c:pt idx="1">
                  <c:v>2021</c:v>
                </c:pt>
                <c:pt idx="2">
                  <c:v>2022</c:v>
                </c:pt>
                <c:pt idx="3">
                  <c:v>2023</c:v>
                </c:pt>
                <c:pt idx="4">
                  <c:v>2024</c:v>
                </c:pt>
              </c:numCache>
            </c:numRef>
          </c:cat>
          <c:val>
            <c:numRef>
              <c:f>Ratio!$D$38:$H$38</c:f>
              <c:numCache>
                <c:formatCode>_(* #,##0_);_(* \(#,##0\);_(* "-"??_);_(@_)</c:formatCode>
                <c:ptCount val="5"/>
                <c:pt idx="0">
                  <c:v>34.645212169041798</c:v>
                </c:pt>
                <c:pt idx="1">
                  <c:v>39.476388636119701</c:v>
                </c:pt>
                <c:pt idx="2">
                  <c:v>33.359642113512599</c:v>
                </c:pt>
                <c:pt idx="3">
                  <c:v>32.234807074701799</c:v>
                </c:pt>
                <c:pt idx="4">
                  <c:v>46.8008526621215</c:v>
                </c:pt>
              </c:numCache>
            </c:numRef>
          </c:val>
          <c:extLst>
            <c:ext xmlns:c16="http://schemas.microsoft.com/office/drawing/2014/chart" uri="{C3380CC4-5D6E-409C-BE32-E72D297353CC}">
              <c16:uniqueId val="{00000002-CA24-4272-9525-C888802EC076}"/>
            </c:ext>
          </c:extLst>
        </c:ser>
        <c:dLbls>
          <c:showLegendKey val="0"/>
          <c:showVal val="1"/>
          <c:showCatName val="0"/>
          <c:showSerName val="0"/>
          <c:showPercent val="0"/>
          <c:showBubbleSize val="0"/>
        </c:dLbls>
        <c:gapWidth val="315"/>
        <c:overlap val="-40"/>
        <c:axId val="1199536448"/>
        <c:axId val="1199529920"/>
      </c:barChart>
      <c:catAx>
        <c:axId val="119953644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199529920"/>
        <c:crosses val="autoZero"/>
        <c:auto val="1"/>
        <c:lblAlgn val="ctr"/>
        <c:lblOffset val="100"/>
        <c:noMultiLvlLbl val="0"/>
      </c:catAx>
      <c:valAx>
        <c:axId val="119952992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199536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6f6ed798-8995-4aa5-82ac-14d0da1e078f}"/>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Gearing</a:t>
            </a:r>
            <a:r>
              <a:rPr lang="en-US" baseline="0"/>
              <a:t> Ratios</a:t>
            </a:r>
            <a:endParaRPr lang="en-US"/>
          </a:p>
        </c:rich>
      </c:tx>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Ratio!$B$26:$C$26</c:f>
              <c:strCache>
                <c:ptCount val="1"/>
                <c:pt idx="0">
                  <c:v>Debt/Equity Ratio A/B</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Ratio!$D$21:$H$21</c:f>
              <c:numCache>
                <c:formatCode>General</c:formatCode>
                <c:ptCount val="5"/>
                <c:pt idx="0">
                  <c:v>2020</c:v>
                </c:pt>
                <c:pt idx="1">
                  <c:v>2021</c:v>
                </c:pt>
                <c:pt idx="2">
                  <c:v>2022</c:v>
                </c:pt>
                <c:pt idx="3">
                  <c:v>2023</c:v>
                </c:pt>
                <c:pt idx="4">
                  <c:v>2024</c:v>
                </c:pt>
              </c:numCache>
            </c:numRef>
          </c:cat>
          <c:val>
            <c:numRef>
              <c:f>Ratio!$D$26:$H$26</c:f>
              <c:numCache>
                <c:formatCode>_(* #,##0.00_);_(* \(#,##0.00\);_(* "-"??_);_(@_)</c:formatCode>
                <c:ptCount val="5"/>
                <c:pt idx="0">
                  <c:v>0.62875317984941004</c:v>
                </c:pt>
                <c:pt idx="1">
                  <c:v>0.84942869878129701</c:v>
                </c:pt>
                <c:pt idx="2">
                  <c:v>0.87835964918817</c:v>
                </c:pt>
                <c:pt idx="3">
                  <c:v>0.98900067069081199</c:v>
                </c:pt>
                <c:pt idx="4">
                  <c:v>1.11197544169034</c:v>
                </c:pt>
              </c:numCache>
            </c:numRef>
          </c:val>
          <c:extLst>
            <c:ext xmlns:c16="http://schemas.microsoft.com/office/drawing/2014/chart" uri="{C3380CC4-5D6E-409C-BE32-E72D297353CC}">
              <c16:uniqueId val="{00000000-D107-418B-8D1B-D01C2F5BF937}"/>
            </c:ext>
          </c:extLst>
        </c:ser>
        <c:ser>
          <c:idx val="1"/>
          <c:order val="1"/>
          <c:tx>
            <c:strRef>
              <c:f>Ratio!$B$27:$C$27</c:f>
              <c:strCache>
                <c:ptCount val="1"/>
                <c:pt idx="0">
                  <c:v>Interest Coverage Ratio C/D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Ratio!$D$21:$H$21</c:f>
              <c:numCache>
                <c:formatCode>General</c:formatCode>
                <c:ptCount val="5"/>
                <c:pt idx="0">
                  <c:v>2020</c:v>
                </c:pt>
                <c:pt idx="1">
                  <c:v>2021</c:v>
                </c:pt>
                <c:pt idx="2">
                  <c:v>2022</c:v>
                </c:pt>
                <c:pt idx="3">
                  <c:v>2023</c:v>
                </c:pt>
                <c:pt idx="4">
                  <c:v>2024</c:v>
                </c:pt>
              </c:numCache>
            </c:numRef>
          </c:cat>
          <c:val>
            <c:numRef>
              <c:f>Ratio!$D$27:$H$27</c:f>
              <c:numCache>
                <c:formatCode>_(* #,##0.00_);_(* \(#,##0.00\);_(* "-"??_);_(@_)</c:formatCode>
                <c:ptCount val="5"/>
                <c:pt idx="0">
                  <c:v>1.8633500000000001</c:v>
                </c:pt>
                <c:pt idx="1">
                  <c:v>0.41523214285714299</c:v>
                </c:pt>
                <c:pt idx="2">
                  <c:v>0.165318181818182</c:v>
                </c:pt>
                <c:pt idx="3">
                  <c:v>-1.55092727272727</c:v>
                </c:pt>
                <c:pt idx="4">
                  <c:v>-0.41387987012986999</c:v>
                </c:pt>
              </c:numCache>
            </c:numRef>
          </c:val>
          <c:extLst>
            <c:ext xmlns:c16="http://schemas.microsoft.com/office/drawing/2014/chart" uri="{C3380CC4-5D6E-409C-BE32-E72D297353CC}">
              <c16:uniqueId val="{00000001-D107-418B-8D1B-D01C2F5BF937}"/>
            </c:ext>
          </c:extLst>
        </c:ser>
        <c:dLbls>
          <c:showLegendKey val="0"/>
          <c:showVal val="1"/>
          <c:showCatName val="0"/>
          <c:showSerName val="0"/>
          <c:showPercent val="0"/>
          <c:showBubbleSize val="0"/>
        </c:dLbls>
        <c:gapWidth val="315"/>
        <c:overlap val="-40"/>
        <c:axId val="1199013408"/>
        <c:axId val="1199009600"/>
      </c:barChart>
      <c:catAx>
        <c:axId val="119901340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199009600"/>
        <c:crosses val="autoZero"/>
        <c:auto val="1"/>
        <c:lblAlgn val="ctr"/>
        <c:lblOffset val="100"/>
        <c:noMultiLvlLbl val="0"/>
      </c:catAx>
      <c:valAx>
        <c:axId val="119900960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199013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7773d02d-4233-48cb-8dea-9139216b8e6e}"/>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Investment Ratios</a:t>
            </a:r>
          </a:p>
        </c:rich>
      </c:tx>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Ratio!$B$52:$C$52</c:f>
              <c:strCache>
                <c:ptCount val="1"/>
                <c:pt idx="0">
                  <c:v>Return On Assest (ROA) A/B</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Ratio!$D$56:$H$56</c:f>
              <c:numCache>
                <c:formatCode>General</c:formatCode>
                <c:ptCount val="5"/>
                <c:pt idx="0">
                  <c:v>2020</c:v>
                </c:pt>
                <c:pt idx="1">
                  <c:v>2021</c:v>
                </c:pt>
                <c:pt idx="2">
                  <c:v>2022</c:v>
                </c:pt>
                <c:pt idx="3">
                  <c:v>2023</c:v>
                </c:pt>
                <c:pt idx="4">
                  <c:v>2024</c:v>
                </c:pt>
              </c:numCache>
            </c:numRef>
          </c:cat>
          <c:val>
            <c:numRef>
              <c:f>Ratio!$D$52:$H$52</c:f>
              <c:numCache>
                <c:formatCode>_(* #,##0.00_);_(* \(#,##0.00\);_(* "-"??_);_(@_)</c:formatCode>
                <c:ptCount val="5"/>
                <c:pt idx="0">
                  <c:v>8.6039310980030995E-2</c:v>
                </c:pt>
                <c:pt idx="1">
                  <c:v>3.1507912248113001E-2</c:v>
                </c:pt>
                <c:pt idx="2">
                  <c:v>2.2597850298415399E-2</c:v>
                </c:pt>
                <c:pt idx="3">
                  <c:v>-0.25923365704522999</c:v>
                </c:pt>
                <c:pt idx="4">
                  <c:v>-5.7515911354119598E-2</c:v>
                </c:pt>
              </c:numCache>
            </c:numRef>
          </c:val>
          <c:extLst>
            <c:ext xmlns:c16="http://schemas.microsoft.com/office/drawing/2014/chart" uri="{C3380CC4-5D6E-409C-BE32-E72D297353CC}">
              <c16:uniqueId val="{00000000-DA0C-4376-9E6F-8FA67491E1BE}"/>
            </c:ext>
          </c:extLst>
        </c:ser>
        <c:ser>
          <c:idx val="1"/>
          <c:order val="1"/>
          <c:tx>
            <c:strRef>
              <c:f>Ratio!$B$53:$C$53</c:f>
              <c:strCache>
                <c:ptCount val="1"/>
                <c:pt idx="0">
                  <c:v>Return On Equity D/C</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Ratio!$D$56:$H$56</c:f>
              <c:numCache>
                <c:formatCode>General</c:formatCode>
                <c:ptCount val="5"/>
                <c:pt idx="0">
                  <c:v>2020</c:v>
                </c:pt>
                <c:pt idx="1">
                  <c:v>2021</c:v>
                </c:pt>
                <c:pt idx="2">
                  <c:v>2022</c:v>
                </c:pt>
                <c:pt idx="3">
                  <c:v>2023</c:v>
                </c:pt>
                <c:pt idx="4">
                  <c:v>2024</c:v>
                </c:pt>
              </c:numCache>
            </c:numRef>
          </c:cat>
          <c:val>
            <c:numRef>
              <c:f>Ratio!$D$53:$H$53</c:f>
              <c:numCache>
                <c:formatCode>_(* #,##0.00_);_(* \(#,##0.00\);_(* "-"??_);_(@_)</c:formatCode>
                <c:ptCount val="5"/>
                <c:pt idx="0">
                  <c:v>0.123114832062458</c:v>
                </c:pt>
                <c:pt idx="1">
                  <c:v>1.9210071426241801E-2</c:v>
                </c:pt>
                <c:pt idx="2">
                  <c:v>1.51635954486859E-3</c:v>
                </c:pt>
                <c:pt idx="3">
                  <c:v>-0.54906103286385</c:v>
                </c:pt>
                <c:pt idx="4">
                  <c:v>-0.15694458051663901</c:v>
                </c:pt>
              </c:numCache>
            </c:numRef>
          </c:val>
          <c:extLst>
            <c:ext xmlns:c16="http://schemas.microsoft.com/office/drawing/2014/chart" uri="{C3380CC4-5D6E-409C-BE32-E72D297353CC}">
              <c16:uniqueId val="{00000001-DA0C-4376-9E6F-8FA67491E1BE}"/>
            </c:ext>
          </c:extLst>
        </c:ser>
        <c:dLbls>
          <c:showLegendKey val="0"/>
          <c:showVal val="1"/>
          <c:showCatName val="0"/>
          <c:showSerName val="0"/>
          <c:showPercent val="0"/>
          <c:showBubbleSize val="0"/>
        </c:dLbls>
        <c:gapWidth val="315"/>
        <c:overlap val="-40"/>
        <c:axId val="2046080928"/>
        <c:axId val="2046069280"/>
      </c:barChart>
      <c:catAx>
        <c:axId val="204608092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2046069280"/>
        <c:crosses val="autoZero"/>
        <c:auto val="1"/>
        <c:lblAlgn val="ctr"/>
        <c:lblOffset val="100"/>
        <c:noMultiLvlLbl val="0"/>
      </c:catAx>
      <c:valAx>
        <c:axId val="204606928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20460809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8619a7b6-c2d8-4bab-9d1e-297bd4773387}"/>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Market Ratios</a:t>
            </a:r>
          </a:p>
        </c:rich>
      </c:tx>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Ratio!$B$44:$C$44</c:f>
              <c:strCache>
                <c:ptCount val="1"/>
                <c:pt idx="0">
                  <c:v>Price/Earnings Ratio B/A</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dLbl>
              <c:idx val="3"/>
              <c:layout>
                <c:manualLayout>
                  <c:x val="-9.2872956167927001E-17"/>
                  <c:y val="0.1169590643274853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7E7-4CAB-95A8-652F6B37CB46}"/>
                </c:ext>
              </c:extLst>
            </c:dLbl>
            <c:dLbl>
              <c:idx val="4"/>
              <c:layout>
                <c:manualLayout>
                  <c:x val="-2.5329280648429585E-3"/>
                  <c:y val="0.11278195488721804"/>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7E7-4CAB-95A8-652F6B37CB46}"/>
                </c:ext>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Ratio!$D$41:$H$41</c:f>
              <c:numCache>
                <c:formatCode>General</c:formatCode>
                <c:ptCount val="5"/>
                <c:pt idx="0">
                  <c:v>2020</c:v>
                </c:pt>
                <c:pt idx="1">
                  <c:v>2021</c:v>
                </c:pt>
                <c:pt idx="2">
                  <c:v>2022</c:v>
                </c:pt>
                <c:pt idx="3">
                  <c:v>2023</c:v>
                </c:pt>
                <c:pt idx="4">
                  <c:v>2024</c:v>
                </c:pt>
              </c:numCache>
            </c:numRef>
          </c:cat>
          <c:val>
            <c:numRef>
              <c:f>Ratio!$D$44:$H$44</c:f>
              <c:numCache>
                <c:formatCode>_(* #,##0.00_);_(* \(#,##0.00\);_(* "-"??_);_(@_)</c:formatCode>
                <c:ptCount val="5"/>
                <c:pt idx="0">
                  <c:v>8.1118693902576098</c:v>
                </c:pt>
                <c:pt idx="1">
                  <c:v>52.548201890942302</c:v>
                </c:pt>
                <c:pt idx="2">
                  <c:v>704.31131753653995</c:v>
                </c:pt>
                <c:pt idx="3">
                  <c:v>-1.82176959685253</c:v>
                </c:pt>
                <c:pt idx="4">
                  <c:v>-6.3862535272366303</c:v>
                </c:pt>
              </c:numCache>
            </c:numRef>
          </c:val>
          <c:extLst>
            <c:ext xmlns:c16="http://schemas.microsoft.com/office/drawing/2014/chart" uri="{C3380CC4-5D6E-409C-BE32-E72D297353CC}">
              <c16:uniqueId val="{00000000-2758-46BA-B2B3-9ADD457F7758}"/>
            </c:ext>
          </c:extLst>
        </c:ser>
        <c:dLbls>
          <c:dLblPos val="outEnd"/>
          <c:showLegendKey val="0"/>
          <c:showVal val="1"/>
          <c:showCatName val="0"/>
          <c:showSerName val="0"/>
          <c:showPercent val="0"/>
          <c:showBubbleSize val="0"/>
        </c:dLbls>
        <c:gapWidth val="315"/>
        <c:overlap val="-40"/>
        <c:axId val="108280256"/>
        <c:axId val="108267744"/>
      </c:barChart>
      <c:catAx>
        <c:axId val="10828025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08267744"/>
        <c:crosses val="autoZero"/>
        <c:auto val="1"/>
        <c:lblAlgn val="ctr"/>
        <c:lblOffset val="100"/>
        <c:noMultiLvlLbl val="0"/>
      </c:catAx>
      <c:valAx>
        <c:axId val="10826774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108280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5fdeab8c-bb82-4884-bd26-a6bf602aa8f8}"/>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US"/>
              <a:t>Cashflow Ratios</a:t>
            </a:r>
          </a:p>
        </c:rich>
      </c:tx>
      <c:overlay val="0"/>
      <c:spPr>
        <a:noFill/>
        <a:ln>
          <a:noFill/>
        </a:ln>
        <a:effectLst/>
      </c:spPr>
      <c:txPr>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Ratio!$B$60:$C$60</c:f>
              <c:strCache>
                <c:ptCount val="1"/>
                <c:pt idx="0">
                  <c:v>Operating Cash Flow Ratio A/B</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Ratio!$D$56:$H$56</c:f>
              <c:numCache>
                <c:formatCode>General</c:formatCode>
                <c:ptCount val="5"/>
                <c:pt idx="0">
                  <c:v>2020</c:v>
                </c:pt>
                <c:pt idx="1">
                  <c:v>2021</c:v>
                </c:pt>
                <c:pt idx="2">
                  <c:v>2022</c:v>
                </c:pt>
                <c:pt idx="3">
                  <c:v>2023</c:v>
                </c:pt>
                <c:pt idx="4">
                  <c:v>2024</c:v>
                </c:pt>
              </c:numCache>
            </c:numRef>
          </c:cat>
          <c:val>
            <c:numRef>
              <c:f>Ratio!$D$60:$H$60</c:f>
              <c:numCache>
                <c:formatCode>_(* #,##0.00_);_(* \(#,##0.00\);_(* "-"??_);_(@_)</c:formatCode>
                <c:ptCount val="5"/>
                <c:pt idx="0">
                  <c:v>0.43759679126511097</c:v>
                </c:pt>
                <c:pt idx="1">
                  <c:v>0.20705577363956301</c:v>
                </c:pt>
                <c:pt idx="2">
                  <c:v>0.183556378855562</c:v>
                </c:pt>
                <c:pt idx="3">
                  <c:v>-5.7400650333854601E-2</c:v>
                </c:pt>
                <c:pt idx="4">
                  <c:v>1.8636561775464199E-2</c:v>
                </c:pt>
              </c:numCache>
            </c:numRef>
          </c:val>
          <c:extLst>
            <c:ext xmlns:c16="http://schemas.microsoft.com/office/drawing/2014/chart" uri="{C3380CC4-5D6E-409C-BE32-E72D297353CC}">
              <c16:uniqueId val="{00000000-A6F7-4152-9E0A-1399B22C4364}"/>
            </c:ext>
          </c:extLst>
        </c:ser>
        <c:ser>
          <c:idx val="1"/>
          <c:order val="1"/>
          <c:tx>
            <c:strRef>
              <c:f>Ratio!$B$61:$C$61</c:f>
              <c:strCache>
                <c:ptCount val="1"/>
                <c:pt idx="0">
                  <c:v>Sales Ratio A/C</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Ratio!$D$56:$H$56</c:f>
              <c:numCache>
                <c:formatCode>General</c:formatCode>
                <c:ptCount val="5"/>
                <c:pt idx="0">
                  <c:v>2020</c:v>
                </c:pt>
                <c:pt idx="1">
                  <c:v>2021</c:v>
                </c:pt>
                <c:pt idx="2">
                  <c:v>2022</c:v>
                </c:pt>
                <c:pt idx="3">
                  <c:v>2023</c:v>
                </c:pt>
                <c:pt idx="4">
                  <c:v>2024</c:v>
                </c:pt>
              </c:numCache>
            </c:numRef>
          </c:cat>
          <c:val>
            <c:numRef>
              <c:f>Ratio!$D$61:$H$61</c:f>
              <c:numCache>
                <c:formatCode>_(* #,##0.00_);_(* \(#,##0.00\);_(* "-"??_);_(@_)</c:formatCode>
                <c:ptCount val="5"/>
                <c:pt idx="0">
                  <c:v>0.127794950218</c:v>
                </c:pt>
                <c:pt idx="1">
                  <c:v>7.4612451421371601E-2</c:v>
                </c:pt>
                <c:pt idx="2">
                  <c:v>7.3210367184952205E-2</c:v>
                </c:pt>
                <c:pt idx="3">
                  <c:v>-2.19998715683173E-2</c:v>
                </c:pt>
                <c:pt idx="4">
                  <c:v>7.4706429058015202E-3</c:v>
                </c:pt>
              </c:numCache>
            </c:numRef>
          </c:val>
          <c:extLst>
            <c:ext xmlns:c16="http://schemas.microsoft.com/office/drawing/2014/chart" uri="{C3380CC4-5D6E-409C-BE32-E72D297353CC}">
              <c16:uniqueId val="{00000001-A6F7-4152-9E0A-1399B22C4364}"/>
            </c:ext>
          </c:extLst>
        </c:ser>
        <c:dLbls>
          <c:showLegendKey val="0"/>
          <c:showVal val="1"/>
          <c:showCatName val="0"/>
          <c:showSerName val="0"/>
          <c:showPercent val="0"/>
          <c:showBubbleSize val="0"/>
        </c:dLbls>
        <c:gapWidth val="315"/>
        <c:overlap val="-40"/>
        <c:axId val="2045946336"/>
        <c:axId val="2045958816"/>
      </c:barChart>
      <c:catAx>
        <c:axId val="204594633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2045958816"/>
        <c:crosses val="autoZero"/>
        <c:auto val="1"/>
        <c:lblAlgn val="ctr"/>
        <c:lblOffset val="100"/>
        <c:noMultiLvlLbl val="0"/>
      </c:catAx>
      <c:valAx>
        <c:axId val="204595881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204594633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4f7daac1-5cf8-4d07-97fd-7ff7b21dc2a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'Working Capital'!$B$7</c:f>
              <c:strCache>
                <c:ptCount val="1"/>
                <c:pt idx="0">
                  <c:v>Cash Conversion Cycle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'Working Capital'!$D$3:$H$3</c:f>
              <c:numCache>
                <c:formatCode>General</c:formatCode>
                <c:ptCount val="5"/>
                <c:pt idx="0">
                  <c:v>2020</c:v>
                </c:pt>
                <c:pt idx="1">
                  <c:v>2021</c:v>
                </c:pt>
                <c:pt idx="2">
                  <c:v>2022</c:v>
                </c:pt>
                <c:pt idx="3">
                  <c:v>2023</c:v>
                </c:pt>
                <c:pt idx="4">
                  <c:v>2024</c:v>
                </c:pt>
              </c:numCache>
            </c:numRef>
          </c:cat>
          <c:val>
            <c:numRef>
              <c:f>'Working Capital'!$D$7:$H$7</c:f>
              <c:numCache>
                <c:formatCode>_(* #,##0_);_(* \(#,##0\);_(* "-"??_);_(@_)</c:formatCode>
                <c:ptCount val="5"/>
                <c:pt idx="0">
                  <c:v>53.914401447568103</c:v>
                </c:pt>
                <c:pt idx="1">
                  <c:v>56.981283584834003</c:v>
                </c:pt>
                <c:pt idx="2">
                  <c:v>69.937102222442107</c:v>
                </c:pt>
                <c:pt idx="3">
                  <c:v>66.529179021265904</c:v>
                </c:pt>
                <c:pt idx="4">
                  <c:v>57.529777896818501</c:v>
                </c:pt>
              </c:numCache>
            </c:numRef>
          </c:val>
          <c:extLst>
            <c:ext xmlns:c16="http://schemas.microsoft.com/office/drawing/2014/chart" uri="{C3380CC4-5D6E-409C-BE32-E72D297353CC}">
              <c16:uniqueId val="{00000000-C633-4C29-8A91-444B8E873ED1}"/>
            </c:ext>
          </c:extLst>
        </c:ser>
        <c:dLbls>
          <c:showLegendKey val="0"/>
          <c:showVal val="1"/>
          <c:showCatName val="0"/>
          <c:showSerName val="0"/>
          <c:showPercent val="0"/>
          <c:showBubbleSize val="0"/>
        </c:dLbls>
        <c:gapWidth val="41"/>
        <c:axId val="2046066784"/>
        <c:axId val="2046085504"/>
      </c:barChart>
      <c:catAx>
        <c:axId val="20460667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effectLst/>
                <a:latin typeface="+mn-lt"/>
                <a:ea typeface="+mn-ea"/>
                <a:cs typeface="+mn-cs"/>
              </a:defRPr>
            </a:pPr>
            <a:endParaRPr lang="en-US"/>
          </a:p>
        </c:txPr>
        <c:crossAx val="2046085504"/>
        <c:crosses val="autoZero"/>
        <c:auto val="1"/>
        <c:lblAlgn val="ctr"/>
        <c:lblOffset val="100"/>
        <c:noMultiLvlLbl val="0"/>
      </c:catAx>
      <c:valAx>
        <c:axId val="2046085504"/>
        <c:scaling>
          <c:orientation val="minMax"/>
        </c:scaling>
        <c:delete val="1"/>
        <c:axPos val="l"/>
        <c:numFmt formatCode="_(* #,##0_);_(* \(#,##0\);_(* &quot;-&quot;??_);_(@_)" sourceLinked="1"/>
        <c:majorTickMark val="none"/>
        <c:minorTickMark val="none"/>
        <c:tickLblPos val="nextTo"/>
        <c:crossAx val="2046066784"/>
        <c:crosses val="autoZero"/>
        <c:crossBetween val="between"/>
      </c:valAx>
      <c:spPr>
        <a:noFill/>
        <a:ln>
          <a:noFill/>
        </a:ln>
        <a:effectLst/>
      </c:spPr>
    </c:plotArea>
    <c:plotVisOnly val="1"/>
    <c:dispBlanksAs val="gap"/>
    <c:showDLblsOverMax val="0"/>
    <c:extLst>
      <c:ext uri="{0b15fc19-7d7d-44ad-8c2d-2c3a37ce22c3}">
        <chartProps xmlns="https://web.wps.cn/et/2018/main" chartId="{e49b3609-4c75-4b4a-9c40-235e8346bf33}"/>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'Working Capital'!$B$13</c:f>
              <c:strCache>
                <c:ptCount val="1"/>
                <c:pt idx="0">
                  <c:v>Working Capital (£m)</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'Working Capital'!$D$13:$H$13</c:f>
              <c:numCache>
                <c:formatCode>_(* #,##0.00_);_(* \(#,##0.00\);_(* "-"??_);_(@_)</c:formatCode>
                <c:ptCount val="5"/>
                <c:pt idx="0">
                  <c:v>147333</c:v>
                </c:pt>
                <c:pt idx="1">
                  <c:v>120359</c:v>
                </c:pt>
                <c:pt idx="2">
                  <c:v>121567</c:v>
                </c:pt>
                <c:pt idx="3">
                  <c:v>97703</c:v>
                </c:pt>
                <c:pt idx="4">
                  <c:v>84203</c:v>
                </c:pt>
              </c:numCache>
            </c:numRef>
          </c:val>
          <c:extLst>
            <c:ext xmlns:c16="http://schemas.microsoft.com/office/drawing/2014/chart" uri="{C3380CC4-5D6E-409C-BE32-E72D297353CC}">
              <c16:uniqueId val="{00000000-49B7-4818-9A55-F6C078CA4AE7}"/>
            </c:ext>
          </c:extLst>
        </c:ser>
        <c:dLbls>
          <c:showLegendKey val="0"/>
          <c:showVal val="1"/>
          <c:showCatName val="0"/>
          <c:showSerName val="0"/>
          <c:showPercent val="0"/>
          <c:showBubbleSize val="0"/>
        </c:dLbls>
        <c:gapWidth val="41"/>
        <c:axId val="2046068864"/>
        <c:axId val="2046076768"/>
      </c:barChart>
      <c:catAx>
        <c:axId val="20460688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effectLst/>
                <a:latin typeface="+mn-lt"/>
                <a:ea typeface="+mn-ea"/>
                <a:cs typeface="+mn-cs"/>
              </a:defRPr>
            </a:pPr>
            <a:endParaRPr lang="en-US"/>
          </a:p>
        </c:txPr>
        <c:crossAx val="2046076768"/>
        <c:crosses val="autoZero"/>
        <c:auto val="1"/>
        <c:lblAlgn val="ctr"/>
        <c:lblOffset val="100"/>
        <c:noMultiLvlLbl val="0"/>
      </c:catAx>
      <c:valAx>
        <c:axId val="2046076768"/>
        <c:scaling>
          <c:orientation val="minMax"/>
        </c:scaling>
        <c:delete val="1"/>
        <c:axPos val="l"/>
        <c:numFmt formatCode="_(* #,##0.00_);_(* \(#,##0.00\);_(* &quot;-&quot;??_);_(@_)" sourceLinked="1"/>
        <c:majorTickMark val="none"/>
        <c:minorTickMark val="none"/>
        <c:tickLblPos val="nextTo"/>
        <c:crossAx val="2046068864"/>
        <c:crosses val="autoZero"/>
        <c:crossBetween val="between"/>
      </c:valAx>
      <c:spPr>
        <a:noFill/>
        <a:ln>
          <a:noFill/>
        </a:ln>
        <a:effectLst/>
      </c:spPr>
    </c:plotArea>
    <c:plotVisOnly val="1"/>
    <c:dispBlanksAs val="gap"/>
    <c:showDLblsOverMax val="0"/>
    <c:extLst>
      <c:ext uri="{0b15fc19-7d7d-44ad-8c2d-2c3a37ce22c3}">
        <chartProps xmlns="https://web.wps.cn/et/2018/main" chartId="{e5c15f1a-7217-42bc-b551-54d71b083c80}"/>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'Payback Period'!$K$2</c:f>
              <c:strCache>
                <c:ptCount val="1"/>
                <c:pt idx="0">
                  <c:v>Payback Period (Years)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'Payback Period'!$J$3:$J$5</c:f>
              <c:strCache>
                <c:ptCount val="3"/>
                <c:pt idx="0">
                  <c:v>A</c:v>
                </c:pt>
                <c:pt idx="1">
                  <c:v>B</c:v>
                </c:pt>
                <c:pt idx="2">
                  <c:v>C</c:v>
                </c:pt>
              </c:strCache>
            </c:strRef>
          </c:cat>
          <c:val>
            <c:numRef>
              <c:f>'Payback Period'!$K$3:$K$5</c:f>
              <c:numCache>
                <c:formatCode>General</c:formatCode>
                <c:ptCount val="3"/>
                <c:pt idx="0">
                  <c:v>3.4</c:v>
                </c:pt>
                <c:pt idx="1">
                  <c:v>5</c:v>
                </c:pt>
                <c:pt idx="2">
                  <c:v>3.6</c:v>
                </c:pt>
              </c:numCache>
            </c:numRef>
          </c:val>
          <c:extLst>
            <c:ext xmlns:c16="http://schemas.microsoft.com/office/drawing/2014/chart" uri="{C3380CC4-5D6E-409C-BE32-E72D297353CC}">
              <c16:uniqueId val="{00000000-7DB4-4646-AE30-90480C6234DD}"/>
            </c:ext>
          </c:extLst>
        </c:ser>
        <c:dLbls>
          <c:showLegendKey val="0"/>
          <c:showVal val="1"/>
          <c:showCatName val="0"/>
          <c:showSerName val="0"/>
          <c:showPercent val="0"/>
          <c:showBubbleSize val="0"/>
        </c:dLbls>
        <c:gapWidth val="65"/>
        <c:axId val="2046083008"/>
        <c:axId val="2046078432"/>
      </c:barChart>
      <c:catAx>
        <c:axId val="204608300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2046078432"/>
        <c:crosses val="autoZero"/>
        <c:auto val="1"/>
        <c:lblAlgn val="ctr"/>
        <c:lblOffset val="100"/>
        <c:noMultiLvlLbl val="0"/>
      </c:catAx>
      <c:valAx>
        <c:axId val="20460784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046083008"/>
        <c:crosses val="autoZero"/>
        <c:crossBetween val="between"/>
      </c:valAx>
      <c:spPr>
        <a:noFill/>
        <a:ln>
          <a:noFill/>
        </a:ln>
        <a:effectLst/>
      </c:spPr>
    </c:plotArea>
    <c:plotVisOnly val="1"/>
    <c:dispBlanksAs val="gap"/>
    <c:showDLblsOverMax val="0"/>
    <c:extLst>
      <c:ext uri="{0b15fc19-7d7d-44ad-8c2d-2c3a37ce22c3}">
        <chartProps xmlns="https://web.wps.cn/et/2018/main" chartId="{02198d30-c389-49a7-b20d-2ed4cc04b65d}"/>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ARR!$I$3</c:f>
              <c:strCache>
                <c:ptCount val="1"/>
                <c:pt idx="0">
                  <c:v>ARR</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ARR!$H$4:$H$6</c:f>
              <c:strCache>
                <c:ptCount val="3"/>
                <c:pt idx="0">
                  <c:v>A</c:v>
                </c:pt>
                <c:pt idx="1">
                  <c:v>B</c:v>
                </c:pt>
                <c:pt idx="2">
                  <c:v>C</c:v>
                </c:pt>
              </c:strCache>
            </c:strRef>
          </c:cat>
          <c:val>
            <c:numRef>
              <c:f>ARR!$I$4:$I$6</c:f>
              <c:numCache>
                <c:formatCode>0%</c:formatCode>
                <c:ptCount val="3"/>
                <c:pt idx="0">
                  <c:v>7.0000000000000007E-2</c:v>
                </c:pt>
                <c:pt idx="1">
                  <c:v>0</c:v>
                </c:pt>
                <c:pt idx="2">
                  <c:v>0.1</c:v>
                </c:pt>
              </c:numCache>
            </c:numRef>
          </c:val>
          <c:extLst>
            <c:ext xmlns:c16="http://schemas.microsoft.com/office/drawing/2014/chart" uri="{C3380CC4-5D6E-409C-BE32-E72D297353CC}">
              <c16:uniqueId val="{00000000-527F-49F7-83D9-D9BC5847B91C}"/>
            </c:ext>
          </c:extLst>
        </c:ser>
        <c:dLbls>
          <c:showLegendKey val="0"/>
          <c:showVal val="1"/>
          <c:showCatName val="0"/>
          <c:showSerName val="0"/>
          <c:showPercent val="0"/>
          <c:showBubbleSize val="0"/>
        </c:dLbls>
        <c:gapWidth val="65"/>
        <c:axId val="2046073856"/>
        <c:axId val="2046086336"/>
      </c:barChart>
      <c:catAx>
        <c:axId val="204607385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2046086336"/>
        <c:crosses val="autoZero"/>
        <c:auto val="1"/>
        <c:lblAlgn val="ctr"/>
        <c:lblOffset val="100"/>
        <c:noMultiLvlLbl val="0"/>
      </c:catAx>
      <c:valAx>
        <c:axId val="204608633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2046073856"/>
        <c:crosses val="autoZero"/>
        <c:crossBetween val="between"/>
      </c:valAx>
      <c:spPr>
        <a:noFill/>
        <a:ln>
          <a:noFill/>
        </a:ln>
        <a:effectLst/>
      </c:spPr>
    </c:plotArea>
    <c:plotVisOnly val="1"/>
    <c:dispBlanksAs val="gap"/>
    <c:showDLblsOverMax val="0"/>
    <c:extLst>
      <c:ext uri="{0b15fc19-7d7d-44ad-8c2d-2c3a37ce22c3}">
        <chartProps xmlns="https://web.wps.cn/et/2018/main" chartId="{f83a47f6-eab2-4e9b-aff7-f0bb1c2c98df}"/>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US"/>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NPV!$J$2</c:f>
              <c:strCache>
                <c:ptCount val="1"/>
                <c:pt idx="0">
                  <c:v>Net Present Value (£m)</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NPV!$I$3:$I$5</c:f>
              <c:strCache>
                <c:ptCount val="3"/>
                <c:pt idx="0">
                  <c:v>A</c:v>
                </c:pt>
                <c:pt idx="1">
                  <c:v>B</c:v>
                </c:pt>
                <c:pt idx="2">
                  <c:v>C</c:v>
                </c:pt>
              </c:strCache>
            </c:strRef>
          </c:cat>
          <c:val>
            <c:numRef>
              <c:f>NPV!$J$3:$J$5</c:f>
              <c:numCache>
                <c:formatCode>_-[$£-809]* #,##0.00_-;\-[$£-809]* #,##0.00_-;_-[$£-809]* "-"??_-;_-@_-</c:formatCode>
                <c:ptCount val="3"/>
                <c:pt idx="0">
                  <c:v>1.32</c:v>
                </c:pt>
                <c:pt idx="1">
                  <c:v>7.26</c:v>
                </c:pt>
                <c:pt idx="2">
                  <c:v>4.2300000000000004</c:v>
                </c:pt>
              </c:numCache>
            </c:numRef>
          </c:val>
          <c:extLst>
            <c:ext xmlns:c16="http://schemas.microsoft.com/office/drawing/2014/chart" uri="{C3380CC4-5D6E-409C-BE32-E72D297353CC}">
              <c16:uniqueId val="{00000000-F78F-416D-A69F-113C11CD2955}"/>
            </c:ext>
          </c:extLst>
        </c:ser>
        <c:dLbls>
          <c:showLegendKey val="0"/>
          <c:showVal val="1"/>
          <c:showCatName val="0"/>
          <c:showSerName val="0"/>
          <c:showPercent val="0"/>
          <c:showBubbleSize val="0"/>
        </c:dLbls>
        <c:gapWidth val="41"/>
        <c:axId val="1931241952"/>
        <c:axId val="1931237376"/>
      </c:barChart>
      <c:catAx>
        <c:axId val="19312419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effectLst/>
                <a:latin typeface="+mn-lt"/>
                <a:ea typeface="+mn-ea"/>
                <a:cs typeface="+mn-cs"/>
              </a:defRPr>
            </a:pPr>
            <a:endParaRPr lang="en-US"/>
          </a:p>
        </c:txPr>
        <c:crossAx val="1931237376"/>
        <c:crosses val="autoZero"/>
        <c:auto val="1"/>
        <c:lblAlgn val="ctr"/>
        <c:lblOffset val="100"/>
        <c:noMultiLvlLbl val="0"/>
      </c:catAx>
      <c:valAx>
        <c:axId val="1931237376"/>
        <c:scaling>
          <c:orientation val="minMax"/>
        </c:scaling>
        <c:delete val="1"/>
        <c:axPos val="l"/>
        <c:numFmt formatCode="_-[$£-809]* #,##0.00_-;\-[$£-809]* #,##0.00_-;_-[$£-809]* &quot;-&quot;??_-;_-@_-" sourceLinked="1"/>
        <c:majorTickMark val="none"/>
        <c:minorTickMark val="none"/>
        <c:tickLblPos val="nextTo"/>
        <c:crossAx val="1931241952"/>
        <c:crosses val="autoZero"/>
        <c:crossBetween val="between"/>
      </c:valAx>
      <c:spPr>
        <a:noFill/>
        <a:ln>
          <a:noFill/>
        </a:ln>
        <a:effectLst/>
      </c:spPr>
    </c:plotArea>
    <c:plotVisOnly val="1"/>
    <c:dispBlanksAs val="gap"/>
    <c:showDLblsOverMax val="0"/>
    <c:extLst>
      <c:ext uri="{0b15fc19-7d7d-44ad-8c2d-2c3a37ce22c3}">
        <chartProps xmlns="https://web.wps.cn/et/2018/main" chartId="{56765e5e-ba50-4bf4-8475-8fce51741993}"/>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PI!$K$3</c:f>
              <c:strCache>
                <c:ptCount val="1"/>
                <c:pt idx="0">
                  <c:v>Profitability Index</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PI!$J$4:$J$6</c:f>
              <c:strCache>
                <c:ptCount val="3"/>
                <c:pt idx="0">
                  <c:v>A</c:v>
                </c:pt>
                <c:pt idx="1">
                  <c:v>B</c:v>
                </c:pt>
                <c:pt idx="2">
                  <c:v>C</c:v>
                </c:pt>
              </c:strCache>
            </c:strRef>
          </c:cat>
          <c:val>
            <c:numRef>
              <c:f>PI!$K$4:$K$6</c:f>
              <c:numCache>
                <c:formatCode>_(* #,##0.00_);_(* \(#,##0.00\);_(* "-"??_);_(@_)</c:formatCode>
                <c:ptCount val="3"/>
                <c:pt idx="0">
                  <c:v>1.0331044203388999</c:v>
                </c:pt>
                <c:pt idx="1">
                  <c:v>0.75815735388168903</c:v>
                </c:pt>
                <c:pt idx="2">
                  <c:v>1.0845073920683499</c:v>
                </c:pt>
              </c:numCache>
            </c:numRef>
          </c:val>
          <c:extLst>
            <c:ext xmlns:c16="http://schemas.microsoft.com/office/drawing/2014/chart" uri="{C3380CC4-5D6E-409C-BE32-E72D297353CC}">
              <c16:uniqueId val="{00000000-6161-4762-AB0D-2A8A9EC2E133}"/>
            </c:ext>
          </c:extLst>
        </c:ser>
        <c:dLbls>
          <c:showLegendKey val="0"/>
          <c:showVal val="1"/>
          <c:showCatName val="0"/>
          <c:showSerName val="0"/>
          <c:showPercent val="0"/>
          <c:showBubbleSize val="0"/>
        </c:dLbls>
        <c:gapWidth val="41"/>
        <c:axId val="2045950496"/>
        <c:axId val="2045944672"/>
      </c:barChart>
      <c:catAx>
        <c:axId val="20459504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effectLst/>
                <a:latin typeface="+mn-lt"/>
                <a:ea typeface="+mn-ea"/>
                <a:cs typeface="+mn-cs"/>
              </a:defRPr>
            </a:pPr>
            <a:endParaRPr lang="en-US"/>
          </a:p>
        </c:txPr>
        <c:crossAx val="2045944672"/>
        <c:crosses val="autoZero"/>
        <c:auto val="1"/>
        <c:lblAlgn val="ctr"/>
        <c:lblOffset val="100"/>
        <c:noMultiLvlLbl val="0"/>
      </c:catAx>
      <c:valAx>
        <c:axId val="2045944672"/>
        <c:scaling>
          <c:orientation val="minMax"/>
        </c:scaling>
        <c:delete val="1"/>
        <c:axPos val="l"/>
        <c:numFmt formatCode="_(* #,##0.00_);_(* \(#,##0.00\);_(* &quot;-&quot;??_);_(@_)" sourceLinked="1"/>
        <c:majorTickMark val="none"/>
        <c:minorTickMark val="none"/>
        <c:tickLblPos val="nextTo"/>
        <c:crossAx val="2045950496"/>
        <c:crosses val="autoZero"/>
        <c:crossBetween val="between"/>
      </c:valAx>
      <c:spPr>
        <a:noFill/>
        <a:ln>
          <a:noFill/>
        </a:ln>
        <a:effectLst/>
      </c:spPr>
    </c:plotArea>
    <c:plotVisOnly val="1"/>
    <c:dispBlanksAs val="gap"/>
    <c:showDLblsOverMax val="0"/>
    <c:extLst>
      <c:ext uri="{0b15fc19-7d7d-44ad-8c2d-2c3a37ce22c3}">
        <chartProps xmlns="https://web.wps.cn/et/2018/main" chartId="{558b6885-ed73-46e5-9cbd-d477bdbc1139}"/>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IRR!$I$2</c:f>
              <c:strCache>
                <c:ptCount val="1"/>
                <c:pt idx="0">
                  <c:v>Internal Rate of Return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IRR!$H$3:$H$5</c:f>
              <c:strCache>
                <c:ptCount val="3"/>
                <c:pt idx="0">
                  <c:v>A</c:v>
                </c:pt>
                <c:pt idx="1">
                  <c:v>B</c:v>
                </c:pt>
                <c:pt idx="2">
                  <c:v>C</c:v>
                </c:pt>
              </c:strCache>
            </c:strRef>
          </c:cat>
          <c:val>
            <c:numRef>
              <c:f>IRR!$I$3:$I$5</c:f>
              <c:numCache>
                <c:formatCode>0.00%</c:formatCode>
                <c:ptCount val="3"/>
                <c:pt idx="0">
                  <c:v>0.11327177468961599</c:v>
                </c:pt>
                <c:pt idx="1">
                  <c:v>1.9499957204516201E-12</c:v>
                </c:pt>
                <c:pt idx="2">
                  <c:v>0.12719763370558901</c:v>
                </c:pt>
              </c:numCache>
            </c:numRef>
          </c:val>
          <c:extLst>
            <c:ext xmlns:c16="http://schemas.microsoft.com/office/drawing/2014/chart" uri="{C3380CC4-5D6E-409C-BE32-E72D297353CC}">
              <c16:uniqueId val="{00000000-42A2-4C76-B29D-44CAB76A0073}"/>
            </c:ext>
          </c:extLst>
        </c:ser>
        <c:dLbls>
          <c:showLegendKey val="0"/>
          <c:showVal val="1"/>
          <c:showCatName val="0"/>
          <c:showSerName val="0"/>
          <c:showPercent val="0"/>
          <c:showBubbleSize val="0"/>
        </c:dLbls>
        <c:gapWidth val="41"/>
        <c:axId val="2037500880"/>
        <c:axId val="2037512112"/>
      </c:barChart>
      <c:catAx>
        <c:axId val="20375008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effectLst/>
                <a:latin typeface="+mn-lt"/>
                <a:ea typeface="+mn-ea"/>
                <a:cs typeface="+mn-cs"/>
              </a:defRPr>
            </a:pPr>
            <a:endParaRPr lang="en-US"/>
          </a:p>
        </c:txPr>
        <c:crossAx val="2037512112"/>
        <c:crosses val="autoZero"/>
        <c:auto val="1"/>
        <c:lblAlgn val="ctr"/>
        <c:lblOffset val="100"/>
        <c:noMultiLvlLbl val="0"/>
      </c:catAx>
      <c:valAx>
        <c:axId val="2037512112"/>
        <c:scaling>
          <c:orientation val="minMax"/>
        </c:scaling>
        <c:delete val="1"/>
        <c:axPos val="l"/>
        <c:numFmt formatCode="0.00%" sourceLinked="1"/>
        <c:majorTickMark val="none"/>
        <c:minorTickMark val="none"/>
        <c:tickLblPos val="nextTo"/>
        <c:crossAx val="2037500880"/>
        <c:crosses val="autoZero"/>
        <c:crossBetween val="between"/>
      </c:valAx>
      <c:spPr>
        <a:noFill/>
        <a:ln>
          <a:noFill/>
        </a:ln>
        <a:effectLst/>
      </c:spPr>
    </c:plotArea>
    <c:plotVisOnly val="1"/>
    <c:dispBlanksAs val="gap"/>
    <c:showDLblsOverMax val="0"/>
    <c:extLst>
      <c:ext uri="{0b15fc19-7d7d-44ad-8c2d-2c3a37ce22c3}">
        <chartProps xmlns="https://web.wps.cn/et/2018/main" chartId="{e1b9a3c6-f4df-4e7f-91d5-fc75c55710b3}"/>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81</TotalTime>
  <Pages>42</Pages>
  <Words>7870</Words>
  <Characters>44863</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tarak</dc:creator>
  <cp:lastModifiedBy>krish bhalala</cp:lastModifiedBy>
  <cp:revision>12</cp:revision>
  <dcterms:created xsi:type="dcterms:W3CDTF">2025-11-07T14:49:00Z</dcterms:created>
  <dcterms:modified xsi:type="dcterms:W3CDTF">2025-12-20T23:35:00Z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BDBC42F5E3334045975192C966A8B8CE_12</vt:lpwstr>
  </property>
</Properties>
</file>