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3D82B2" w14:textId="5B1B3320" w:rsidR="00E8415D" w:rsidRDefault="00E8415D" w:rsidP="00275218">
      <w:pPr>
        <w:pStyle w:val="BIB"/>
        <w:jc w:val="both"/>
      </w:pPr>
      <w:r>
        <w:t>1.1</w:t>
      </w:r>
    </w:p>
    <w:p w14:paraId="55106676" w14:textId="6CAAC4D8" w:rsidR="00CB1336" w:rsidRPr="00AA174C" w:rsidRDefault="00BE34D7" w:rsidP="00275218">
      <w:pPr>
        <w:jc w:val="both"/>
      </w:pPr>
      <w:r w:rsidRPr="00AA174C">
        <w:t>Employment regulations are</w:t>
      </w:r>
      <w:r w:rsidR="00E9346C" w:rsidRPr="00AA174C">
        <w:t xml:space="preserve"> </w:t>
      </w:r>
      <w:r w:rsidR="000243A4" w:rsidRPr="00AA174C">
        <w:t xml:space="preserve">specified </w:t>
      </w:r>
      <w:r w:rsidR="00D70FDE" w:rsidRPr="00AA174C">
        <w:t xml:space="preserve">laws, </w:t>
      </w:r>
      <w:r w:rsidR="000243A4" w:rsidRPr="00AA174C">
        <w:t>rules</w:t>
      </w:r>
      <w:r w:rsidR="00D70FDE" w:rsidRPr="00AA174C">
        <w:t xml:space="preserve"> and policies</w:t>
      </w:r>
      <w:r w:rsidR="000243A4" w:rsidRPr="00AA174C">
        <w:t xml:space="preserve"> that</w:t>
      </w:r>
      <w:r w:rsidR="0019503D" w:rsidRPr="00AA174C">
        <w:t xml:space="preserve"> </w:t>
      </w:r>
      <w:r w:rsidR="0032259D" w:rsidRPr="00AA174C">
        <w:t xml:space="preserve">govern the relationship </w:t>
      </w:r>
      <w:r w:rsidR="00834288" w:rsidRPr="00AA174C">
        <w:t>between employer and employee</w:t>
      </w:r>
      <w:r w:rsidR="00D47F30" w:rsidRPr="00AA174C">
        <w:t>.</w:t>
      </w:r>
      <w:r w:rsidR="00834288" w:rsidRPr="00AA174C">
        <w:t xml:space="preserve"> These regulations are</w:t>
      </w:r>
      <w:r w:rsidRPr="00AA174C">
        <w:t xml:space="preserve"> </w:t>
      </w:r>
      <w:r w:rsidR="00E66DFF" w:rsidRPr="00AA174C">
        <w:t>broad</w:t>
      </w:r>
      <w:r w:rsidRPr="00AA174C">
        <w:t xml:space="preserve"> and have been developed within the UK over the past 50 </w:t>
      </w:r>
      <w:r w:rsidR="001C0CCC" w:rsidRPr="00AA174C">
        <w:t>years and a</w:t>
      </w:r>
      <w:r w:rsidR="00883EC9" w:rsidRPr="00AA174C">
        <w:t>re reviewed and amended regularl</w:t>
      </w:r>
      <w:r w:rsidR="00181450" w:rsidRPr="00AA174C">
        <w:t>y.</w:t>
      </w:r>
      <w:r w:rsidR="00883EC9" w:rsidRPr="00AA174C">
        <w:t xml:space="preserve"> Therefore, it is important that people professionals have a good understanding and are up to date with changes to ensure compliance </w:t>
      </w:r>
      <w:r w:rsidR="00C449DB" w:rsidRPr="00AA174C">
        <w:t>(Armstrong and Taylor, 2023)</w:t>
      </w:r>
      <w:r w:rsidR="006D4086" w:rsidRPr="00AA174C">
        <w:t>.</w:t>
      </w:r>
      <w:r w:rsidR="00823A35" w:rsidRPr="00AA174C">
        <w:t xml:space="preserve"> </w:t>
      </w:r>
    </w:p>
    <w:p w14:paraId="76116588" w14:textId="0156230D" w:rsidR="00F81227" w:rsidRPr="00AA174C" w:rsidRDefault="00FA242D" w:rsidP="00275218">
      <w:pPr>
        <w:jc w:val="both"/>
      </w:pPr>
      <w:r w:rsidRPr="00AA174C">
        <w:t xml:space="preserve">The main </w:t>
      </w:r>
      <w:r w:rsidR="001B2C82" w:rsidRPr="00AA174C">
        <w:t>aim of these regulations is to ensure that the relationship between employer and employee remains fair, safe and productive, without the risk of exploitation</w:t>
      </w:r>
      <w:r w:rsidR="008677C3" w:rsidRPr="00AA174C">
        <w:t xml:space="preserve"> (Symonds and </w:t>
      </w:r>
      <w:proofErr w:type="spellStart"/>
      <w:r w:rsidR="008677C3" w:rsidRPr="00AA174C">
        <w:t>Curnock</w:t>
      </w:r>
      <w:proofErr w:type="spellEnd"/>
      <w:r w:rsidR="008677C3" w:rsidRPr="00AA174C">
        <w:t>, 2024)</w:t>
      </w:r>
      <w:r w:rsidR="000C1BAD" w:rsidRPr="00AA174C">
        <w:t>.</w:t>
      </w:r>
      <w:r w:rsidR="00612290" w:rsidRPr="00AA174C">
        <w:t xml:space="preserve"> </w:t>
      </w:r>
      <w:r w:rsidR="005E2BB9" w:rsidRPr="00AA174C">
        <w:t xml:space="preserve">In order to achieve these </w:t>
      </w:r>
      <w:r w:rsidR="00C378F0" w:rsidRPr="00AA174C">
        <w:t>aims,</w:t>
      </w:r>
      <w:r w:rsidR="005E2BB9" w:rsidRPr="00AA174C">
        <w:t xml:space="preserve"> </w:t>
      </w:r>
      <w:r w:rsidR="0007326D" w:rsidRPr="00AA174C">
        <w:t xml:space="preserve">there are </w:t>
      </w:r>
      <w:r w:rsidR="009E2E5D" w:rsidRPr="00AA174C">
        <w:t xml:space="preserve">key </w:t>
      </w:r>
      <w:r w:rsidR="00915F2B" w:rsidRPr="00AA174C">
        <w:t xml:space="preserve">objectives within UK employment </w:t>
      </w:r>
      <w:r w:rsidR="00A03414" w:rsidRPr="00AA174C">
        <w:t xml:space="preserve">laws and </w:t>
      </w:r>
      <w:r w:rsidR="002A463C" w:rsidRPr="00AA174C">
        <w:t xml:space="preserve">legislation </w:t>
      </w:r>
      <w:r w:rsidR="009E2E5D" w:rsidRPr="00AA174C">
        <w:t>to provide</w:t>
      </w:r>
      <w:r w:rsidR="006B7279" w:rsidRPr="00AA174C">
        <w:t xml:space="preserve"> e</w:t>
      </w:r>
      <w:r w:rsidR="00296B90" w:rsidRPr="00AA174C">
        <w:t>mployees protection of their rights</w:t>
      </w:r>
      <w:r w:rsidR="00E875C5" w:rsidRPr="00AA174C">
        <w:t xml:space="preserve"> </w:t>
      </w:r>
      <w:r w:rsidR="00296B90" w:rsidRPr="00AA174C">
        <w:t xml:space="preserve">and a </w:t>
      </w:r>
      <w:r w:rsidR="00712269" w:rsidRPr="00AA174C">
        <w:t xml:space="preserve">safe </w:t>
      </w:r>
      <w:r w:rsidR="009E2E5D" w:rsidRPr="00AA174C">
        <w:t>work environment</w:t>
      </w:r>
      <w:r w:rsidR="00E27151" w:rsidRPr="00AA174C">
        <w:t xml:space="preserve">, </w:t>
      </w:r>
      <w:r w:rsidR="00B4216B" w:rsidRPr="00AA174C">
        <w:t>whilst</w:t>
      </w:r>
      <w:r w:rsidR="00E27151" w:rsidRPr="00AA174C">
        <w:t xml:space="preserve"> </w:t>
      </w:r>
      <w:r w:rsidR="00EA59A7" w:rsidRPr="00AA174C">
        <w:t xml:space="preserve">providing a solid framework to support employers in </w:t>
      </w:r>
      <w:r w:rsidR="00B4216B" w:rsidRPr="00AA174C">
        <w:t>understanding and adhering to their legal obligations</w:t>
      </w:r>
      <w:r w:rsidR="00935561" w:rsidRPr="00AA174C">
        <w:t xml:space="preserve"> (</w:t>
      </w:r>
      <w:proofErr w:type="spellStart"/>
      <w:r w:rsidR="00935561" w:rsidRPr="00AA174C">
        <w:t>Macwilliam</w:t>
      </w:r>
      <w:proofErr w:type="spellEnd"/>
      <w:r w:rsidR="00935561" w:rsidRPr="00AA174C">
        <w:t>, 2023)</w:t>
      </w:r>
      <w:r w:rsidR="00C449DB" w:rsidRPr="00AA174C">
        <w:t>.</w:t>
      </w:r>
    </w:p>
    <w:p w14:paraId="1B5570B3" w14:textId="1E50AC5A" w:rsidR="00091C74" w:rsidRPr="00AA174C" w:rsidRDefault="00A156CB" w:rsidP="00275218">
      <w:pPr>
        <w:jc w:val="both"/>
      </w:pPr>
      <w:r w:rsidRPr="00AA174C">
        <w:t xml:space="preserve">To protect the </w:t>
      </w:r>
      <w:r w:rsidR="00980A63" w:rsidRPr="00AA174C">
        <w:t>employees’</w:t>
      </w:r>
      <w:r w:rsidRPr="00AA174C">
        <w:t xml:space="preserve"> rights </w:t>
      </w:r>
      <w:r w:rsidR="00F6046A" w:rsidRPr="00AA174C">
        <w:t xml:space="preserve">the key </w:t>
      </w:r>
      <w:r w:rsidR="007B67E5" w:rsidRPr="00AA174C">
        <w:t xml:space="preserve">UK legislation </w:t>
      </w:r>
      <w:r w:rsidR="00F6046A" w:rsidRPr="00AA174C">
        <w:t>is</w:t>
      </w:r>
      <w:r w:rsidR="00D80B67" w:rsidRPr="00AA174C">
        <w:t xml:space="preserve"> </w:t>
      </w:r>
      <w:r w:rsidR="00C35403" w:rsidRPr="00AA174C">
        <w:t xml:space="preserve">the </w:t>
      </w:r>
      <w:r w:rsidR="003C65FC" w:rsidRPr="00AA174C">
        <w:t>Employment Rights</w:t>
      </w:r>
      <w:r w:rsidR="00F6046A" w:rsidRPr="00AA174C">
        <w:t xml:space="preserve"> Act (1996</w:t>
      </w:r>
      <w:r w:rsidR="002A0402" w:rsidRPr="00AA174C">
        <w:t>)</w:t>
      </w:r>
      <w:r w:rsidR="003E56B2" w:rsidRPr="00AA174C">
        <w:t>,</w:t>
      </w:r>
      <w:r w:rsidR="00BC0C4A" w:rsidRPr="00AA174C">
        <w:t xml:space="preserve"> </w:t>
      </w:r>
      <w:r w:rsidR="005B77CF" w:rsidRPr="00AA174C">
        <w:t xml:space="preserve">includes </w:t>
      </w:r>
      <w:r w:rsidR="00607D89" w:rsidRPr="00AA174C">
        <w:t xml:space="preserve">protected entitlement to </w:t>
      </w:r>
      <w:r w:rsidR="00154F1E" w:rsidRPr="00AA174C">
        <w:t>parental leave</w:t>
      </w:r>
      <w:r w:rsidR="00172619" w:rsidRPr="00AA174C">
        <w:t xml:space="preserve"> and </w:t>
      </w:r>
      <w:r w:rsidR="0049147C" w:rsidRPr="00AA174C">
        <w:t>redundancy</w:t>
      </w:r>
      <w:r w:rsidR="00607D89" w:rsidRPr="00AA174C">
        <w:t xml:space="preserve"> pay</w:t>
      </w:r>
      <w:r w:rsidR="005B77CF" w:rsidRPr="00AA174C">
        <w:t>,</w:t>
      </w:r>
      <w:r w:rsidR="00172619" w:rsidRPr="00AA174C">
        <w:t xml:space="preserve"> in addition to </w:t>
      </w:r>
      <w:r w:rsidR="00931171" w:rsidRPr="00AA174C">
        <w:t>guarding them from</w:t>
      </w:r>
      <w:r w:rsidR="009264D5" w:rsidRPr="00AA174C">
        <w:t xml:space="preserve"> </w:t>
      </w:r>
      <w:r w:rsidR="003A6A76" w:rsidRPr="00AA174C">
        <w:t>unfair dismissa</w:t>
      </w:r>
      <w:r w:rsidR="00B71720" w:rsidRPr="00AA174C">
        <w:t>l</w:t>
      </w:r>
      <w:r w:rsidR="00D07893" w:rsidRPr="00AA174C">
        <w:t xml:space="preserve">. </w:t>
      </w:r>
      <w:r w:rsidR="00B61FDB" w:rsidRPr="00AA174C">
        <w:t xml:space="preserve">As detailed by the CIPD (2025) </w:t>
      </w:r>
      <w:r w:rsidR="00616C3D" w:rsidRPr="00AA174C">
        <w:t>t</w:t>
      </w:r>
      <w:r w:rsidR="008B2943" w:rsidRPr="00AA174C">
        <w:t>here are</w:t>
      </w:r>
      <w:r w:rsidR="0089098D" w:rsidRPr="00AA174C">
        <w:t xml:space="preserve"> a number of proposed amendments </w:t>
      </w:r>
      <w:r w:rsidR="001954CA" w:rsidRPr="00AA174C">
        <w:t xml:space="preserve">to employment rights </w:t>
      </w:r>
      <w:r w:rsidR="0089098D" w:rsidRPr="00AA174C">
        <w:t xml:space="preserve">currently </w:t>
      </w:r>
      <w:r w:rsidR="006633C8" w:rsidRPr="00AA174C">
        <w:t xml:space="preserve">progressing through </w:t>
      </w:r>
      <w:r w:rsidR="0083341D" w:rsidRPr="00AA174C">
        <w:t>the parliamentary system</w:t>
      </w:r>
      <w:r w:rsidR="001954CA" w:rsidRPr="00AA174C">
        <w:t xml:space="preserve"> these i</w:t>
      </w:r>
      <w:r w:rsidR="0065085C" w:rsidRPr="00AA174C">
        <w:t xml:space="preserve">ncludes day one rights </w:t>
      </w:r>
      <w:r w:rsidR="0051592D" w:rsidRPr="00AA174C">
        <w:t>for parental leave and flexible working requests</w:t>
      </w:r>
      <w:r w:rsidR="003A5587" w:rsidRPr="00AA174C">
        <w:t xml:space="preserve"> </w:t>
      </w:r>
      <w:r w:rsidR="00616C3D" w:rsidRPr="00AA174C">
        <w:t xml:space="preserve">in addition to </w:t>
      </w:r>
      <w:r w:rsidR="003925A8" w:rsidRPr="00AA174C">
        <w:t xml:space="preserve">replacement of the </w:t>
      </w:r>
      <w:r w:rsidR="003374D0" w:rsidRPr="00AA174C">
        <w:t>two-year</w:t>
      </w:r>
      <w:r w:rsidR="003925A8" w:rsidRPr="00AA174C">
        <w:t xml:space="preserve"> </w:t>
      </w:r>
      <w:r w:rsidR="009F7EF9" w:rsidRPr="00AA174C">
        <w:t xml:space="preserve">qualifying period for unfair dismissal </w:t>
      </w:r>
      <w:r w:rsidR="004868E9" w:rsidRPr="00AA174C">
        <w:t xml:space="preserve">with a new statutory </w:t>
      </w:r>
      <w:r w:rsidR="009C39F7" w:rsidRPr="00AA174C">
        <w:t>probationary</w:t>
      </w:r>
      <w:r w:rsidR="002879E5" w:rsidRPr="00AA174C">
        <w:t xml:space="preserve"> period</w:t>
      </w:r>
      <w:r w:rsidR="003374D0" w:rsidRPr="00AA174C">
        <w:t xml:space="preserve"> that is yet to be confirmed.</w:t>
      </w:r>
      <w:r w:rsidR="00C50250" w:rsidRPr="00AA174C">
        <w:t xml:space="preserve"> </w:t>
      </w:r>
    </w:p>
    <w:p w14:paraId="5F71FE46" w14:textId="081539A2" w:rsidR="00016186" w:rsidRPr="00AA174C" w:rsidRDefault="004B286A" w:rsidP="00275218">
      <w:pPr>
        <w:jc w:val="both"/>
      </w:pPr>
      <w:r w:rsidRPr="00AA174C">
        <w:t xml:space="preserve">To promote fair treatment </w:t>
      </w:r>
      <w:r w:rsidR="00D30585" w:rsidRPr="00AA174C">
        <w:t xml:space="preserve">the primary UK legislation is the </w:t>
      </w:r>
      <w:r w:rsidR="00C35403" w:rsidRPr="00AA174C">
        <w:t>Equality</w:t>
      </w:r>
      <w:r w:rsidR="00D30585" w:rsidRPr="00AA174C">
        <w:t xml:space="preserve"> Act (</w:t>
      </w:r>
      <w:r w:rsidR="00C35403" w:rsidRPr="00AA174C">
        <w:t xml:space="preserve">2010), </w:t>
      </w:r>
      <w:r w:rsidR="003C36BD" w:rsidRPr="00AA174C">
        <w:t xml:space="preserve">this </w:t>
      </w:r>
      <w:r w:rsidR="00A92343" w:rsidRPr="00AA174C">
        <w:t xml:space="preserve">legislation </w:t>
      </w:r>
      <w:r w:rsidR="0017268E" w:rsidRPr="00AA174C">
        <w:t xml:space="preserve">protects </w:t>
      </w:r>
      <w:r w:rsidR="00E65C01" w:rsidRPr="00AA174C">
        <w:t xml:space="preserve">people </w:t>
      </w:r>
      <w:r w:rsidR="001472D0" w:rsidRPr="00AA174C">
        <w:t xml:space="preserve">from </w:t>
      </w:r>
      <w:r w:rsidR="00F44BE7" w:rsidRPr="00AA174C">
        <w:t xml:space="preserve">discrimination. </w:t>
      </w:r>
      <w:r w:rsidR="00384BE5" w:rsidRPr="00AA174C">
        <w:t>The</w:t>
      </w:r>
      <w:r w:rsidR="00437B72" w:rsidRPr="00AA174C">
        <w:t xml:space="preserve"> draft </w:t>
      </w:r>
      <w:r w:rsidR="00451645" w:rsidRPr="00AA174C">
        <w:t xml:space="preserve">Equality Bill </w:t>
      </w:r>
      <w:r w:rsidR="00592EDD" w:rsidRPr="00AA174C">
        <w:t>aims</w:t>
      </w:r>
      <w:r w:rsidR="009C3492" w:rsidRPr="00AA174C">
        <w:t xml:space="preserve"> to simplify the filing process and provide further legal clarity. </w:t>
      </w:r>
      <w:r w:rsidR="00592EDD" w:rsidRPr="00AA174C">
        <w:t xml:space="preserve">Although, there is no confirmed date </w:t>
      </w:r>
      <w:r w:rsidR="006C667B" w:rsidRPr="00AA174C">
        <w:t>for its implementation</w:t>
      </w:r>
      <w:r w:rsidR="00901CB3" w:rsidRPr="00AA174C">
        <w:t>,</w:t>
      </w:r>
      <w:r w:rsidR="00563911" w:rsidRPr="00AA174C">
        <w:t xml:space="preserve"> a major </w:t>
      </w:r>
      <w:r w:rsidR="00BF22F1" w:rsidRPr="00AA174C">
        <w:t xml:space="preserve">impact of the bill </w:t>
      </w:r>
      <w:r w:rsidR="00641F9C" w:rsidRPr="00AA174C">
        <w:t>for organisations with over 250 employees</w:t>
      </w:r>
      <w:r w:rsidR="00901CB3" w:rsidRPr="00AA174C">
        <w:t xml:space="preserve"> is that </w:t>
      </w:r>
      <w:r w:rsidR="00635B6E" w:rsidRPr="00AA174C">
        <w:t>there</w:t>
      </w:r>
      <w:r w:rsidR="00980C70" w:rsidRPr="00AA174C">
        <w:t xml:space="preserve"> will be a mandatory </w:t>
      </w:r>
      <w:r w:rsidR="00112527" w:rsidRPr="00AA174C">
        <w:t>requirement</w:t>
      </w:r>
      <w:r w:rsidR="00980C70" w:rsidRPr="00AA174C">
        <w:t xml:space="preserve"> to rep</w:t>
      </w:r>
      <w:r w:rsidR="00112527" w:rsidRPr="00AA174C">
        <w:t>ort ethnicity and disability pay gap (PM Edi</w:t>
      </w:r>
      <w:r w:rsidR="0046107A" w:rsidRPr="00AA174C">
        <w:t xml:space="preserve">torial, 2025). </w:t>
      </w:r>
    </w:p>
    <w:p w14:paraId="10204A71" w14:textId="5053366E" w:rsidR="00B07675" w:rsidRPr="00AA174C" w:rsidRDefault="0046107A" w:rsidP="00275218">
      <w:pPr>
        <w:jc w:val="both"/>
      </w:pPr>
      <w:r w:rsidRPr="00AA174C">
        <w:t xml:space="preserve">Therefore, in order to protect the Health Board and </w:t>
      </w:r>
      <w:r w:rsidR="00ED6D36" w:rsidRPr="00AA174C">
        <w:t xml:space="preserve">ensure compliance it is important to </w:t>
      </w:r>
      <w:r w:rsidR="006C7A8C" w:rsidRPr="00AA174C">
        <w:t xml:space="preserve">monitor developments and </w:t>
      </w:r>
      <w:r w:rsidR="00DB5281" w:rsidRPr="00AA174C">
        <w:t>provide regular updates to senior management</w:t>
      </w:r>
      <w:r w:rsidR="00016186" w:rsidRPr="00AA174C">
        <w:t>, consult and advise both employer and employee</w:t>
      </w:r>
      <w:r w:rsidR="006C7A8C" w:rsidRPr="00AA174C">
        <w:t xml:space="preserve">. This will enable them to </w:t>
      </w:r>
      <w:r w:rsidR="007C7D4E" w:rsidRPr="00AA174C">
        <w:t>identify any additional technology and</w:t>
      </w:r>
      <w:r w:rsidR="003D3B30" w:rsidRPr="00AA174C">
        <w:t xml:space="preserve"> / or employment </w:t>
      </w:r>
      <w:r w:rsidR="00F818BD" w:rsidRPr="00AA174C">
        <w:t>requirements</w:t>
      </w:r>
      <w:r w:rsidR="00A20093" w:rsidRPr="00AA174C">
        <w:t xml:space="preserve">, produce costs </w:t>
      </w:r>
      <w:r w:rsidR="00406CBA" w:rsidRPr="00AA174C">
        <w:t xml:space="preserve">analysis and </w:t>
      </w:r>
      <w:r w:rsidR="00C621CB" w:rsidRPr="00AA174C">
        <w:t>an action plan</w:t>
      </w:r>
      <w:r w:rsidR="00CC623F" w:rsidRPr="00AA174C">
        <w:t>.</w:t>
      </w:r>
    </w:p>
    <w:p w14:paraId="6F2302B3" w14:textId="6E0EC5A9" w:rsidR="00C621CB" w:rsidRPr="00AA174C" w:rsidRDefault="00E920F7" w:rsidP="00275218">
      <w:pPr>
        <w:jc w:val="both"/>
      </w:pPr>
      <w:r w:rsidRPr="00AA174C">
        <w:t>From the information</w:t>
      </w:r>
      <w:r w:rsidR="00D643C1" w:rsidRPr="00AA174C">
        <w:t xml:space="preserve"> detailed above</w:t>
      </w:r>
      <w:r w:rsidRPr="00AA174C">
        <w:t>, it could be argued that</w:t>
      </w:r>
      <w:r w:rsidR="00E31DE5" w:rsidRPr="00AA174C">
        <w:t xml:space="preserve"> the keys aims and objectives of employment regulation</w:t>
      </w:r>
      <w:r w:rsidR="00D21303" w:rsidRPr="00AA174C">
        <w:t xml:space="preserve"> are being </w:t>
      </w:r>
      <w:r w:rsidR="002D7A3C" w:rsidRPr="00AA174C">
        <w:t>addressed.</w:t>
      </w:r>
      <w:r w:rsidR="007A67EE" w:rsidRPr="00AA174C">
        <w:t xml:space="preserve"> </w:t>
      </w:r>
      <w:r w:rsidR="00A74AD5" w:rsidRPr="00AA174C">
        <w:t xml:space="preserve">However, </w:t>
      </w:r>
      <w:r w:rsidR="00DD6933" w:rsidRPr="00AA174C">
        <w:t xml:space="preserve">overall </w:t>
      </w:r>
      <w:r w:rsidR="00C2414A" w:rsidRPr="00AA174C">
        <w:t xml:space="preserve">evaluation </w:t>
      </w:r>
      <w:r w:rsidR="00A452FD" w:rsidRPr="00AA174C">
        <w:t xml:space="preserve">identifies that </w:t>
      </w:r>
      <w:r w:rsidR="007A67EE" w:rsidRPr="00AA174C">
        <w:t>there are pros and cons to employment legislation</w:t>
      </w:r>
      <w:r w:rsidR="004B72F1" w:rsidRPr="00AA174C">
        <w:t xml:space="preserve"> </w:t>
      </w:r>
      <w:r w:rsidR="00836EF6" w:rsidRPr="00AA174C">
        <w:t>as detailed by Taylor and Emir (2019) there have been nu</w:t>
      </w:r>
      <w:r w:rsidR="00051B77" w:rsidRPr="00AA174C">
        <w:t xml:space="preserve">merous debates </w:t>
      </w:r>
      <w:r w:rsidR="00187E26" w:rsidRPr="00AA174C">
        <w:t xml:space="preserve">and </w:t>
      </w:r>
      <w:r w:rsidR="008944AA" w:rsidRPr="00AA174C">
        <w:t xml:space="preserve">opinion on </w:t>
      </w:r>
      <w:r w:rsidR="003F0CC3" w:rsidRPr="00AA174C">
        <w:t>whether</w:t>
      </w:r>
      <w:r w:rsidR="008944AA" w:rsidRPr="00AA174C">
        <w:t xml:space="preserve"> </w:t>
      </w:r>
      <w:r w:rsidR="00553B21" w:rsidRPr="00AA174C">
        <w:t>regulations</w:t>
      </w:r>
      <w:r w:rsidR="008944AA" w:rsidRPr="00AA174C">
        <w:t xml:space="preserve"> meet </w:t>
      </w:r>
      <w:r w:rsidR="00CD0CA3" w:rsidRPr="00AA174C">
        <w:t>the</w:t>
      </w:r>
      <w:r w:rsidR="00EA7598" w:rsidRPr="00AA174C">
        <w:t>ir</w:t>
      </w:r>
      <w:r w:rsidR="00CD0CA3" w:rsidRPr="00AA174C">
        <w:t xml:space="preserve"> objectives</w:t>
      </w:r>
      <w:r w:rsidR="003F0CC3" w:rsidRPr="00AA174C">
        <w:t xml:space="preserve"> </w:t>
      </w:r>
      <w:r w:rsidR="003946BF" w:rsidRPr="00AA174C">
        <w:t>is diverse.</w:t>
      </w:r>
      <w:r w:rsidR="00E84816" w:rsidRPr="00AA174C">
        <w:t xml:space="preserve"> </w:t>
      </w:r>
      <w:r w:rsidR="00C51C5A" w:rsidRPr="00AA174C">
        <w:t xml:space="preserve">It is argued that most new legislation </w:t>
      </w:r>
      <w:r w:rsidR="00F758C7" w:rsidRPr="00AA174C">
        <w:t xml:space="preserve">favours the interest of the employee and </w:t>
      </w:r>
      <w:r w:rsidR="0074092C" w:rsidRPr="00AA174C">
        <w:t xml:space="preserve">is </w:t>
      </w:r>
      <w:r w:rsidR="00EC6A03" w:rsidRPr="00AA174C">
        <w:t>often</w:t>
      </w:r>
      <w:r w:rsidR="0074092C" w:rsidRPr="00AA174C">
        <w:t xml:space="preserve"> overly complex</w:t>
      </w:r>
      <w:r w:rsidR="007E6498" w:rsidRPr="00AA174C">
        <w:t xml:space="preserve">, increasing the administrative and financial burden </w:t>
      </w:r>
      <w:r w:rsidR="00EC6A03" w:rsidRPr="00AA174C">
        <w:t>on the employer.</w:t>
      </w:r>
      <w:r w:rsidR="003C553A" w:rsidRPr="00AA174C">
        <w:t xml:space="preserve"> </w:t>
      </w:r>
      <w:r w:rsidR="00342E81" w:rsidRPr="00AA174C">
        <w:t xml:space="preserve">To </w:t>
      </w:r>
      <w:r w:rsidR="00EA7598" w:rsidRPr="00AA174C">
        <w:t xml:space="preserve">assist CIPD (2024) </w:t>
      </w:r>
      <w:r w:rsidR="006D06D0" w:rsidRPr="00AA174C">
        <w:t>proposes actions for the government, including increasing the resources available to</w:t>
      </w:r>
      <w:r w:rsidR="007E3C50" w:rsidRPr="00AA174C">
        <w:t xml:space="preserve"> </w:t>
      </w:r>
      <w:proofErr w:type="spellStart"/>
      <w:r w:rsidR="007E3C50" w:rsidRPr="00AA174C">
        <w:t>Acas</w:t>
      </w:r>
      <w:proofErr w:type="spellEnd"/>
      <w:r w:rsidR="007E3C50" w:rsidRPr="00AA174C">
        <w:t xml:space="preserve"> </w:t>
      </w:r>
      <w:r w:rsidR="000C756D" w:rsidRPr="00AA174C">
        <w:t>to support employers to improve their working practices</w:t>
      </w:r>
      <w:r w:rsidR="00AE1012" w:rsidRPr="00AA174C">
        <w:t xml:space="preserve"> and running a focused campaign </w:t>
      </w:r>
      <w:r w:rsidR="00192EDD" w:rsidRPr="00AA174C">
        <w:t>with information on employment status and associated rights.</w:t>
      </w:r>
    </w:p>
    <w:p w14:paraId="72870B26" w14:textId="6F4B987A" w:rsidR="00192EDD" w:rsidRDefault="00192EDD" w:rsidP="00275218">
      <w:pPr>
        <w:pStyle w:val="BIB"/>
        <w:jc w:val="both"/>
      </w:pPr>
      <w:r>
        <w:t>1.2</w:t>
      </w:r>
    </w:p>
    <w:p w14:paraId="2FD6BF4B" w14:textId="071750EB" w:rsidR="00303DC5" w:rsidRDefault="00A323D2" w:rsidP="00275218">
      <w:pPr>
        <w:pStyle w:val="BIB"/>
        <w:jc w:val="both"/>
        <w:rPr>
          <w:lang w:val="en-US"/>
        </w:rPr>
      </w:pPr>
      <w:r>
        <w:rPr>
          <w:lang w:val="en-US"/>
        </w:rPr>
        <w:t xml:space="preserve">When the UK left the </w:t>
      </w:r>
      <w:r w:rsidR="005075BC">
        <w:rPr>
          <w:lang w:val="en-US"/>
        </w:rPr>
        <w:t>EU,</w:t>
      </w:r>
      <w:r w:rsidR="00771BFB">
        <w:rPr>
          <w:lang w:val="en-US"/>
        </w:rPr>
        <w:t xml:space="preserve"> </w:t>
      </w:r>
      <w:r w:rsidR="00427C3D">
        <w:rPr>
          <w:lang w:val="en-US"/>
        </w:rPr>
        <w:t xml:space="preserve">it implemented </w:t>
      </w:r>
      <w:r w:rsidR="00243308">
        <w:rPr>
          <w:lang w:val="en-US"/>
        </w:rPr>
        <w:t>The European Union (</w:t>
      </w:r>
      <w:r w:rsidR="00235389">
        <w:rPr>
          <w:lang w:val="en-US"/>
        </w:rPr>
        <w:t>Withdrawal</w:t>
      </w:r>
      <w:r w:rsidR="00243308">
        <w:rPr>
          <w:lang w:val="en-US"/>
        </w:rPr>
        <w:t>) Act 2018</w:t>
      </w:r>
      <w:r w:rsidR="005862D2">
        <w:rPr>
          <w:lang w:val="en-US"/>
        </w:rPr>
        <w:t xml:space="preserve">, which copied </w:t>
      </w:r>
      <w:r w:rsidR="00EA7A46">
        <w:rPr>
          <w:lang w:val="en-US"/>
        </w:rPr>
        <w:t xml:space="preserve">existing </w:t>
      </w:r>
      <w:r w:rsidR="005862D2">
        <w:rPr>
          <w:lang w:val="en-US"/>
        </w:rPr>
        <w:t xml:space="preserve">European law </w:t>
      </w:r>
      <w:r w:rsidR="00EA7A46">
        <w:rPr>
          <w:lang w:val="en-US"/>
        </w:rPr>
        <w:t>into UK domestic law</w:t>
      </w:r>
      <w:r w:rsidR="00EE7754">
        <w:rPr>
          <w:lang w:val="en-US"/>
        </w:rPr>
        <w:t>.</w:t>
      </w:r>
      <w:r w:rsidR="00AE4361">
        <w:rPr>
          <w:lang w:val="en-US"/>
        </w:rPr>
        <w:t xml:space="preserve"> </w:t>
      </w:r>
      <w:r w:rsidR="00EE7754">
        <w:rPr>
          <w:lang w:val="en-US"/>
        </w:rPr>
        <w:t xml:space="preserve">Although no changes were made at this </w:t>
      </w:r>
      <w:r w:rsidR="00FC4608">
        <w:rPr>
          <w:lang w:val="en-US"/>
        </w:rPr>
        <w:t xml:space="preserve">time, </w:t>
      </w:r>
      <w:r w:rsidR="009713AC">
        <w:rPr>
          <w:lang w:val="en-US"/>
        </w:rPr>
        <w:t xml:space="preserve">the UK now </w:t>
      </w:r>
      <w:r w:rsidR="00032AFF">
        <w:rPr>
          <w:lang w:val="en-US"/>
        </w:rPr>
        <w:t>had</w:t>
      </w:r>
      <w:r w:rsidR="009713AC">
        <w:rPr>
          <w:lang w:val="en-US"/>
        </w:rPr>
        <w:t xml:space="preserve"> the </w:t>
      </w:r>
      <w:r w:rsidR="00032AFF">
        <w:rPr>
          <w:lang w:val="en-US"/>
        </w:rPr>
        <w:t>authority</w:t>
      </w:r>
      <w:r w:rsidR="009713AC">
        <w:rPr>
          <w:lang w:val="en-US"/>
        </w:rPr>
        <w:t xml:space="preserve"> to make changes </w:t>
      </w:r>
      <w:r w:rsidR="005075BC">
        <w:rPr>
          <w:lang w:val="en-US"/>
        </w:rPr>
        <w:t>if required</w:t>
      </w:r>
      <w:r w:rsidR="00A23DFA">
        <w:rPr>
          <w:lang w:val="en-US"/>
        </w:rPr>
        <w:t>.</w:t>
      </w:r>
      <w:r w:rsidR="00E43EC5">
        <w:rPr>
          <w:lang w:val="en-US"/>
        </w:rPr>
        <w:t xml:space="preserve"> In </w:t>
      </w:r>
      <w:r w:rsidR="002A3EF8">
        <w:rPr>
          <w:lang w:val="en-US"/>
        </w:rPr>
        <w:t xml:space="preserve">2023 </w:t>
      </w:r>
      <w:r w:rsidR="0037403F">
        <w:rPr>
          <w:lang w:val="en-US"/>
        </w:rPr>
        <w:t>the Retained EU Law (REUL) (</w:t>
      </w:r>
      <w:r w:rsidR="008667EE">
        <w:rPr>
          <w:lang w:val="en-US"/>
        </w:rPr>
        <w:t>Revocation and Reform) Act was introduced</w:t>
      </w:r>
      <w:r w:rsidR="00962AF8">
        <w:rPr>
          <w:lang w:val="en-US"/>
        </w:rPr>
        <w:t xml:space="preserve">, </w:t>
      </w:r>
      <w:r w:rsidR="00430A8A">
        <w:rPr>
          <w:lang w:val="en-US"/>
        </w:rPr>
        <w:t>this</w:t>
      </w:r>
      <w:r w:rsidR="00962AF8">
        <w:rPr>
          <w:lang w:val="en-US"/>
        </w:rPr>
        <w:t xml:space="preserve"> provide</w:t>
      </w:r>
      <w:r w:rsidR="00D5362D">
        <w:rPr>
          <w:lang w:val="en-US"/>
        </w:rPr>
        <w:t xml:space="preserve">d the UK with the choice </w:t>
      </w:r>
      <w:r w:rsidR="00811B5E">
        <w:rPr>
          <w:lang w:val="en-US"/>
        </w:rPr>
        <w:t xml:space="preserve">of EU law </w:t>
      </w:r>
      <w:r w:rsidR="00BF3F8A">
        <w:rPr>
          <w:lang w:val="en-US"/>
        </w:rPr>
        <w:t xml:space="preserve">it wished </w:t>
      </w:r>
      <w:r w:rsidR="00811B5E">
        <w:rPr>
          <w:lang w:val="en-US"/>
        </w:rPr>
        <w:t>to retain</w:t>
      </w:r>
      <w:r w:rsidR="00EB19FB">
        <w:rPr>
          <w:lang w:val="en-US"/>
        </w:rPr>
        <w:t xml:space="preserve"> and at this time </w:t>
      </w:r>
      <w:r w:rsidR="00F63480">
        <w:rPr>
          <w:lang w:val="en-US"/>
        </w:rPr>
        <w:t>there were 100’s revoked</w:t>
      </w:r>
      <w:r w:rsidR="00797842">
        <w:rPr>
          <w:lang w:val="en-US"/>
        </w:rPr>
        <w:t xml:space="preserve"> and furthermore, t</w:t>
      </w:r>
      <w:r w:rsidR="000036E3">
        <w:rPr>
          <w:lang w:val="en-US"/>
        </w:rPr>
        <w:t>he</w:t>
      </w:r>
      <w:r w:rsidR="00FB5F0F">
        <w:rPr>
          <w:lang w:val="en-US"/>
        </w:rPr>
        <w:t xml:space="preserve"> UK courts also </w:t>
      </w:r>
      <w:r w:rsidR="002C1E3A">
        <w:rPr>
          <w:lang w:val="en-US"/>
        </w:rPr>
        <w:t xml:space="preserve">have </w:t>
      </w:r>
      <w:r w:rsidR="00FB5F0F">
        <w:rPr>
          <w:lang w:val="en-US"/>
        </w:rPr>
        <w:t>the power</w:t>
      </w:r>
      <w:r w:rsidR="00A17780">
        <w:rPr>
          <w:lang w:val="en-US"/>
        </w:rPr>
        <w:t xml:space="preserve"> </w:t>
      </w:r>
      <w:r w:rsidR="00F05675">
        <w:rPr>
          <w:lang w:val="en-US"/>
        </w:rPr>
        <w:t xml:space="preserve">to </w:t>
      </w:r>
      <w:r w:rsidR="00246270">
        <w:rPr>
          <w:lang w:val="en-US"/>
        </w:rPr>
        <w:t xml:space="preserve">apply </w:t>
      </w:r>
      <w:r w:rsidR="00FE74FC">
        <w:rPr>
          <w:lang w:val="en-US"/>
        </w:rPr>
        <w:t xml:space="preserve">UK principles of interpretation instead of </w:t>
      </w:r>
      <w:r w:rsidR="00430A8A">
        <w:rPr>
          <w:lang w:val="en-US"/>
        </w:rPr>
        <w:t>general principles of EU law</w:t>
      </w:r>
      <w:r w:rsidR="00F05675">
        <w:rPr>
          <w:lang w:val="en-US"/>
        </w:rPr>
        <w:t xml:space="preserve"> </w:t>
      </w:r>
      <w:r w:rsidR="0088042A">
        <w:rPr>
          <w:lang w:val="en-US"/>
        </w:rPr>
        <w:t>(Travis</w:t>
      </w:r>
      <w:r w:rsidR="00F05675">
        <w:rPr>
          <w:lang w:val="en-US"/>
        </w:rPr>
        <w:t xml:space="preserve"> </w:t>
      </w:r>
      <w:r w:rsidR="0088042A">
        <w:rPr>
          <w:lang w:val="en-US"/>
        </w:rPr>
        <w:t>Smith, 2024)</w:t>
      </w:r>
      <w:r w:rsidR="00523228">
        <w:rPr>
          <w:lang w:val="en-US"/>
        </w:rPr>
        <w:t>.</w:t>
      </w:r>
      <w:r w:rsidR="00342394">
        <w:rPr>
          <w:lang w:val="en-US"/>
        </w:rPr>
        <w:t xml:space="preserve"> </w:t>
      </w:r>
    </w:p>
    <w:p w14:paraId="61D1A2A3" w14:textId="1E4C68A7" w:rsidR="00F37C8D" w:rsidRDefault="00FA6547" w:rsidP="00F37C8D">
      <w:pPr>
        <w:pStyle w:val="BIB"/>
        <w:jc w:val="both"/>
        <w:rPr>
          <w:lang w:val="en-US"/>
        </w:rPr>
      </w:pPr>
      <w:r>
        <w:rPr>
          <w:lang w:val="en-US"/>
        </w:rPr>
        <w:lastRenderedPageBreak/>
        <w:t xml:space="preserve">Employment related cases within the UK are dealt with by Employment Tribunals, with appeals being made to Employment Appeal Tribunal, then the Court of Appeal and the </w:t>
      </w:r>
      <w:r w:rsidR="00CD18B1">
        <w:rPr>
          <w:lang w:val="en-US"/>
        </w:rPr>
        <w:t>highest UK</w:t>
      </w:r>
      <w:r>
        <w:rPr>
          <w:lang w:val="en-US"/>
        </w:rPr>
        <w:t xml:space="preserve"> appeal court, which is the UK Supreme Court (Daniels, 2025)</w:t>
      </w:r>
      <w:r w:rsidR="00D05895">
        <w:rPr>
          <w:lang w:val="en-US"/>
        </w:rPr>
        <w:t xml:space="preserve">. </w:t>
      </w:r>
      <w:r w:rsidR="00D22223">
        <w:rPr>
          <w:lang w:val="en-US"/>
        </w:rPr>
        <w:t xml:space="preserve">Although, as part of </w:t>
      </w:r>
      <w:r w:rsidR="00FB28A8">
        <w:rPr>
          <w:lang w:val="en-US"/>
        </w:rPr>
        <w:t xml:space="preserve">retained law the </w:t>
      </w:r>
      <w:r w:rsidR="00EC4019">
        <w:rPr>
          <w:lang w:val="en-US"/>
        </w:rPr>
        <w:t xml:space="preserve">Employment Tribunals and Employment Appeal Tribunal </w:t>
      </w:r>
      <w:r w:rsidR="0047275C">
        <w:rPr>
          <w:lang w:val="en-US"/>
        </w:rPr>
        <w:t xml:space="preserve">must </w:t>
      </w:r>
      <w:r w:rsidR="001A694E">
        <w:rPr>
          <w:lang w:val="en-US"/>
        </w:rPr>
        <w:t>follow pre</w:t>
      </w:r>
      <w:r w:rsidR="00EE4613">
        <w:rPr>
          <w:lang w:val="en-US"/>
        </w:rPr>
        <w:t>v</w:t>
      </w:r>
      <w:r w:rsidR="001A694E">
        <w:rPr>
          <w:lang w:val="en-US"/>
        </w:rPr>
        <w:t xml:space="preserve">ious ECJ </w:t>
      </w:r>
      <w:r w:rsidR="00EE4613">
        <w:rPr>
          <w:lang w:val="en-US"/>
        </w:rPr>
        <w:t>rulings under EU retained law</w:t>
      </w:r>
      <w:r w:rsidR="00127BDB">
        <w:rPr>
          <w:lang w:val="en-US"/>
        </w:rPr>
        <w:t xml:space="preserve">, </w:t>
      </w:r>
      <w:r w:rsidR="00CD18B1">
        <w:rPr>
          <w:lang w:val="en-US"/>
        </w:rPr>
        <w:t xml:space="preserve">the Supreme Court and Court </w:t>
      </w:r>
      <w:r w:rsidR="001F7BAD">
        <w:rPr>
          <w:lang w:val="en-US"/>
        </w:rPr>
        <w:t xml:space="preserve">of Appeal </w:t>
      </w:r>
      <w:r w:rsidR="00167AD6">
        <w:rPr>
          <w:lang w:val="en-US"/>
        </w:rPr>
        <w:t>where appropriate can deviate</w:t>
      </w:r>
      <w:r w:rsidR="00470B6D">
        <w:rPr>
          <w:lang w:val="en-US"/>
        </w:rPr>
        <w:t xml:space="preserve"> </w:t>
      </w:r>
      <w:r w:rsidR="00F6396F">
        <w:rPr>
          <w:lang w:val="en-US"/>
        </w:rPr>
        <w:t xml:space="preserve">from these </w:t>
      </w:r>
      <w:r w:rsidR="00F06C79">
        <w:rPr>
          <w:lang w:val="en-US"/>
        </w:rPr>
        <w:t>rulings</w:t>
      </w:r>
      <w:r w:rsidR="00F6396F">
        <w:rPr>
          <w:lang w:val="en-US"/>
        </w:rPr>
        <w:t xml:space="preserve"> </w:t>
      </w:r>
      <w:r w:rsidR="00F37C8D">
        <w:rPr>
          <w:lang w:val="en-US"/>
        </w:rPr>
        <w:t>and have the power</w:t>
      </w:r>
      <w:r w:rsidR="00F37C8D" w:rsidRPr="00F37C8D">
        <w:rPr>
          <w:lang w:val="en-US"/>
        </w:rPr>
        <w:t xml:space="preserve"> </w:t>
      </w:r>
      <w:r w:rsidR="00F37C8D">
        <w:rPr>
          <w:lang w:val="en-US"/>
        </w:rPr>
        <w:t xml:space="preserve">to </w:t>
      </w:r>
      <w:proofErr w:type="spellStart"/>
      <w:r w:rsidR="00C020AA">
        <w:rPr>
          <w:lang w:val="en-US"/>
        </w:rPr>
        <w:t>utilise</w:t>
      </w:r>
      <w:proofErr w:type="spellEnd"/>
      <w:r w:rsidR="00F37C8D">
        <w:rPr>
          <w:lang w:val="en-US"/>
        </w:rPr>
        <w:t xml:space="preserve"> ECJ judgments pre-31 December 2020 </w:t>
      </w:r>
      <w:r w:rsidR="0070259C">
        <w:rPr>
          <w:lang w:val="en-US"/>
        </w:rPr>
        <w:t xml:space="preserve">and provide their own </w:t>
      </w:r>
      <w:r w:rsidR="00F37C8D">
        <w:rPr>
          <w:lang w:val="en-US"/>
        </w:rPr>
        <w:t>interpretation</w:t>
      </w:r>
      <w:r w:rsidR="0070259C">
        <w:rPr>
          <w:lang w:val="en-US"/>
        </w:rPr>
        <w:t>.</w:t>
      </w:r>
    </w:p>
    <w:p w14:paraId="2C90F68B" w14:textId="36B28188" w:rsidR="00B576FC" w:rsidRDefault="00C31F01" w:rsidP="00B576FC">
      <w:pPr>
        <w:pStyle w:val="BIB"/>
        <w:jc w:val="both"/>
        <w:rPr>
          <w:lang w:val="en-US"/>
        </w:rPr>
      </w:pPr>
      <w:r>
        <w:rPr>
          <w:lang w:val="en-US"/>
        </w:rPr>
        <w:t>Since</w:t>
      </w:r>
      <w:r w:rsidR="003668B7">
        <w:rPr>
          <w:lang w:val="en-US"/>
        </w:rPr>
        <w:t xml:space="preserve"> </w:t>
      </w:r>
      <w:r w:rsidR="00474AF8">
        <w:rPr>
          <w:lang w:val="en-US"/>
        </w:rPr>
        <w:t xml:space="preserve">31 December 2023, the </w:t>
      </w:r>
      <w:r w:rsidR="005C7756">
        <w:rPr>
          <w:lang w:val="en-US"/>
        </w:rPr>
        <w:t xml:space="preserve">UK is no longer bound to </w:t>
      </w:r>
      <w:r w:rsidR="00FB3370">
        <w:rPr>
          <w:lang w:val="en-US"/>
        </w:rPr>
        <w:t>implement</w:t>
      </w:r>
      <w:r w:rsidR="005F484C">
        <w:rPr>
          <w:lang w:val="en-US"/>
        </w:rPr>
        <w:t xml:space="preserve"> new</w:t>
      </w:r>
      <w:r w:rsidR="00FB3370">
        <w:rPr>
          <w:lang w:val="en-US"/>
        </w:rPr>
        <w:t xml:space="preserve"> ECJ judgements</w:t>
      </w:r>
      <w:r w:rsidR="00911A41">
        <w:rPr>
          <w:lang w:val="en-US"/>
        </w:rPr>
        <w:t xml:space="preserve">, although UK courts may </w:t>
      </w:r>
      <w:r w:rsidR="001B43DB">
        <w:rPr>
          <w:lang w:val="en-US"/>
        </w:rPr>
        <w:t>still apply some of the changes, there is no longer a legal obligation to do so</w:t>
      </w:r>
      <w:r w:rsidR="0092602D">
        <w:rPr>
          <w:lang w:val="en-US"/>
        </w:rPr>
        <w:t>. (Connolly, 2021)</w:t>
      </w:r>
      <w:r w:rsidR="000E6C00">
        <w:rPr>
          <w:lang w:val="en-US"/>
        </w:rPr>
        <w:t xml:space="preserve">. </w:t>
      </w:r>
      <w:r w:rsidR="00206633">
        <w:rPr>
          <w:lang w:val="en-US"/>
        </w:rPr>
        <w:t>An example of this ca</w:t>
      </w:r>
      <w:r w:rsidR="00C15C76">
        <w:rPr>
          <w:lang w:val="en-US"/>
        </w:rPr>
        <w:t xml:space="preserve">n be </w:t>
      </w:r>
      <w:r w:rsidR="00E424AB">
        <w:rPr>
          <w:lang w:val="en-US"/>
        </w:rPr>
        <w:t xml:space="preserve">identified </w:t>
      </w:r>
      <w:r w:rsidR="00C80DDF">
        <w:rPr>
          <w:lang w:val="en-US"/>
        </w:rPr>
        <w:t xml:space="preserve">within the </w:t>
      </w:r>
      <w:r w:rsidR="008123A7">
        <w:rPr>
          <w:lang w:val="en-US"/>
        </w:rPr>
        <w:t>W</w:t>
      </w:r>
      <w:r w:rsidR="00C80DDF">
        <w:rPr>
          <w:lang w:val="en-US"/>
        </w:rPr>
        <w:t>orking Time</w:t>
      </w:r>
      <w:r w:rsidR="008123A7">
        <w:rPr>
          <w:lang w:val="en-US"/>
        </w:rPr>
        <w:t xml:space="preserve"> Ruling </w:t>
      </w:r>
      <w:r w:rsidR="00EA2958">
        <w:rPr>
          <w:lang w:val="en-US"/>
        </w:rPr>
        <w:t xml:space="preserve">where </w:t>
      </w:r>
      <w:r w:rsidR="00C63176">
        <w:rPr>
          <w:lang w:val="en-US"/>
        </w:rPr>
        <w:t>in</w:t>
      </w:r>
      <w:r w:rsidR="00EA2958">
        <w:rPr>
          <w:lang w:val="en-US"/>
        </w:rPr>
        <w:t xml:space="preserve"> </w:t>
      </w:r>
      <w:r w:rsidR="00B86EB3">
        <w:rPr>
          <w:lang w:val="en-US"/>
        </w:rPr>
        <w:t xml:space="preserve">2024 the CJEU ruled that </w:t>
      </w:r>
      <w:r w:rsidR="007778E5">
        <w:rPr>
          <w:lang w:val="en-US"/>
        </w:rPr>
        <w:t>employers were obligated to</w:t>
      </w:r>
      <w:r w:rsidR="00FD1AEB">
        <w:rPr>
          <w:lang w:val="en-US"/>
        </w:rPr>
        <w:t xml:space="preserve"> record</w:t>
      </w:r>
      <w:r w:rsidR="00C15C76">
        <w:rPr>
          <w:lang w:val="en-US"/>
        </w:rPr>
        <w:t xml:space="preserve"> </w:t>
      </w:r>
      <w:r w:rsidR="000461B7">
        <w:rPr>
          <w:lang w:val="en-US"/>
        </w:rPr>
        <w:t xml:space="preserve">detailed records of all employee working hours. However, </w:t>
      </w:r>
      <w:r w:rsidR="00906F44">
        <w:rPr>
          <w:lang w:val="en-US"/>
        </w:rPr>
        <w:t xml:space="preserve">under </w:t>
      </w:r>
      <w:r w:rsidR="006E3A05" w:rsidRPr="006E3A05">
        <w:t>The Employment Rights (Amendment, Revocation and Transitional Provision) Regulations 2023</w:t>
      </w:r>
      <w:r w:rsidR="00906F44">
        <w:rPr>
          <w:lang w:val="en-US"/>
        </w:rPr>
        <w:t xml:space="preserve"> </w:t>
      </w:r>
      <w:r w:rsidR="00C63176">
        <w:rPr>
          <w:lang w:val="en-US"/>
        </w:rPr>
        <w:t>t</w:t>
      </w:r>
      <w:r w:rsidR="003D62E5" w:rsidRPr="003D62E5">
        <w:t xml:space="preserve">he </w:t>
      </w:r>
      <w:r w:rsidR="00C63176">
        <w:t xml:space="preserve">UK </w:t>
      </w:r>
      <w:r w:rsidR="003D62E5" w:rsidRPr="003D62E5">
        <w:t xml:space="preserve">government </w:t>
      </w:r>
      <w:r w:rsidR="005F484C" w:rsidRPr="003D62E5">
        <w:t>regarded</w:t>
      </w:r>
      <w:r w:rsidR="003D62E5" w:rsidRPr="003D62E5">
        <w:t xml:space="preserve"> that </w:t>
      </w:r>
      <w:r w:rsidR="00B576FC">
        <w:t>this as</w:t>
      </w:r>
      <w:r w:rsidR="003D62E5" w:rsidRPr="003D62E5">
        <w:t xml:space="preserve"> disproportionate and </w:t>
      </w:r>
      <w:r w:rsidR="00B576FC" w:rsidRPr="003D62E5">
        <w:t xml:space="preserve">employers </w:t>
      </w:r>
      <w:r w:rsidR="00B576FC">
        <w:t xml:space="preserve">in the UK are not required </w:t>
      </w:r>
      <w:r w:rsidR="00F06C79" w:rsidRPr="003D62E5">
        <w:t>to implement</w:t>
      </w:r>
      <w:r w:rsidR="00B576FC" w:rsidRPr="003D62E5">
        <w:t xml:space="preserve"> a system for recording daily working hours.</w:t>
      </w:r>
    </w:p>
    <w:p w14:paraId="31C0BD73" w14:textId="6C5FD8EC" w:rsidR="00192EDD" w:rsidRPr="00641189" w:rsidRDefault="00835EC2" w:rsidP="00275218">
      <w:pPr>
        <w:pStyle w:val="BIB"/>
        <w:jc w:val="both"/>
        <w:rPr>
          <w:lang w:val="en-US"/>
        </w:rPr>
      </w:pPr>
      <w:r>
        <w:t>2.1</w:t>
      </w:r>
    </w:p>
    <w:p w14:paraId="0EE6A06A" w14:textId="2116CDA9" w:rsidR="008F5B33" w:rsidRDefault="00DF01DB" w:rsidP="00275218">
      <w:pPr>
        <w:jc w:val="both"/>
      </w:pPr>
      <w:r>
        <w:t xml:space="preserve">Treating </w:t>
      </w:r>
      <w:r w:rsidR="00791A96">
        <w:t xml:space="preserve">an individual </w:t>
      </w:r>
      <w:r w:rsidR="00FE73E8">
        <w:t xml:space="preserve">in </w:t>
      </w:r>
      <w:r w:rsidR="00C17227">
        <w:t xml:space="preserve">an </w:t>
      </w:r>
      <w:r w:rsidR="00791A96">
        <w:t>unfair</w:t>
      </w:r>
      <w:r w:rsidR="00C17227">
        <w:t xml:space="preserve"> or unequal manner because </w:t>
      </w:r>
      <w:r w:rsidR="003F3BBB">
        <w:t xml:space="preserve">of a </w:t>
      </w:r>
      <w:r w:rsidR="00952BEF">
        <w:t xml:space="preserve">particular protected </w:t>
      </w:r>
      <w:r w:rsidR="00E0184D">
        <w:t>characteristic</w:t>
      </w:r>
      <w:r w:rsidR="00F14633">
        <w:t xml:space="preserve"> </w:t>
      </w:r>
      <w:r w:rsidR="0008276E">
        <w:t xml:space="preserve">is </w:t>
      </w:r>
      <w:r w:rsidR="00D51EF0">
        <w:t>discrimination</w:t>
      </w:r>
      <w:r w:rsidR="0008276E">
        <w:t xml:space="preserve"> and </w:t>
      </w:r>
      <w:r w:rsidR="004C1521">
        <w:t xml:space="preserve">employers must be aware that </w:t>
      </w:r>
      <w:r w:rsidR="00551735">
        <w:t>this applies to</w:t>
      </w:r>
      <w:r w:rsidR="00D51EF0">
        <w:t xml:space="preserve"> potential employees as well as current employees</w:t>
      </w:r>
      <w:r w:rsidR="00A00978">
        <w:t xml:space="preserve"> (Popat, 2019).</w:t>
      </w:r>
    </w:p>
    <w:p w14:paraId="639A914A" w14:textId="58173F5C" w:rsidR="000821C8" w:rsidRDefault="00FD6BF5" w:rsidP="00275218">
      <w:pPr>
        <w:jc w:val="both"/>
      </w:pPr>
      <w:r>
        <w:t>T</w:t>
      </w:r>
      <w:r w:rsidR="007404DD">
        <w:t>he Equ</w:t>
      </w:r>
      <w:r w:rsidR="00C713EC">
        <w:t xml:space="preserve">ality Act (2010) </w:t>
      </w:r>
      <w:r w:rsidR="0056381B">
        <w:t>part 2</w:t>
      </w:r>
      <w:r w:rsidR="009B5EF1">
        <w:t xml:space="preserve"> -</w:t>
      </w:r>
      <w:r w:rsidR="0056381B">
        <w:t xml:space="preserve"> </w:t>
      </w:r>
      <w:r w:rsidR="007E5A3E">
        <w:t xml:space="preserve">Equality, </w:t>
      </w:r>
      <w:r w:rsidR="00DB4129">
        <w:t xml:space="preserve">details </w:t>
      </w:r>
      <w:r w:rsidR="00C55CDF">
        <w:t xml:space="preserve">nine protected </w:t>
      </w:r>
      <w:r w:rsidR="00477F84">
        <w:t>characteristics</w:t>
      </w:r>
      <w:r w:rsidR="00E93677">
        <w:t>, one of which is Sex</w:t>
      </w:r>
      <w:r w:rsidR="008B247E">
        <w:t xml:space="preserve"> and</w:t>
      </w:r>
      <w:r w:rsidR="00C55CDF">
        <w:t xml:space="preserve"> are protected by </w:t>
      </w:r>
      <w:r w:rsidR="00477F84">
        <w:t>law</w:t>
      </w:r>
      <w:r>
        <w:t xml:space="preserve"> (</w:t>
      </w:r>
      <w:r w:rsidRPr="00FD6BF5">
        <w:t>The National Archives</w:t>
      </w:r>
      <w:r w:rsidR="00A51B34">
        <w:t xml:space="preserve">, </w:t>
      </w:r>
      <w:r w:rsidRPr="00FD6BF5">
        <w:t>2025a)</w:t>
      </w:r>
      <w:r w:rsidR="00A51B34">
        <w:t xml:space="preserve">. </w:t>
      </w:r>
      <w:r w:rsidR="009C45FE">
        <w:t>Under</w:t>
      </w:r>
      <w:r w:rsidR="008B247E">
        <w:t xml:space="preserve"> this</w:t>
      </w:r>
      <w:r w:rsidR="009C45FE">
        <w:t xml:space="preserve"> </w:t>
      </w:r>
      <w:r w:rsidR="00BA4311">
        <w:t>law treating someone with a protected characteristic</w:t>
      </w:r>
      <w:r w:rsidR="004E0ACE">
        <w:t>,</w:t>
      </w:r>
      <w:r w:rsidR="00622A09">
        <w:t xml:space="preserve"> less favourably due to this characteristic could be deemed a</w:t>
      </w:r>
      <w:r w:rsidR="0058787D">
        <w:t>s discrimination</w:t>
      </w:r>
      <w:r w:rsidR="00EB4E77">
        <w:t xml:space="preserve"> and result in complaints </w:t>
      </w:r>
      <w:r w:rsidR="007E4CCB">
        <w:t>and possible employment tribunal claims</w:t>
      </w:r>
      <w:r w:rsidR="005565E2">
        <w:t>. Ther</w:t>
      </w:r>
      <w:r w:rsidR="007E4CCB">
        <w:t>e</w:t>
      </w:r>
      <w:r w:rsidR="005565E2">
        <w:t xml:space="preserve">fore, </w:t>
      </w:r>
      <w:r w:rsidR="00B366EA">
        <w:t>employers</w:t>
      </w:r>
      <w:r w:rsidR="0012794A">
        <w:t xml:space="preserve"> must ensure </w:t>
      </w:r>
      <w:r w:rsidR="00B96E92">
        <w:t>they</w:t>
      </w:r>
      <w:r w:rsidR="0012794A">
        <w:t xml:space="preserve"> do not </w:t>
      </w:r>
      <w:r w:rsidR="00B96E92">
        <w:t>unfairly</w:t>
      </w:r>
      <w:r w:rsidR="0012794A">
        <w:t xml:space="preserve"> </w:t>
      </w:r>
      <w:r w:rsidR="00B96E92">
        <w:t>discriminate</w:t>
      </w:r>
      <w:r w:rsidR="0012794A">
        <w:t xml:space="preserve"> in any aspect of work, </w:t>
      </w:r>
      <w:r w:rsidR="007C48B7">
        <w:t>take all available steps to prevent discrimination as an employer and</w:t>
      </w:r>
      <w:r w:rsidR="004575BF">
        <w:t xml:space="preserve"> </w:t>
      </w:r>
      <w:r w:rsidR="00FB2681">
        <w:t>by</w:t>
      </w:r>
      <w:r w:rsidR="004575BF">
        <w:t xml:space="preserve"> others and have a ‘duty of care’ </w:t>
      </w:r>
      <w:r w:rsidR="00B96E92">
        <w:t>for their employees (</w:t>
      </w:r>
      <w:proofErr w:type="spellStart"/>
      <w:r w:rsidR="00B96E92">
        <w:t>Ac</w:t>
      </w:r>
      <w:r w:rsidR="00A7117C">
        <w:t>as</w:t>
      </w:r>
      <w:proofErr w:type="spellEnd"/>
      <w:r w:rsidR="00A7117C">
        <w:t>, 2025).</w:t>
      </w:r>
      <w:r w:rsidR="00BD26B3">
        <w:t xml:space="preserve"> </w:t>
      </w:r>
    </w:p>
    <w:p w14:paraId="34539B70" w14:textId="25A90AE0" w:rsidR="00105B7F" w:rsidRDefault="00693057" w:rsidP="00216F7D">
      <w:pPr>
        <w:jc w:val="both"/>
      </w:pPr>
      <w:r>
        <w:t xml:space="preserve">The </w:t>
      </w:r>
      <w:r w:rsidR="006905FE">
        <w:t>e</w:t>
      </w:r>
      <w:r>
        <w:t>mployment statut</w:t>
      </w:r>
      <w:r w:rsidR="00AA424B">
        <w:t>ory code of</w:t>
      </w:r>
      <w:r w:rsidR="00445CDB">
        <w:t xml:space="preserve"> practice</w:t>
      </w:r>
      <w:r w:rsidR="00AA424B">
        <w:t xml:space="preserve"> </w:t>
      </w:r>
      <w:r w:rsidR="005965EC">
        <w:t xml:space="preserve">stipulates that </w:t>
      </w:r>
      <w:r w:rsidR="00397826">
        <w:t xml:space="preserve">in </w:t>
      </w:r>
      <w:r w:rsidR="00BD3C77">
        <w:t xml:space="preserve">there </w:t>
      </w:r>
      <w:r w:rsidR="0022389C">
        <w:t xml:space="preserve">are certain circumstances </w:t>
      </w:r>
      <w:r w:rsidR="00B37A20">
        <w:t xml:space="preserve">in which </w:t>
      </w:r>
      <w:r w:rsidR="004772C9">
        <w:t>an</w:t>
      </w:r>
      <w:r w:rsidR="004C38A6">
        <w:t xml:space="preserve"> </w:t>
      </w:r>
      <w:r w:rsidR="004772C9">
        <w:t>employer can specif</w:t>
      </w:r>
      <w:r w:rsidR="00DC595E">
        <w:t xml:space="preserve">y the requirement </w:t>
      </w:r>
      <w:r w:rsidR="00704D8C">
        <w:t>for a part</w:t>
      </w:r>
      <w:r w:rsidR="00005E12">
        <w:t>icular</w:t>
      </w:r>
      <w:r w:rsidR="00697D83">
        <w:t xml:space="preserve"> protected </w:t>
      </w:r>
      <w:r w:rsidR="00635B6E">
        <w:t>characteristic</w:t>
      </w:r>
      <w:r w:rsidR="00553E22">
        <w:t xml:space="preserve"> </w:t>
      </w:r>
      <w:r w:rsidR="00005E12">
        <w:t>with</w:t>
      </w:r>
      <w:r w:rsidR="001C6C05">
        <w:t>in</w:t>
      </w:r>
      <w:r w:rsidR="00005E12">
        <w:t xml:space="preserve"> a role</w:t>
      </w:r>
      <w:r w:rsidR="001C6C05">
        <w:t>,</w:t>
      </w:r>
      <w:r w:rsidR="00005E12">
        <w:t xml:space="preserve"> </w:t>
      </w:r>
      <w:r w:rsidR="00A12BEC">
        <w:t>as long as statutory requirements are met</w:t>
      </w:r>
      <w:r w:rsidR="007A41D2">
        <w:t xml:space="preserve">, </w:t>
      </w:r>
      <w:r w:rsidR="00792474">
        <w:t xml:space="preserve">and it is an occupational requirement </w:t>
      </w:r>
      <w:r w:rsidR="000855B8">
        <w:t>(</w:t>
      </w:r>
      <w:r w:rsidR="0025515D">
        <w:t>EHRC, 2015).</w:t>
      </w:r>
      <w:r w:rsidR="00565B6E">
        <w:t xml:space="preserve"> </w:t>
      </w:r>
      <w:r w:rsidR="00E24FD3">
        <w:t xml:space="preserve">Occupational requirement can only be applied to specific roles that meet </w:t>
      </w:r>
      <w:r w:rsidR="00634557">
        <w:t>the requirements</w:t>
      </w:r>
      <w:r w:rsidR="00373A0A">
        <w:t xml:space="preserve">, has a </w:t>
      </w:r>
      <w:r w:rsidR="008A24E8">
        <w:t>legitimate</w:t>
      </w:r>
      <w:r w:rsidR="00373A0A">
        <w:t xml:space="preserve"> aim and where the </w:t>
      </w:r>
      <w:r w:rsidR="008A24E8">
        <w:t>discrimination</w:t>
      </w:r>
      <w:r w:rsidR="00ED1893">
        <w:t xml:space="preserve"> is </w:t>
      </w:r>
      <w:r w:rsidR="004F0E47">
        <w:t>‘</w:t>
      </w:r>
      <w:r w:rsidR="00ED1893">
        <w:t>proportionate, appropriate and necessary</w:t>
      </w:r>
      <w:r w:rsidR="004F0E47">
        <w:t>’</w:t>
      </w:r>
      <w:r w:rsidR="00CF729F">
        <w:t xml:space="preserve"> (</w:t>
      </w:r>
      <w:proofErr w:type="spellStart"/>
      <w:r w:rsidR="00CF729F">
        <w:t>Acas</w:t>
      </w:r>
      <w:proofErr w:type="spellEnd"/>
      <w:r w:rsidR="00CF729F">
        <w:t>, 2024)</w:t>
      </w:r>
      <w:r w:rsidR="00216F7D">
        <w:t xml:space="preserve">. </w:t>
      </w:r>
      <w:r w:rsidR="002E1540">
        <w:t>For example, the role requires on living or sleeping on site and there are no separate sleeping facilities, or the role requires a specific level of care that would be inappropriate to be given by a member of the opposite sex (Daniels, 2024).</w:t>
      </w:r>
    </w:p>
    <w:p w14:paraId="4D94AA45" w14:textId="74A68B11" w:rsidR="00105B7F" w:rsidRDefault="008B4C7B" w:rsidP="00AA174C">
      <w:pPr>
        <w:pStyle w:val="BIB"/>
      </w:pPr>
      <w:r>
        <w:t>The o</w:t>
      </w:r>
      <w:r w:rsidR="00110E58">
        <w:t xml:space="preserve">ccupational requirement must be justified for </w:t>
      </w:r>
      <w:r w:rsidR="002508BF">
        <w:t xml:space="preserve">all individual roles and reviewed </w:t>
      </w:r>
      <w:r w:rsidR="002B43CE">
        <w:t xml:space="preserve">at each new recruitment process to ensure that </w:t>
      </w:r>
      <w:r w:rsidR="00736A14">
        <w:t>the justification still appl</w:t>
      </w:r>
      <w:r w:rsidR="00A65805">
        <w:t>ies</w:t>
      </w:r>
      <w:r w:rsidR="00E04F7E">
        <w:t>.</w:t>
      </w:r>
      <w:r w:rsidR="00585F26">
        <w:t xml:space="preserve"> Once the occupational </w:t>
      </w:r>
      <w:r w:rsidR="00C84AD4">
        <w:t>requirement has been justified</w:t>
      </w:r>
      <w:r w:rsidR="006D4011">
        <w:t xml:space="preserve"> for a male or female </w:t>
      </w:r>
      <w:r w:rsidR="00535A7B">
        <w:t xml:space="preserve">this </w:t>
      </w:r>
      <w:r w:rsidR="0056290A">
        <w:t>can then</w:t>
      </w:r>
      <w:r w:rsidR="006D4011">
        <w:t xml:space="preserve"> be stipulated </w:t>
      </w:r>
      <w:r w:rsidR="00B00F7C">
        <w:t xml:space="preserve">in any </w:t>
      </w:r>
      <w:r w:rsidR="00F06C79">
        <w:t>advertisement,</w:t>
      </w:r>
      <w:r w:rsidR="000C6972">
        <w:t xml:space="preserve"> and</w:t>
      </w:r>
      <w:r w:rsidR="00B00F7C">
        <w:t xml:space="preserve"> </w:t>
      </w:r>
      <w:r w:rsidR="000C6972">
        <w:t xml:space="preserve">the particular </w:t>
      </w:r>
      <w:r w:rsidR="00235389">
        <w:t>sex can</w:t>
      </w:r>
      <w:r w:rsidR="00E200FC">
        <w:t xml:space="preserve"> be stated as an </w:t>
      </w:r>
      <w:r w:rsidR="000C6972">
        <w:t>essential</w:t>
      </w:r>
      <w:r w:rsidR="00E200FC">
        <w:t xml:space="preserve"> </w:t>
      </w:r>
      <w:r w:rsidR="000C6972">
        <w:t xml:space="preserve">requirement of the person specification </w:t>
      </w:r>
      <w:r w:rsidR="00024857">
        <w:t>without risk of breach</w:t>
      </w:r>
      <w:r w:rsidR="008079F2">
        <w:t xml:space="preserve"> of the</w:t>
      </w:r>
      <w:r w:rsidR="00970686">
        <w:t xml:space="preserve"> Equality Act (2010) </w:t>
      </w:r>
      <w:r w:rsidR="00970686" w:rsidRPr="00AA174C">
        <w:t>(Armstrong and Taylor, 2023)</w:t>
      </w:r>
      <w:r w:rsidR="00970686">
        <w:t>.</w:t>
      </w:r>
    </w:p>
    <w:p w14:paraId="66D4EABF" w14:textId="003EED82" w:rsidR="00A95B13" w:rsidRDefault="00090671" w:rsidP="00AA174C">
      <w:pPr>
        <w:pStyle w:val="BIB"/>
      </w:pPr>
      <w:r>
        <w:t>2.2</w:t>
      </w:r>
    </w:p>
    <w:p w14:paraId="7C5E23EE" w14:textId="6ED17741" w:rsidR="003E64AC" w:rsidRDefault="00467CF3" w:rsidP="00A95B13">
      <w:pPr>
        <w:pStyle w:val="BIB"/>
      </w:pPr>
      <w:r>
        <w:t>In line with the Equality Act 2010</w:t>
      </w:r>
      <w:r w:rsidR="00F57878">
        <w:t xml:space="preserve"> </w:t>
      </w:r>
      <w:r w:rsidR="00E02FB3">
        <w:t xml:space="preserve">there is a contractual requirement for </w:t>
      </w:r>
      <w:r w:rsidR="002F3437">
        <w:t>e</w:t>
      </w:r>
      <w:r w:rsidR="00634D07">
        <w:t xml:space="preserve">quality of pay </w:t>
      </w:r>
      <w:r w:rsidR="00C417AC">
        <w:t>across all sexes</w:t>
      </w:r>
      <w:r w:rsidR="00A30A4B">
        <w:t>, where the</w:t>
      </w:r>
      <w:r w:rsidR="0093761D">
        <w:t xml:space="preserve">ir terms and conditions of employment are </w:t>
      </w:r>
      <w:r w:rsidR="003224BB">
        <w:t>e</w:t>
      </w:r>
      <w:r w:rsidR="00093898">
        <w:t>qual in value, such as the role requirements and resp</w:t>
      </w:r>
      <w:r w:rsidR="000A6192">
        <w:t>onsibilities.</w:t>
      </w:r>
      <w:r w:rsidR="00B926EB">
        <w:t xml:space="preserve"> </w:t>
      </w:r>
      <w:r w:rsidR="00F018B2">
        <w:t xml:space="preserve">Pay equality </w:t>
      </w:r>
      <w:r w:rsidR="005008BF">
        <w:t xml:space="preserve">law covers all areas including </w:t>
      </w:r>
      <w:r w:rsidR="00A54048">
        <w:t>basic pay, bonuses</w:t>
      </w:r>
      <w:r w:rsidR="00F06C79">
        <w:rPr>
          <w:color w:val="45B0E1" w:themeColor="accent1" w:themeTint="99"/>
        </w:rPr>
        <w:t>,</w:t>
      </w:r>
      <w:r w:rsidR="00A54048">
        <w:t xml:space="preserve"> </w:t>
      </w:r>
      <w:r w:rsidR="00A54048" w:rsidRPr="00F06C79">
        <w:rPr>
          <w:strike/>
        </w:rPr>
        <w:t>and</w:t>
      </w:r>
      <w:r w:rsidR="00A54048">
        <w:t xml:space="preserve"> overtime rates</w:t>
      </w:r>
      <w:r w:rsidR="00F06C79">
        <w:t xml:space="preserve"> </w:t>
      </w:r>
      <w:r w:rsidR="00F06C79" w:rsidRPr="00F06C79">
        <w:rPr>
          <w:color w:val="45B0E1" w:themeColor="accent1" w:themeTint="99"/>
        </w:rPr>
        <w:t>and other contractu</w:t>
      </w:r>
      <w:r w:rsidR="00F06C79">
        <w:rPr>
          <w:color w:val="45B0E1" w:themeColor="accent1" w:themeTint="99"/>
        </w:rPr>
        <w:t>al benefits such as pensions</w:t>
      </w:r>
      <w:r w:rsidR="00610663">
        <w:t xml:space="preserve"> (</w:t>
      </w:r>
      <w:proofErr w:type="spellStart"/>
      <w:r w:rsidR="00610663">
        <w:t>Acas</w:t>
      </w:r>
      <w:proofErr w:type="spellEnd"/>
      <w:r w:rsidR="008A0CE5">
        <w:t xml:space="preserve">, </w:t>
      </w:r>
      <w:r w:rsidR="0053399B">
        <w:t>2024d)</w:t>
      </w:r>
      <w:r w:rsidR="00F06C79">
        <w:rPr>
          <w:color w:val="45B0E1" w:themeColor="accent1" w:themeTint="99"/>
        </w:rPr>
        <w:t>.</w:t>
      </w:r>
      <w:r w:rsidR="00434733">
        <w:t xml:space="preserve"> </w:t>
      </w:r>
      <w:r w:rsidR="00EE421C">
        <w:t xml:space="preserve">Furthermore, </w:t>
      </w:r>
      <w:r w:rsidR="00A31863">
        <w:t xml:space="preserve">as a public sector organisation </w:t>
      </w:r>
      <w:r w:rsidR="00CC5F72">
        <w:t xml:space="preserve">the health board has a </w:t>
      </w:r>
      <w:r w:rsidR="00B6731C">
        <w:t>responsibility</w:t>
      </w:r>
      <w:r w:rsidR="00CC5F72">
        <w:t xml:space="preserve"> to adhere to the </w:t>
      </w:r>
      <w:r w:rsidR="00B6731C">
        <w:t>Public Sector Equality Duty</w:t>
      </w:r>
      <w:r w:rsidR="006B0DF5">
        <w:t xml:space="preserve"> and promote </w:t>
      </w:r>
      <w:r w:rsidR="009A6B97">
        <w:t xml:space="preserve">equality </w:t>
      </w:r>
      <w:r w:rsidR="00131821">
        <w:t xml:space="preserve">within the </w:t>
      </w:r>
      <w:r w:rsidR="00F06C79">
        <w:t>day-to-day</w:t>
      </w:r>
      <w:r w:rsidR="00131821">
        <w:t xml:space="preserve"> operations (Daniels, 2025).</w:t>
      </w:r>
      <w:r w:rsidR="006333E2">
        <w:t xml:space="preserve"> </w:t>
      </w:r>
    </w:p>
    <w:p w14:paraId="69144F79" w14:textId="22F4D539" w:rsidR="00876573" w:rsidRDefault="0039600F" w:rsidP="00A95B13">
      <w:pPr>
        <w:pStyle w:val="BIB"/>
      </w:pPr>
      <w:r>
        <w:lastRenderedPageBreak/>
        <w:t>As the duties conducted by the HCA’s in</w:t>
      </w:r>
      <w:r w:rsidR="000863B0">
        <w:t xml:space="preserve"> question</w:t>
      </w:r>
      <w:r>
        <w:t xml:space="preserve"> </w:t>
      </w:r>
      <w:r w:rsidR="00D5682D">
        <w:t xml:space="preserve">are </w:t>
      </w:r>
      <w:r w:rsidR="00E45C00">
        <w:t xml:space="preserve">deemed </w:t>
      </w:r>
      <w:r w:rsidR="003167E7">
        <w:t>equal to the duties conducted by other HCA’s with</w:t>
      </w:r>
      <w:r w:rsidR="002D6943">
        <w:t xml:space="preserve">in the organisation, there would need </w:t>
      </w:r>
      <w:r w:rsidR="00953C2A">
        <w:t>clear</w:t>
      </w:r>
      <w:r w:rsidR="00EE2C53">
        <w:t xml:space="preserve"> </w:t>
      </w:r>
      <w:r w:rsidR="00D85334">
        <w:t>substantial</w:t>
      </w:r>
      <w:r w:rsidR="00EE2C53">
        <w:t xml:space="preserve"> </w:t>
      </w:r>
      <w:r w:rsidR="00893DB3">
        <w:t>m</w:t>
      </w:r>
      <w:r w:rsidR="00EE2C53">
        <w:t>aterial</w:t>
      </w:r>
      <w:r w:rsidR="00D85334">
        <w:t xml:space="preserve"> factors </w:t>
      </w:r>
      <w:r w:rsidR="00B016E0">
        <w:t>that the two employe</w:t>
      </w:r>
      <w:r w:rsidR="003E5164">
        <w:t xml:space="preserve">es stated are entitled to the higher </w:t>
      </w:r>
      <w:r w:rsidR="00C00CAF">
        <w:t>pay rate</w:t>
      </w:r>
      <w:r w:rsidR="00E45C00">
        <w:t>. These factors could be</w:t>
      </w:r>
      <w:r w:rsidR="00D5715A">
        <w:t xml:space="preserve"> that</w:t>
      </w:r>
      <w:r w:rsidR="0094561E">
        <w:t xml:space="preserve"> </w:t>
      </w:r>
      <w:r w:rsidR="00D85334">
        <w:t xml:space="preserve">they </w:t>
      </w:r>
      <w:r w:rsidR="001A5DCF">
        <w:t xml:space="preserve">have additional </w:t>
      </w:r>
      <w:r w:rsidR="0029253F">
        <w:t>qualifications and</w:t>
      </w:r>
      <w:r w:rsidR="001A5DCF">
        <w:t xml:space="preserve"> </w:t>
      </w:r>
      <w:r w:rsidR="001C63AC">
        <w:t>experience,</w:t>
      </w:r>
      <w:r w:rsidR="0029253F">
        <w:t xml:space="preserve"> or they are wo</w:t>
      </w:r>
      <w:r w:rsidR="004328A0">
        <w:t xml:space="preserve">rking </w:t>
      </w:r>
      <w:r w:rsidR="009327A5">
        <w:t xml:space="preserve">more </w:t>
      </w:r>
      <w:r w:rsidR="004328A0">
        <w:t>unsocial hours</w:t>
      </w:r>
      <w:r w:rsidR="00C15561">
        <w:t xml:space="preserve"> (Armstrong</w:t>
      </w:r>
      <w:r w:rsidR="00E707C0">
        <w:t xml:space="preserve"> and Taylor, 2023).</w:t>
      </w:r>
      <w:r w:rsidR="000666ED">
        <w:t xml:space="preserve"> </w:t>
      </w:r>
      <w:r w:rsidR="0096667B">
        <w:t>An</w:t>
      </w:r>
      <w:r w:rsidR="00AA6482">
        <w:t>other option is to request re-</w:t>
      </w:r>
      <w:r w:rsidR="001258A4">
        <w:t>evaluation</w:t>
      </w:r>
      <w:r w:rsidR="00AA6482">
        <w:t xml:space="preserve"> of the jobs carried out </w:t>
      </w:r>
      <w:r w:rsidR="003F7B97">
        <w:t>by</w:t>
      </w:r>
      <w:r w:rsidR="00C62A21">
        <w:t xml:space="preserve"> a sample of HCA’s across the health board</w:t>
      </w:r>
      <w:r w:rsidR="00115DB0">
        <w:t xml:space="preserve"> through</w:t>
      </w:r>
      <w:r w:rsidR="00C62A21">
        <w:t xml:space="preserve"> </w:t>
      </w:r>
      <w:r w:rsidR="003F7B97">
        <w:t>the NHS Job Evaluation Scheme (JES)</w:t>
      </w:r>
      <w:r w:rsidR="00B46D31">
        <w:t xml:space="preserve">, which will clarify if the </w:t>
      </w:r>
      <w:r w:rsidR="007D267F">
        <w:t>individuals and roles are the correct pay band (</w:t>
      </w:r>
      <w:r w:rsidR="001048A0">
        <w:t xml:space="preserve">NHS, </w:t>
      </w:r>
      <w:r w:rsidR="00EF1AC9">
        <w:t>JEG, 2024)</w:t>
      </w:r>
    </w:p>
    <w:p w14:paraId="370A6A14" w14:textId="2D1FB7CB" w:rsidR="0094561E" w:rsidRDefault="0094561E" w:rsidP="00A95B13">
      <w:pPr>
        <w:pStyle w:val="BIB"/>
      </w:pPr>
      <w:r>
        <w:t xml:space="preserve">Failure to </w:t>
      </w:r>
      <w:r w:rsidR="00531014">
        <w:t>comply with the equal pay</w:t>
      </w:r>
      <w:r w:rsidR="00B928B2">
        <w:t>, or to</w:t>
      </w:r>
      <w:r w:rsidR="005B54E2">
        <w:t xml:space="preserve"> have clearly documented reasons for the pay differential</w:t>
      </w:r>
      <w:r w:rsidR="00531014">
        <w:t xml:space="preserve"> </w:t>
      </w:r>
      <w:r w:rsidR="00020FA9">
        <w:t xml:space="preserve">may result in </w:t>
      </w:r>
      <w:r w:rsidR="00C27D0E">
        <w:t>Employment Tribunal Claims</w:t>
      </w:r>
      <w:r w:rsidR="00455649">
        <w:t xml:space="preserve"> being brought against the Health Board as the employer.</w:t>
      </w:r>
      <w:r w:rsidR="00AA1920">
        <w:t xml:space="preserve"> This can lead </w:t>
      </w:r>
      <w:r w:rsidR="002F55AA">
        <w:t>to costly legal fees</w:t>
      </w:r>
      <w:r w:rsidR="00474D3F">
        <w:t xml:space="preserve">, </w:t>
      </w:r>
      <w:r w:rsidR="007843D3">
        <w:t xml:space="preserve">potential compensation awards and </w:t>
      </w:r>
      <w:r w:rsidR="00286300">
        <w:t xml:space="preserve">further sanctions including </w:t>
      </w:r>
      <w:r w:rsidR="00474D3F">
        <w:t xml:space="preserve">equal pay </w:t>
      </w:r>
      <w:r w:rsidR="00297988">
        <w:t>audits (</w:t>
      </w:r>
      <w:proofErr w:type="spellStart"/>
      <w:r w:rsidR="00297988">
        <w:t>Acas</w:t>
      </w:r>
      <w:proofErr w:type="spellEnd"/>
      <w:r w:rsidR="00297988">
        <w:t xml:space="preserve">, 2024e). An </w:t>
      </w:r>
      <w:r w:rsidR="002C01C7">
        <w:t xml:space="preserve">example is </w:t>
      </w:r>
      <w:proofErr w:type="spellStart"/>
      <w:r w:rsidR="0053317B" w:rsidRPr="0053317B">
        <w:t>Brownbill</w:t>
      </w:r>
      <w:proofErr w:type="spellEnd"/>
      <w:r w:rsidR="0053317B" w:rsidRPr="0053317B">
        <w:t xml:space="preserve"> and Others v St Helens and Knowsley NHS Trust </w:t>
      </w:r>
      <w:r w:rsidR="006D239D">
        <w:t>–</w:t>
      </w:r>
      <w:r w:rsidR="0053317B" w:rsidRPr="0053317B">
        <w:t xml:space="preserve"> </w:t>
      </w:r>
      <w:r w:rsidR="005D262A">
        <w:t xml:space="preserve">where the EAT </w:t>
      </w:r>
      <w:r w:rsidR="00A209EF">
        <w:t>ruled in favour of the claimant</w:t>
      </w:r>
      <w:r w:rsidR="0037574E">
        <w:t xml:space="preserve">, </w:t>
      </w:r>
      <w:r w:rsidR="0037574E">
        <w:rPr>
          <w:color w:val="45B0E1" w:themeColor="accent1" w:themeTint="99"/>
        </w:rPr>
        <w:t xml:space="preserve">as </w:t>
      </w:r>
      <w:r w:rsidR="00DE411E">
        <w:rPr>
          <w:color w:val="45B0E1" w:themeColor="accent1" w:themeTint="99"/>
        </w:rPr>
        <w:t xml:space="preserve">the employer failed to provide sufficient </w:t>
      </w:r>
      <w:r w:rsidR="001565E1">
        <w:rPr>
          <w:color w:val="45B0E1" w:themeColor="accent1" w:themeTint="99"/>
        </w:rPr>
        <w:t xml:space="preserve">objective justification for the difference in pay between male and female employees </w:t>
      </w:r>
      <w:r w:rsidR="003802EF">
        <w:rPr>
          <w:color w:val="45B0E1" w:themeColor="accent1" w:themeTint="99"/>
        </w:rPr>
        <w:t xml:space="preserve">conducting </w:t>
      </w:r>
      <w:r w:rsidR="00797EC2">
        <w:rPr>
          <w:color w:val="45B0E1" w:themeColor="accent1" w:themeTint="99"/>
        </w:rPr>
        <w:t>equivalent roles</w:t>
      </w:r>
      <w:r w:rsidR="00A209EF">
        <w:t xml:space="preserve"> (Croner-</w:t>
      </w:r>
      <w:r w:rsidR="000352EE">
        <w:t>I, 2010).</w:t>
      </w:r>
    </w:p>
    <w:p w14:paraId="44916964" w14:textId="27071186" w:rsidR="005A5359" w:rsidRDefault="00F4635D" w:rsidP="00A95B13">
      <w:pPr>
        <w:pStyle w:val="BIB"/>
        <w:rPr>
          <w:color w:val="45B0E1" w:themeColor="accent1" w:themeTint="99"/>
        </w:rPr>
      </w:pPr>
      <w:r>
        <w:rPr>
          <w:color w:val="45B0E1" w:themeColor="accent1" w:themeTint="99"/>
        </w:rPr>
        <w:t xml:space="preserve">In addition to the legal risks, </w:t>
      </w:r>
      <w:r w:rsidRPr="00F4635D">
        <w:rPr>
          <w:color w:val="45B0E1" w:themeColor="accent1" w:themeTint="99"/>
        </w:rPr>
        <w:t xml:space="preserve">there are also ethical and organisational considerations. </w:t>
      </w:r>
      <w:r w:rsidR="00340171">
        <w:rPr>
          <w:color w:val="45B0E1" w:themeColor="accent1" w:themeTint="99"/>
        </w:rPr>
        <w:t xml:space="preserve">As </w:t>
      </w:r>
      <w:r w:rsidR="00FF36AF">
        <w:rPr>
          <w:color w:val="45B0E1" w:themeColor="accent1" w:themeTint="99"/>
        </w:rPr>
        <w:t>a high proportion</w:t>
      </w:r>
      <w:r w:rsidRPr="00F4635D">
        <w:rPr>
          <w:color w:val="45B0E1" w:themeColor="accent1" w:themeTint="99"/>
        </w:rPr>
        <w:t xml:space="preserve"> of HCAs within </w:t>
      </w:r>
      <w:r w:rsidR="00340171">
        <w:rPr>
          <w:color w:val="45B0E1" w:themeColor="accent1" w:themeTint="99"/>
        </w:rPr>
        <w:t xml:space="preserve">health </w:t>
      </w:r>
      <w:r w:rsidR="003273A8">
        <w:rPr>
          <w:color w:val="45B0E1" w:themeColor="accent1" w:themeTint="99"/>
        </w:rPr>
        <w:t>boards</w:t>
      </w:r>
      <w:r w:rsidRPr="00F4635D">
        <w:rPr>
          <w:color w:val="45B0E1" w:themeColor="accent1" w:themeTint="99"/>
        </w:rPr>
        <w:t xml:space="preserve"> are women, selectively upgrading two male HCAs could create perceptions of bias or unfairness, even if unintended. This could damage team morale and trust in management. Therefore, any reward or recognition initiative should be open to all eligible HCAs, based on objective and measurable criteria</w:t>
      </w:r>
      <w:r w:rsidR="00FF36AF">
        <w:rPr>
          <w:color w:val="45B0E1" w:themeColor="accent1" w:themeTint="99"/>
        </w:rPr>
        <w:t xml:space="preserve"> (Mullins and Christy, 2023).</w:t>
      </w:r>
    </w:p>
    <w:p w14:paraId="4F606488" w14:textId="7DD95427" w:rsidR="00D0223D" w:rsidRPr="00F4635D" w:rsidRDefault="00D0223D" w:rsidP="00A95B13">
      <w:pPr>
        <w:pStyle w:val="BIB"/>
        <w:rPr>
          <w:color w:val="45B0E1" w:themeColor="accent1" w:themeTint="99"/>
        </w:rPr>
      </w:pPr>
      <w:r>
        <w:rPr>
          <w:color w:val="45B0E1" w:themeColor="accent1" w:themeTint="99"/>
        </w:rPr>
        <w:t xml:space="preserve">Therefore, it is recommended </w:t>
      </w:r>
      <w:r w:rsidR="0059621B">
        <w:rPr>
          <w:color w:val="45B0E1" w:themeColor="accent1" w:themeTint="99"/>
        </w:rPr>
        <w:t>that</w:t>
      </w:r>
      <w:r w:rsidR="00850A61">
        <w:rPr>
          <w:color w:val="45B0E1" w:themeColor="accent1" w:themeTint="99"/>
        </w:rPr>
        <w:t xml:space="preserve"> </w:t>
      </w:r>
      <w:r w:rsidR="003273A8">
        <w:rPr>
          <w:color w:val="45B0E1" w:themeColor="accent1" w:themeTint="99"/>
        </w:rPr>
        <w:t xml:space="preserve">in line with </w:t>
      </w:r>
      <w:r w:rsidR="00850A61">
        <w:rPr>
          <w:color w:val="45B0E1" w:themeColor="accent1" w:themeTint="99"/>
        </w:rPr>
        <w:t xml:space="preserve">a </w:t>
      </w:r>
      <w:r w:rsidR="0044667C">
        <w:rPr>
          <w:color w:val="45B0E1" w:themeColor="accent1" w:themeTint="99"/>
        </w:rPr>
        <w:t xml:space="preserve">job evaluation review is </w:t>
      </w:r>
      <w:r w:rsidR="00CF291A">
        <w:rPr>
          <w:color w:val="45B0E1" w:themeColor="accent1" w:themeTint="99"/>
        </w:rPr>
        <w:t>conducted,</w:t>
      </w:r>
      <w:r w:rsidR="0044667C">
        <w:rPr>
          <w:color w:val="45B0E1" w:themeColor="accent1" w:themeTint="99"/>
        </w:rPr>
        <w:t xml:space="preserve"> and </w:t>
      </w:r>
      <w:r w:rsidR="00CF291A">
        <w:rPr>
          <w:color w:val="45B0E1" w:themeColor="accent1" w:themeTint="99"/>
        </w:rPr>
        <w:t xml:space="preserve">the pay increase </w:t>
      </w:r>
      <w:r w:rsidR="00C61CAA" w:rsidRPr="00C61CAA">
        <w:rPr>
          <w:color w:val="45B0E1" w:themeColor="accent1" w:themeTint="99"/>
        </w:rPr>
        <w:t>should only be granted where there is clear, documented, and gender-neutral justification.</w:t>
      </w:r>
    </w:p>
    <w:p w14:paraId="5C565AFE" w14:textId="6063D33C" w:rsidR="00157404" w:rsidRDefault="00157404" w:rsidP="00A95B13">
      <w:pPr>
        <w:pStyle w:val="BIB"/>
      </w:pPr>
      <w:r>
        <w:t>3.1</w:t>
      </w:r>
    </w:p>
    <w:p w14:paraId="33D5D252" w14:textId="5EF81EA1" w:rsidR="005B7141" w:rsidRPr="00992F3C" w:rsidRDefault="00416121" w:rsidP="00C63F4E">
      <w:pPr>
        <w:rPr>
          <w:color w:val="45B0E1" w:themeColor="accent1" w:themeTint="99"/>
        </w:rPr>
      </w:pPr>
      <w:proofErr w:type="spellStart"/>
      <w:r>
        <w:rPr>
          <w:color w:val="45B0E1" w:themeColor="accent1" w:themeTint="99"/>
        </w:rPr>
        <w:t>Acas</w:t>
      </w:r>
      <w:proofErr w:type="spellEnd"/>
      <w:r w:rsidR="00390A53">
        <w:rPr>
          <w:color w:val="45B0E1" w:themeColor="accent1" w:themeTint="99"/>
        </w:rPr>
        <w:t xml:space="preserve"> (2024f) state that </w:t>
      </w:r>
      <w:r w:rsidR="00992F3C" w:rsidRPr="00992F3C">
        <w:rPr>
          <w:color w:val="45B0E1" w:themeColor="accent1" w:themeTint="99"/>
        </w:rPr>
        <w:t>Constructive dismissal occurs when an employee resigns because their employer’s actions have made it impossible for them to continue working under the original terms of employment.</w:t>
      </w:r>
      <w:r w:rsidR="00992F3C">
        <w:rPr>
          <w:color w:val="45B0E1" w:themeColor="accent1" w:themeTint="99"/>
        </w:rPr>
        <w:t xml:space="preserve"> </w:t>
      </w:r>
      <w:r w:rsidR="0081662D">
        <w:t xml:space="preserve">For an employee to bring a </w:t>
      </w:r>
      <w:r w:rsidR="005E0E6C" w:rsidRPr="005E0E6C">
        <w:rPr>
          <w:color w:val="45B0E1" w:themeColor="accent1" w:themeTint="99"/>
        </w:rPr>
        <w:t xml:space="preserve">constructive </w:t>
      </w:r>
      <w:r w:rsidR="00A65B5A">
        <w:t>dismissal claim</w:t>
      </w:r>
      <w:r w:rsidR="00BB2007">
        <w:t>,</w:t>
      </w:r>
      <w:r w:rsidR="00A65B5A">
        <w:t xml:space="preserve"> the</w:t>
      </w:r>
      <w:r w:rsidR="009E621B">
        <w:t xml:space="preserve">y must be able to demonstrate </w:t>
      </w:r>
      <w:r w:rsidR="00B66F5E">
        <w:t xml:space="preserve">there was a </w:t>
      </w:r>
      <w:r w:rsidR="00F35D97">
        <w:t xml:space="preserve">fundamental breach of contract by the employer, </w:t>
      </w:r>
      <w:r w:rsidR="007B6830" w:rsidRPr="007B6830">
        <w:rPr>
          <w:color w:val="45B0E1" w:themeColor="accent1" w:themeTint="99"/>
        </w:rPr>
        <w:t xml:space="preserve">that </w:t>
      </w:r>
      <w:r w:rsidR="00F35D97">
        <w:t xml:space="preserve">this breach </w:t>
      </w:r>
      <w:r w:rsidR="0094621F" w:rsidRPr="0094621F">
        <w:rPr>
          <w:color w:val="45B0E1" w:themeColor="accent1" w:themeTint="99"/>
        </w:rPr>
        <w:t xml:space="preserve">directly </w:t>
      </w:r>
      <w:r w:rsidR="00F35D97">
        <w:t>caused them to resign and there</w:t>
      </w:r>
      <w:r w:rsidR="001A6720">
        <w:t xml:space="preserve"> was no </w:t>
      </w:r>
      <w:r w:rsidR="001A6720" w:rsidRPr="007B6830">
        <w:rPr>
          <w:strike/>
        </w:rPr>
        <w:t>significant</w:t>
      </w:r>
      <w:r w:rsidR="001A6720">
        <w:t xml:space="preserve"> </w:t>
      </w:r>
      <w:r w:rsidR="007B6830">
        <w:rPr>
          <w:color w:val="45B0E1" w:themeColor="accent1" w:themeTint="99"/>
        </w:rPr>
        <w:t xml:space="preserve">unreasonable </w:t>
      </w:r>
      <w:r w:rsidR="001A6720">
        <w:t>delay in resigning (Daniels, 2025)</w:t>
      </w:r>
      <w:r w:rsidR="00CB67BD">
        <w:t xml:space="preserve">. </w:t>
      </w:r>
    </w:p>
    <w:p w14:paraId="4AE6875C" w14:textId="77777777" w:rsidR="00DB5180" w:rsidRDefault="006B14C8" w:rsidP="00C63F4E">
      <w:r w:rsidRPr="00997266">
        <w:rPr>
          <w:strike/>
        </w:rPr>
        <w:t>Furthermore,</w:t>
      </w:r>
      <w:r w:rsidR="00FE0890">
        <w:rPr>
          <w:strike/>
        </w:rPr>
        <w:t xml:space="preserve"> </w:t>
      </w:r>
      <w:r w:rsidR="002C3B5F" w:rsidRPr="002C3B5F">
        <w:rPr>
          <w:color w:val="45B0E1" w:themeColor="accent1" w:themeTint="99"/>
        </w:rPr>
        <w:t>According to</w:t>
      </w:r>
      <w:r w:rsidRPr="00997266">
        <w:rPr>
          <w:strike/>
        </w:rPr>
        <w:t xml:space="preserve"> </w:t>
      </w:r>
      <w:proofErr w:type="spellStart"/>
      <w:r w:rsidR="00D34A2F">
        <w:t>Acas</w:t>
      </w:r>
      <w:proofErr w:type="spellEnd"/>
      <w:r w:rsidR="00A554CD">
        <w:t xml:space="preserve"> (2024f)</w:t>
      </w:r>
      <w:r w:rsidR="00493B88">
        <w:t>,</w:t>
      </w:r>
      <w:r w:rsidR="00A554CD">
        <w:t xml:space="preserve"> </w:t>
      </w:r>
      <w:r w:rsidR="00A554CD" w:rsidRPr="003273B6">
        <w:rPr>
          <w:strike/>
        </w:rPr>
        <w:t>stipulate that</w:t>
      </w:r>
      <w:r w:rsidR="004A76D7">
        <w:t xml:space="preserve"> </w:t>
      </w:r>
      <w:r w:rsidR="00C06920">
        <w:rPr>
          <w:color w:val="45B0E1" w:themeColor="accent1" w:themeTint="99"/>
        </w:rPr>
        <w:t xml:space="preserve">unilateral </w:t>
      </w:r>
      <w:r w:rsidR="0096193B">
        <w:t>changes to</w:t>
      </w:r>
      <w:r w:rsidR="00E6098A">
        <w:t xml:space="preserve"> </w:t>
      </w:r>
      <w:r w:rsidR="00E6098A" w:rsidRPr="00021920">
        <w:rPr>
          <w:color w:val="45B0E1" w:themeColor="accent1" w:themeTint="99"/>
        </w:rPr>
        <w:t>an employee</w:t>
      </w:r>
      <w:r w:rsidR="00021920">
        <w:rPr>
          <w:color w:val="45B0E1" w:themeColor="accent1" w:themeTint="99"/>
        </w:rPr>
        <w:t>’</w:t>
      </w:r>
      <w:r w:rsidR="00E6098A" w:rsidRPr="00021920">
        <w:rPr>
          <w:color w:val="45B0E1" w:themeColor="accent1" w:themeTint="99"/>
        </w:rPr>
        <w:t>s</w:t>
      </w:r>
      <w:r w:rsidR="0096193B" w:rsidRPr="00021920">
        <w:rPr>
          <w:color w:val="45B0E1" w:themeColor="accent1" w:themeTint="99"/>
        </w:rPr>
        <w:t xml:space="preserve"> </w:t>
      </w:r>
      <w:r w:rsidR="0096193B" w:rsidRPr="00021920">
        <w:rPr>
          <w:strike/>
        </w:rPr>
        <w:t>the</w:t>
      </w:r>
      <w:r w:rsidR="0096193B">
        <w:t xml:space="preserve"> working pattern</w:t>
      </w:r>
      <w:r w:rsidR="0096193B" w:rsidRPr="00DE7941">
        <w:rPr>
          <w:strike/>
        </w:rPr>
        <w:t>s</w:t>
      </w:r>
      <w:r w:rsidR="0096193B">
        <w:t xml:space="preserve"> or location</w:t>
      </w:r>
      <w:r w:rsidR="0096193B" w:rsidRPr="00DE7941">
        <w:rPr>
          <w:strike/>
        </w:rPr>
        <w:t>s</w:t>
      </w:r>
      <w:r w:rsidR="009B0AF3">
        <w:t xml:space="preserve"> </w:t>
      </w:r>
      <w:r w:rsidR="009B0AF3" w:rsidRPr="009B0AF3">
        <w:rPr>
          <w:color w:val="45B0E1" w:themeColor="accent1" w:themeTint="99"/>
        </w:rPr>
        <w:t>terms</w:t>
      </w:r>
      <w:r w:rsidR="00254A53">
        <w:t xml:space="preserve">, </w:t>
      </w:r>
      <w:r w:rsidR="00254A53" w:rsidRPr="00CE52B3">
        <w:rPr>
          <w:color w:val="45B0E1" w:themeColor="accent1" w:themeTint="99"/>
        </w:rPr>
        <w:t xml:space="preserve">whether </w:t>
      </w:r>
      <w:r w:rsidR="00DE7941">
        <w:rPr>
          <w:color w:val="45B0E1" w:themeColor="accent1" w:themeTint="99"/>
        </w:rPr>
        <w:t xml:space="preserve">these terms are </w:t>
      </w:r>
      <w:r w:rsidR="00254A53" w:rsidRPr="00CE52B3">
        <w:rPr>
          <w:color w:val="45B0E1" w:themeColor="accent1" w:themeTint="99"/>
        </w:rPr>
        <w:t>express</w:t>
      </w:r>
      <w:r w:rsidR="00EF74FD">
        <w:rPr>
          <w:color w:val="45B0E1" w:themeColor="accent1" w:themeTint="99"/>
        </w:rPr>
        <w:t xml:space="preserve">, </w:t>
      </w:r>
      <w:r w:rsidR="00CE52B3" w:rsidRPr="00CE52B3">
        <w:rPr>
          <w:color w:val="45B0E1" w:themeColor="accent1" w:themeTint="99"/>
        </w:rPr>
        <w:t>implied</w:t>
      </w:r>
      <w:r w:rsidR="00EF74FD">
        <w:rPr>
          <w:color w:val="45B0E1" w:themeColor="accent1" w:themeTint="99"/>
        </w:rPr>
        <w:t xml:space="preserve"> or incorporated</w:t>
      </w:r>
      <w:r w:rsidR="00CE52B3">
        <w:t xml:space="preserve">, </w:t>
      </w:r>
      <w:r w:rsidR="0096193B">
        <w:t xml:space="preserve">without </w:t>
      </w:r>
      <w:r w:rsidR="002069A0" w:rsidRPr="002069A0">
        <w:rPr>
          <w:color w:val="45B0E1" w:themeColor="accent1" w:themeTint="99"/>
        </w:rPr>
        <w:t xml:space="preserve">mutual </w:t>
      </w:r>
      <w:r w:rsidR="0096193B">
        <w:t>agreement</w:t>
      </w:r>
      <w:r w:rsidR="00AB36BC">
        <w:t>,</w:t>
      </w:r>
      <w:r w:rsidR="0096193B">
        <w:t xml:space="preserve"> </w:t>
      </w:r>
      <w:r w:rsidR="008A6B8F" w:rsidRPr="00AC7CBB">
        <w:rPr>
          <w:strike/>
        </w:rPr>
        <w:t>are</w:t>
      </w:r>
      <w:r w:rsidR="008A6B8F">
        <w:t xml:space="preserve"> </w:t>
      </w:r>
      <w:r w:rsidR="00AC7CBB">
        <w:rPr>
          <w:color w:val="45B0E1" w:themeColor="accent1" w:themeTint="99"/>
        </w:rPr>
        <w:t>may</w:t>
      </w:r>
      <w:r w:rsidR="00493B88">
        <w:rPr>
          <w:color w:val="45B0E1" w:themeColor="accent1" w:themeTint="99"/>
        </w:rPr>
        <w:t xml:space="preserve"> </w:t>
      </w:r>
      <w:r w:rsidR="002E3660">
        <w:rPr>
          <w:color w:val="45B0E1" w:themeColor="accent1" w:themeTint="99"/>
        </w:rPr>
        <w:t>constit</w:t>
      </w:r>
      <w:r w:rsidR="00375230">
        <w:rPr>
          <w:color w:val="45B0E1" w:themeColor="accent1" w:themeTint="99"/>
        </w:rPr>
        <w:t>ute a fundamental breach of the employment contract</w:t>
      </w:r>
      <w:r w:rsidR="00631A58">
        <w:rPr>
          <w:color w:val="45B0E1" w:themeColor="accent1" w:themeTint="99"/>
        </w:rPr>
        <w:t xml:space="preserve"> </w:t>
      </w:r>
      <w:r w:rsidR="00CE52B3">
        <w:rPr>
          <w:color w:val="45B0E1" w:themeColor="accent1" w:themeTint="99"/>
        </w:rPr>
        <w:t>and amount to</w:t>
      </w:r>
      <w:r w:rsidR="00631A58">
        <w:rPr>
          <w:color w:val="45B0E1" w:themeColor="accent1" w:themeTint="99"/>
        </w:rPr>
        <w:t xml:space="preserve"> </w:t>
      </w:r>
      <w:r w:rsidR="008A6B8F">
        <w:t>a case</w:t>
      </w:r>
      <w:r w:rsidR="006E634D">
        <w:t xml:space="preserve"> for a constructive dismissal </w:t>
      </w:r>
      <w:r w:rsidR="006E634D" w:rsidRPr="00AB36BC">
        <w:rPr>
          <w:strike/>
        </w:rPr>
        <w:t>claim</w:t>
      </w:r>
      <w:r w:rsidR="001563F6">
        <w:t xml:space="preserve">. </w:t>
      </w:r>
      <w:r w:rsidR="001563F6" w:rsidRPr="00634258">
        <w:rPr>
          <w:strike/>
        </w:rPr>
        <w:t>However, in order</w:t>
      </w:r>
      <w:r w:rsidR="001563F6">
        <w:t xml:space="preserve"> </w:t>
      </w:r>
    </w:p>
    <w:p w14:paraId="488DEBCD" w14:textId="746D611E" w:rsidR="00D804BC" w:rsidRPr="005D2570" w:rsidRDefault="00634258" w:rsidP="00C63F4E">
      <w:pPr>
        <w:rPr>
          <w:color w:val="45B0E1" w:themeColor="accent1" w:themeTint="99"/>
        </w:rPr>
      </w:pPr>
      <w:r>
        <w:t>T</w:t>
      </w:r>
      <w:r w:rsidR="001563F6">
        <w:t>o qualify to bring a claim</w:t>
      </w:r>
      <w:r w:rsidR="006069C1">
        <w:t>,</w:t>
      </w:r>
      <w:r w:rsidR="001563F6">
        <w:t xml:space="preserve"> the employee must </w:t>
      </w:r>
      <w:r w:rsidR="00DB5180" w:rsidRPr="00DB5180">
        <w:rPr>
          <w:color w:val="45B0E1" w:themeColor="accent1" w:themeTint="99"/>
        </w:rPr>
        <w:t xml:space="preserve">have </w:t>
      </w:r>
      <w:r w:rsidR="00AA5694">
        <w:t xml:space="preserve">worked for the employer </w:t>
      </w:r>
      <w:r w:rsidR="00A0399C">
        <w:rPr>
          <w:color w:val="45B0E1" w:themeColor="accent1" w:themeTint="99"/>
        </w:rPr>
        <w:t xml:space="preserve">continuously </w:t>
      </w:r>
      <w:r w:rsidR="00AA5694">
        <w:t>for at least two years</w:t>
      </w:r>
      <w:r w:rsidR="00DB5180">
        <w:t>,</w:t>
      </w:r>
      <w:r w:rsidR="000968EC">
        <w:t xml:space="preserve"> </w:t>
      </w:r>
      <w:r w:rsidR="000968EC" w:rsidRPr="00DB5180">
        <w:rPr>
          <w:strike/>
        </w:rPr>
        <w:t>and</w:t>
      </w:r>
      <w:r w:rsidR="000968EC">
        <w:t xml:space="preserve"> have clearly </w:t>
      </w:r>
      <w:r w:rsidR="000D7D68">
        <w:t>stated</w:t>
      </w:r>
      <w:r w:rsidR="000968EC">
        <w:t xml:space="preserve"> in their resignation letter</w:t>
      </w:r>
      <w:r w:rsidR="000D7D68">
        <w:t xml:space="preserve"> their reasons for resignation</w:t>
      </w:r>
      <w:r w:rsidR="009A5F10">
        <w:t xml:space="preserve">, </w:t>
      </w:r>
      <w:r w:rsidR="008A2820" w:rsidRPr="008A2820">
        <w:rPr>
          <w:color w:val="45B0E1" w:themeColor="accent1" w:themeTint="99"/>
        </w:rPr>
        <w:t xml:space="preserve">outlining </w:t>
      </w:r>
      <w:r w:rsidR="00034199">
        <w:rPr>
          <w:color w:val="45B0E1" w:themeColor="accent1" w:themeTint="99"/>
        </w:rPr>
        <w:t xml:space="preserve">concerns with </w:t>
      </w:r>
      <w:r w:rsidR="008A2820" w:rsidRPr="008A2820">
        <w:rPr>
          <w:color w:val="45B0E1" w:themeColor="accent1" w:themeTint="99"/>
        </w:rPr>
        <w:t>the employers conduct</w:t>
      </w:r>
      <w:r w:rsidR="00D804BC">
        <w:t xml:space="preserve"> and the claim must be presented to an Employment Tribunal </w:t>
      </w:r>
      <w:r w:rsidR="00CF291A">
        <w:t>within three</w:t>
      </w:r>
      <w:r w:rsidR="00D804BC">
        <w:t xml:space="preserve"> months minus one day of the </w:t>
      </w:r>
      <w:r w:rsidR="00D804BC" w:rsidRPr="007E0A3A">
        <w:rPr>
          <w:strike/>
        </w:rPr>
        <w:t>resignation</w:t>
      </w:r>
      <w:r w:rsidR="005D2570">
        <w:rPr>
          <w:strike/>
        </w:rPr>
        <w:t xml:space="preserve"> </w:t>
      </w:r>
      <w:r w:rsidR="005D2570" w:rsidRPr="005D2570">
        <w:rPr>
          <w:color w:val="45B0E1" w:themeColor="accent1" w:themeTint="99"/>
        </w:rPr>
        <w:t xml:space="preserve">effective date of termination, although the time limit can be extended during the </w:t>
      </w:r>
      <w:proofErr w:type="spellStart"/>
      <w:r w:rsidR="005D2570" w:rsidRPr="005D2570">
        <w:rPr>
          <w:color w:val="45B0E1" w:themeColor="accent1" w:themeTint="99"/>
        </w:rPr>
        <w:t>Acas</w:t>
      </w:r>
      <w:proofErr w:type="spellEnd"/>
      <w:r w:rsidR="005D2570" w:rsidRPr="005D2570">
        <w:rPr>
          <w:color w:val="45B0E1" w:themeColor="accent1" w:themeTint="99"/>
        </w:rPr>
        <w:t xml:space="preserve"> Early Conciliation process (</w:t>
      </w:r>
      <w:proofErr w:type="spellStart"/>
      <w:r w:rsidR="00014A02">
        <w:rPr>
          <w:color w:val="45B0E1" w:themeColor="accent1" w:themeTint="99"/>
        </w:rPr>
        <w:t>Acas</w:t>
      </w:r>
      <w:proofErr w:type="spellEnd"/>
      <w:r w:rsidR="005D2570" w:rsidRPr="005D2570">
        <w:rPr>
          <w:color w:val="45B0E1" w:themeColor="accent1" w:themeTint="99"/>
        </w:rPr>
        <w:t>, 2024f).</w:t>
      </w:r>
    </w:p>
    <w:p w14:paraId="0AAB80C4" w14:textId="77777777" w:rsidR="00B23F89" w:rsidRDefault="00D804BC" w:rsidP="00C63F4E">
      <w:r>
        <w:t>To identify if there is a case to be answered</w:t>
      </w:r>
      <w:r w:rsidR="001F200C">
        <w:t>,</w:t>
      </w:r>
      <w:r>
        <w:t xml:space="preserve"> </w:t>
      </w:r>
      <w:r w:rsidR="000D4831">
        <w:t xml:space="preserve">it is important to assess the process and actions taken, prior to the </w:t>
      </w:r>
      <w:r w:rsidR="003F40CD">
        <w:t xml:space="preserve">change to the working hours </w:t>
      </w:r>
      <w:r w:rsidR="003F40CD" w:rsidRPr="00F13BE7">
        <w:rPr>
          <w:strike/>
        </w:rPr>
        <w:t>as stated</w:t>
      </w:r>
      <w:r w:rsidR="003F40CD">
        <w:t xml:space="preserve">. </w:t>
      </w:r>
      <w:r w:rsidR="004A5B78">
        <w:t xml:space="preserve">As </w:t>
      </w:r>
      <w:r w:rsidR="004A5B78" w:rsidRPr="000A0C39">
        <w:rPr>
          <w:strike/>
        </w:rPr>
        <w:t>stated</w:t>
      </w:r>
      <w:r w:rsidR="000A0C39">
        <w:t xml:space="preserve"> </w:t>
      </w:r>
      <w:r w:rsidR="000A0C39" w:rsidRPr="000A0C39">
        <w:rPr>
          <w:color w:val="45B0E1" w:themeColor="accent1" w:themeTint="99"/>
        </w:rPr>
        <w:t>outlined</w:t>
      </w:r>
      <w:r w:rsidR="004A5B78" w:rsidRPr="000A0C39">
        <w:rPr>
          <w:color w:val="45B0E1" w:themeColor="accent1" w:themeTint="99"/>
        </w:rPr>
        <w:t xml:space="preserve"> </w:t>
      </w:r>
      <w:r w:rsidR="0042530A">
        <w:t>by the CIPD (</w:t>
      </w:r>
      <w:r w:rsidR="00231221">
        <w:t xml:space="preserve">2024f) there are three main </w:t>
      </w:r>
      <w:r w:rsidR="00231221" w:rsidRPr="000D2958">
        <w:rPr>
          <w:strike/>
        </w:rPr>
        <w:t>options</w:t>
      </w:r>
      <w:r w:rsidR="000D2958">
        <w:t xml:space="preserve"> </w:t>
      </w:r>
      <w:r w:rsidR="000D2958" w:rsidRPr="000D2958">
        <w:rPr>
          <w:color w:val="45B0E1" w:themeColor="accent1" w:themeTint="99"/>
        </w:rPr>
        <w:t>approaches</w:t>
      </w:r>
      <w:r w:rsidR="00231221" w:rsidRPr="000D2958">
        <w:rPr>
          <w:color w:val="45B0E1" w:themeColor="accent1" w:themeTint="99"/>
        </w:rPr>
        <w:t xml:space="preserve"> </w:t>
      </w:r>
      <w:r w:rsidR="00231221">
        <w:t xml:space="preserve">to </w:t>
      </w:r>
      <w:r w:rsidR="00CA3614">
        <w:t xml:space="preserve">vary contractual terms. These are, </w:t>
      </w:r>
      <w:r w:rsidR="00CA3614" w:rsidRPr="00E245FC">
        <w:rPr>
          <w:strike/>
        </w:rPr>
        <w:t>through</w:t>
      </w:r>
      <w:r w:rsidR="00CA3614">
        <w:t xml:space="preserve"> </w:t>
      </w:r>
      <w:r w:rsidR="00E245FC" w:rsidRPr="00E245FC">
        <w:rPr>
          <w:color w:val="45B0E1" w:themeColor="accent1" w:themeTint="99"/>
        </w:rPr>
        <w:t xml:space="preserve">mutual agreement through </w:t>
      </w:r>
      <w:r w:rsidR="00CA3614">
        <w:t>consul</w:t>
      </w:r>
      <w:r w:rsidR="00423930">
        <w:t xml:space="preserve">tation, make unilateral </w:t>
      </w:r>
      <w:r w:rsidR="001B04C6" w:rsidRPr="001B04C6">
        <w:rPr>
          <w:color w:val="45B0E1" w:themeColor="accent1" w:themeTint="99"/>
        </w:rPr>
        <w:t xml:space="preserve">imposition </w:t>
      </w:r>
      <w:r w:rsidR="00423930" w:rsidRPr="001B04C6">
        <w:rPr>
          <w:strike/>
        </w:rPr>
        <w:t>changes</w:t>
      </w:r>
      <w:r w:rsidR="00423930">
        <w:t xml:space="preserve"> </w:t>
      </w:r>
      <w:r w:rsidR="00E906F5">
        <w:t xml:space="preserve">or </w:t>
      </w:r>
      <w:r w:rsidR="000F493F">
        <w:t>‘</w:t>
      </w:r>
      <w:r w:rsidR="00981E5A">
        <w:t>fire and rehire</w:t>
      </w:r>
      <w:r w:rsidR="000F493F">
        <w:t xml:space="preserve">’. </w:t>
      </w:r>
      <w:r w:rsidR="00420E56" w:rsidRPr="001A4480">
        <w:rPr>
          <w:color w:val="45B0E1" w:themeColor="accent1" w:themeTint="99"/>
        </w:rPr>
        <w:t xml:space="preserve">The latter of which, has become increasingly </w:t>
      </w:r>
      <w:r w:rsidR="001A4480" w:rsidRPr="001A4480">
        <w:rPr>
          <w:color w:val="45B0E1" w:themeColor="accent1" w:themeTint="99"/>
        </w:rPr>
        <w:t>controversial, and</w:t>
      </w:r>
      <w:r w:rsidR="001A4480">
        <w:t xml:space="preserve"> </w:t>
      </w:r>
      <w:r w:rsidR="00F56A44">
        <w:t xml:space="preserve">new legislation from 2025, will impose further restrictions on adopting </w:t>
      </w:r>
      <w:r w:rsidR="00F56A44" w:rsidRPr="001A4480">
        <w:rPr>
          <w:strike/>
        </w:rPr>
        <w:t>the latter</w:t>
      </w:r>
      <w:r w:rsidR="00F56A44">
        <w:t xml:space="preserve"> </w:t>
      </w:r>
      <w:r w:rsidR="001A4480" w:rsidRPr="001A4480">
        <w:rPr>
          <w:color w:val="45B0E1" w:themeColor="accent1" w:themeTint="99"/>
        </w:rPr>
        <w:t xml:space="preserve">this </w:t>
      </w:r>
      <w:r w:rsidR="00F56A44">
        <w:t>method.</w:t>
      </w:r>
      <w:r w:rsidR="008D3E8C">
        <w:t xml:space="preserve"> </w:t>
      </w:r>
    </w:p>
    <w:p w14:paraId="7A306360" w14:textId="6E42AE86" w:rsidR="000B6AEF" w:rsidRDefault="00DD4038" w:rsidP="00C63F4E">
      <w:r>
        <w:lastRenderedPageBreak/>
        <w:t xml:space="preserve">Where consultation </w:t>
      </w:r>
      <w:r w:rsidR="0003359F">
        <w:t>has</w:t>
      </w:r>
      <w:r>
        <w:t xml:space="preserve"> taken place</w:t>
      </w:r>
      <w:r w:rsidR="00C5696A">
        <w:t xml:space="preserve"> and</w:t>
      </w:r>
      <w:r w:rsidR="00417B96">
        <w:t xml:space="preserve"> no</w:t>
      </w:r>
      <w:r w:rsidR="009102BC">
        <w:t xml:space="preserve"> </w:t>
      </w:r>
      <w:r w:rsidR="009102BC">
        <w:rPr>
          <w:color w:val="45B0E1" w:themeColor="accent1" w:themeTint="99"/>
        </w:rPr>
        <w:t>applicable</w:t>
      </w:r>
      <w:r w:rsidR="00417B96" w:rsidRPr="009102BC">
        <w:rPr>
          <w:color w:val="45B0E1" w:themeColor="accent1" w:themeTint="99"/>
        </w:rPr>
        <w:t xml:space="preserve"> </w:t>
      </w:r>
      <w:r w:rsidR="00417B96">
        <w:t>issues have been raised</w:t>
      </w:r>
      <w:r w:rsidR="00A70EBE">
        <w:t xml:space="preserve"> </w:t>
      </w:r>
      <w:r w:rsidR="00A70EBE" w:rsidRPr="00A70EBE">
        <w:rPr>
          <w:color w:val="45B0E1" w:themeColor="accent1" w:themeTint="99"/>
        </w:rPr>
        <w:t>by the employee</w:t>
      </w:r>
      <w:r w:rsidR="00507930">
        <w:t>,</w:t>
      </w:r>
      <w:r w:rsidR="00417B96">
        <w:t xml:space="preserve"> then the proposed changes can be</w:t>
      </w:r>
      <w:r w:rsidR="00507930">
        <w:t xml:space="preserve"> </w:t>
      </w:r>
      <w:r w:rsidR="00507930" w:rsidRPr="00507930">
        <w:rPr>
          <w:color w:val="45B0E1" w:themeColor="accent1" w:themeTint="99"/>
        </w:rPr>
        <w:t>lawfully</w:t>
      </w:r>
      <w:r w:rsidR="00417B96" w:rsidRPr="00507930">
        <w:rPr>
          <w:color w:val="45B0E1" w:themeColor="accent1" w:themeTint="99"/>
        </w:rPr>
        <w:t xml:space="preserve"> </w:t>
      </w:r>
      <w:r w:rsidR="00417B96">
        <w:t>impl</w:t>
      </w:r>
      <w:r w:rsidR="006B18F7">
        <w:t xml:space="preserve">emented. </w:t>
      </w:r>
      <w:r w:rsidR="00562487" w:rsidRPr="00562487">
        <w:rPr>
          <w:color w:val="45B0E1" w:themeColor="accent1" w:themeTint="99"/>
        </w:rPr>
        <w:t>However</w:t>
      </w:r>
      <w:r w:rsidR="00562487">
        <w:t>, i</w:t>
      </w:r>
      <w:r w:rsidR="006B18F7">
        <w:t xml:space="preserve">f through consultation </w:t>
      </w:r>
      <w:r w:rsidR="006B18F7" w:rsidRPr="00C07B6B">
        <w:rPr>
          <w:strike/>
        </w:rPr>
        <w:t>there</w:t>
      </w:r>
      <w:r w:rsidR="006B18F7">
        <w:t xml:space="preserve"> </w:t>
      </w:r>
      <w:r w:rsidR="006B18F7" w:rsidRPr="00D00615">
        <w:rPr>
          <w:strike/>
        </w:rPr>
        <w:t>was</w:t>
      </w:r>
      <w:r w:rsidR="006B18F7">
        <w:t xml:space="preserve"> </w:t>
      </w:r>
      <w:r w:rsidR="00D00615" w:rsidRPr="00D00615">
        <w:rPr>
          <w:color w:val="45B0E1" w:themeColor="accent1" w:themeTint="99"/>
        </w:rPr>
        <w:t>the employee</w:t>
      </w:r>
      <w:r w:rsidR="00D00615">
        <w:t xml:space="preserve"> </w:t>
      </w:r>
      <w:r w:rsidR="00D00615" w:rsidRPr="007F3945">
        <w:rPr>
          <w:color w:val="45B0E1" w:themeColor="accent1" w:themeTint="99"/>
        </w:rPr>
        <w:t>raise</w:t>
      </w:r>
      <w:r w:rsidR="00AD24E0">
        <w:rPr>
          <w:color w:val="45B0E1" w:themeColor="accent1" w:themeTint="99"/>
        </w:rPr>
        <w:t>d</w:t>
      </w:r>
      <w:r w:rsidR="007F3945" w:rsidRPr="007F3945">
        <w:rPr>
          <w:color w:val="45B0E1" w:themeColor="accent1" w:themeTint="99"/>
        </w:rPr>
        <w:t xml:space="preserve"> a</w:t>
      </w:r>
      <w:r w:rsidR="00D00615" w:rsidRPr="00D00615">
        <w:t xml:space="preserve"> </w:t>
      </w:r>
      <w:r w:rsidR="006B18F7">
        <w:t>disagreement</w:t>
      </w:r>
      <w:r w:rsidR="00391CD6">
        <w:t xml:space="preserve">, </w:t>
      </w:r>
      <w:r w:rsidR="0003359F">
        <w:t>but</w:t>
      </w:r>
      <w:r w:rsidR="00391CD6">
        <w:t xml:space="preserve"> </w:t>
      </w:r>
      <w:r w:rsidR="00391CD6" w:rsidRPr="00A56E92">
        <w:rPr>
          <w:strike/>
        </w:rPr>
        <w:t>the employee</w:t>
      </w:r>
      <w:r w:rsidR="00391CD6">
        <w:t xml:space="preserve"> </w:t>
      </w:r>
      <w:r w:rsidR="00D439A0" w:rsidRPr="00D439A0">
        <w:rPr>
          <w:color w:val="45B0E1" w:themeColor="accent1" w:themeTint="99"/>
        </w:rPr>
        <w:t xml:space="preserve">has continued to </w:t>
      </w:r>
      <w:r w:rsidR="0003359F">
        <w:t>work</w:t>
      </w:r>
      <w:r w:rsidR="0003359F" w:rsidRPr="00223179">
        <w:rPr>
          <w:strike/>
        </w:rPr>
        <w:t>ed</w:t>
      </w:r>
      <w:r w:rsidR="00391CD6">
        <w:t xml:space="preserve"> </w:t>
      </w:r>
      <w:r w:rsidR="004C5AD4">
        <w:t>in accordance with the new terms</w:t>
      </w:r>
      <w:r w:rsidR="00047F1B">
        <w:t xml:space="preserve"> </w:t>
      </w:r>
      <w:r w:rsidR="00047F1B" w:rsidRPr="00047F1B">
        <w:rPr>
          <w:color w:val="45B0E1" w:themeColor="accent1" w:themeTint="99"/>
        </w:rPr>
        <w:t>under protest</w:t>
      </w:r>
      <w:r w:rsidR="004C5AD4">
        <w:t xml:space="preserve"> for a significant period of time then th</w:t>
      </w:r>
      <w:r w:rsidR="008B7CBF">
        <w:t>ey are deemed to have accepted the change</w:t>
      </w:r>
      <w:r w:rsidR="000B6AEF">
        <w:t xml:space="preserve"> (Daniels, 2025).</w:t>
      </w:r>
      <w:r w:rsidR="00A8403F">
        <w:t xml:space="preserve"> </w:t>
      </w:r>
      <w:r w:rsidR="00073352">
        <w:rPr>
          <w:color w:val="45B0E1" w:themeColor="accent1" w:themeTint="99"/>
        </w:rPr>
        <w:t>Equally</w:t>
      </w:r>
      <w:r w:rsidR="00A8403F">
        <w:t xml:space="preserve">, </w:t>
      </w:r>
      <w:proofErr w:type="spellStart"/>
      <w:r w:rsidR="00A8403F" w:rsidRPr="00A8403F">
        <w:rPr>
          <w:strike/>
        </w:rPr>
        <w:t>W</w:t>
      </w:r>
      <w:r w:rsidR="00A8403F">
        <w:t>w</w:t>
      </w:r>
      <w:r w:rsidR="00784024">
        <w:t>here</w:t>
      </w:r>
      <w:proofErr w:type="spellEnd"/>
      <w:r w:rsidR="00784024">
        <w:t xml:space="preserve"> the employee has not accepted the </w:t>
      </w:r>
      <w:r w:rsidR="00D721EC">
        <w:t>change,</w:t>
      </w:r>
      <w:r w:rsidR="00784024">
        <w:t xml:space="preserve"> but the employer </w:t>
      </w:r>
      <w:r w:rsidR="00E7442C">
        <w:t xml:space="preserve">has justified business reasons to implement the change then </w:t>
      </w:r>
      <w:r w:rsidR="00D25C5D">
        <w:t>they are able to give notice that the change will be implemented</w:t>
      </w:r>
      <w:r w:rsidR="00AB53A3">
        <w:t>.</w:t>
      </w:r>
      <w:r w:rsidR="00BC39EF">
        <w:t xml:space="preserve"> </w:t>
      </w:r>
      <w:proofErr w:type="spellStart"/>
      <w:r w:rsidR="00701828" w:rsidRPr="00AB53A3">
        <w:rPr>
          <w:strike/>
        </w:rPr>
        <w:t>a</w:t>
      </w:r>
      <w:r w:rsidR="00AB53A3">
        <w:t>A</w:t>
      </w:r>
      <w:r w:rsidR="00701828">
        <w:t>lthough</w:t>
      </w:r>
      <w:proofErr w:type="spellEnd"/>
      <w:r w:rsidR="00DB1058">
        <w:t xml:space="preserve">, </w:t>
      </w:r>
      <w:r w:rsidR="00851BC0" w:rsidRPr="00EA11CE">
        <w:rPr>
          <w:color w:val="45B0E1" w:themeColor="accent1" w:themeTint="99"/>
        </w:rPr>
        <w:t xml:space="preserve">if this </w:t>
      </w:r>
      <w:r w:rsidR="00BE1A96" w:rsidRPr="00EA11CE">
        <w:rPr>
          <w:color w:val="45B0E1" w:themeColor="accent1" w:themeTint="99"/>
        </w:rPr>
        <w:t xml:space="preserve">method has been utilised then the employer must ensure that the justification is </w:t>
      </w:r>
      <w:r w:rsidR="00716BDE" w:rsidRPr="00EA11CE">
        <w:rPr>
          <w:color w:val="45B0E1" w:themeColor="accent1" w:themeTint="99"/>
        </w:rPr>
        <w:t>sufficient and well evidenced, otherwise</w:t>
      </w:r>
      <w:r w:rsidR="00716BDE">
        <w:t xml:space="preserve"> </w:t>
      </w:r>
      <w:r w:rsidR="00BC39EF">
        <w:t xml:space="preserve">the employee </w:t>
      </w:r>
      <w:r w:rsidR="00BC39EF" w:rsidRPr="00716BDE">
        <w:rPr>
          <w:strike/>
        </w:rPr>
        <w:t>can</w:t>
      </w:r>
      <w:r w:rsidR="00BC39EF">
        <w:t xml:space="preserve"> </w:t>
      </w:r>
      <w:r w:rsidR="00EA11CE" w:rsidRPr="00EA11CE">
        <w:rPr>
          <w:color w:val="45B0E1" w:themeColor="accent1" w:themeTint="99"/>
        </w:rPr>
        <w:t xml:space="preserve">may </w:t>
      </w:r>
      <w:r w:rsidR="00BC39EF">
        <w:t>possibly have a constructive dismissal</w:t>
      </w:r>
      <w:r w:rsidR="007D2FE3">
        <w:t xml:space="preserve"> claim</w:t>
      </w:r>
      <w:r w:rsidR="009A1627">
        <w:t xml:space="preserve"> (Landy, 2017)</w:t>
      </w:r>
    </w:p>
    <w:p w14:paraId="3C2ED355" w14:textId="719040E8" w:rsidR="00C63F4E" w:rsidRPr="00C63F4E" w:rsidRDefault="00C63F4E" w:rsidP="00C63F4E">
      <w:r w:rsidRPr="00C63F4E">
        <w:t>3.2 </w:t>
      </w:r>
    </w:p>
    <w:p w14:paraId="6B6E36AC" w14:textId="77777777" w:rsidR="00C63F4E" w:rsidRPr="00C63F4E" w:rsidRDefault="00C63F4E" w:rsidP="00C63F4E">
      <w:r w:rsidRPr="00C63F4E">
        <w:t>Under the Employment Rights Act 1996, there are three key reasons with employment law, where dismissal can be identified as redundancy. These are as follows: </w:t>
      </w:r>
    </w:p>
    <w:p w14:paraId="7E3459AB" w14:textId="77777777" w:rsidR="00C63F4E" w:rsidRPr="00C63F4E" w:rsidRDefault="00C63F4E" w:rsidP="00C63F4E">
      <w:pPr>
        <w:pStyle w:val="ListParagraph"/>
        <w:numPr>
          <w:ilvl w:val="0"/>
          <w:numId w:val="4"/>
        </w:numPr>
      </w:pPr>
      <w:r w:rsidRPr="00C63F4E">
        <w:t>The business has or plans to cease trading </w:t>
      </w:r>
    </w:p>
    <w:p w14:paraId="3960F89F" w14:textId="77777777" w:rsidR="00C63F4E" w:rsidRPr="00C63F4E" w:rsidRDefault="00C63F4E" w:rsidP="00C63F4E">
      <w:pPr>
        <w:pStyle w:val="ListParagraph"/>
        <w:numPr>
          <w:ilvl w:val="0"/>
          <w:numId w:val="4"/>
        </w:numPr>
      </w:pPr>
      <w:r w:rsidRPr="00C63F4E">
        <w:t>The business is moving to a different location  </w:t>
      </w:r>
    </w:p>
    <w:p w14:paraId="582EBD35" w14:textId="77777777" w:rsidR="00C63F4E" w:rsidRPr="00C63F4E" w:rsidRDefault="00C63F4E" w:rsidP="00C63F4E">
      <w:pPr>
        <w:pStyle w:val="ListParagraph"/>
        <w:numPr>
          <w:ilvl w:val="0"/>
          <w:numId w:val="4"/>
        </w:numPr>
      </w:pPr>
      <w:r w:rsidRPr="00C63F4E">
        <w:t>Requirement for certain roles within the business have ceased or are diminishing  </w:t>
      </w:r>
    </w:p>
    <w:p w14:paraId="141D851B" w14:textId="77777777" w:rsidR="00C63F4E" w:rsidRPr="00C63F4E" w:rsidRDefault="00C63F4E" w:rsidP="00C63F4E">
      <w:r w:rsidRPr="00C63F4E">
        <w:t>(Taylor and Emir, 2019) </w:t>
      </w:r>
    </w:p>
    <w:p w14:paraId="4B881109" w14:textId="1143684B" w:rsidR="00C63F4E" w:rsidRPr="00C63F4E" w:rsidRDefault="00C63F4E" w:rsidP="00C63F4E">
      <w:r w:rsidRPr="00C63F4E">
        <w:t xml:space="preserve">From the information provided, the understanding is that the restructure has identified that the need for one or more roles within the directorate has ceased or will diminish and therefore, redundancies are required. When considering redundancies </w:t>
      </w:r>
      <w:proofErr w:type="spellStart"/>
      <w:r w:rsidRPr="00C63F4E">
        <w:t>Acas</w:t>
      </w:r>
      <w:proofErr w:type="spellEnd"/>
      <w:r w:rsidRPr="00C63F4E">
        <w:t xml:space="preserve"> (2024</w:t>
      </w:r>
      <w:r w:rsidR="003D3182">
        <w:t>a</w:t>
      </w:r>
      <w:r w:rsidRPr="00C63F4E">
        <w:t>) recommends a ten-step process. The first step is to identify that redundancy is needed or if there are possible alternatives, such as voluntary redundancy, transferring employees to a different department, reducing or removing temporary and contract workers. If once all avenues have been explored, it is confirmed that redundancies are required then it is important to follow the correct process diligently. </w:t>
      </w:r>
    </w:p>
    <w:p w14:paraId="15B4B70E" w14:textId="77777777" w:rsidR="00C63F4E" w:rsidRPr="00C63F4E" w:rsidRDefault="00C63F4E" w:rsidP="00C63F4E">
      <w:r w:rsidRPr="00C63F4E">
        <w:t>Due to the number of proposed redundancies stated, a collective consultation must be undertaken over a 30-day period, with no decisions or no redundancies or notices to be made until the consultation period is concluded. Where a Trade Union is recognised, as the number of redundancies proposed is more the twenty then the form HR1, must be completed and filed with The Secretary for Trade and Industry. Where there is not Trade Union then you must facilitate selection of representatives by their peers.  </w:t>
      </w:r>
    </w:p>
    <w:p w14:paraId="50DF6322" w14:textId="2938D37B" w:rsidR="00C63F4E" w:rsidRPr="00C63F4E" w:rsidRDefault="00C63F4E" w:rsidP="00C63F4E">
      <w:r w:rsidRPr="00C63F4E">
        <w:t xml:space="preserve">It is important to note that in when referring to redundancy, it is the job that is being made redundant and not the individual. It is therefore important to identify that the job requirement has reduced or is no longer required (Daniels, 2025). As recommended </w:t>
      </w:r>
      <w:r w:rsidR="003D3182">
        <w:t>in the Acas</w:t>
      </w:r>
      <w:r w:rsidRPr="00C63F4E">
        <w:t>10 step plan, step seven states that the selection of possible redundancies must be made in a fair way based on selection criteria that can be applied to all employees within the roles identified for redundancy and this selection criteria should be shared with all employees at risk as part of the consultation. Selection criteria can include performance, however, to ensure open and fair selection it is recommended that other areas such as attendance, disciplinary records and skills or expertise are also included.  </w:t>
      </w:r>
    </w:p>
    <w:p w14:paraId="24EB0165" w14:textId="57B8432E" w:rsidR="00C63F4E" w:rsidRDefault="00C63F4E" w:rsidP="00C63F4E">
      <w:r w:rsidRPr="00C63F4E">
        <w:t>Although, timescales and deadlines are important, failure to consult, provide time for response and unfair selection processes could lead to employees claiming unfair dismissal. This can result in employment tribunals and further monetary claims (</w:t>
      </w:r>
      <w:proofErr w:type="spellStart"/>
      <w:r w:rsidRPr="00C63F4E">
        <w:t>Acas</w:t>
      </w:r>
      <w:proofErr w:type="spellEnd"/>
      <w:r w:rsidRPr="00C63F4E">
        <w:t>, 2024</w:t>
      </w:r>
      <w:r w:rsidR="003D3182">
        <w:t>b</w:t>
      </w:r>
      <w:r w:rsidRPr="00C63F4E">
        <w:t>). For example, De Bank Haycocks v ADP RPO UK Ltd (De Banks) [2023] EAT 129 – where the claimant was successful in their claim for unfair dismissal at it was ruled that the employer had failed to consult in relation to selection and scoring methods (HCR Law, 2024). </w:t>
      </w:r>
    </w:p>
    <w:p w14:paraId="159DB044" w14:textId="77777777" w:rsidR="003D3182" w:rsidRPr="003D3182" w:rsidRDefault="003D3182" w:rsidP="003D3182">
      <w:r w:rsidRPr="003D3182">
        <w:lastRenderedPageBreak/>
        <w:t>3.3 </w:t>
      </w:r>
    </w:p>
    <w:p w14:paraId="5D7FF047" w14:textId="77777777" w:rsidR="003D3182" w:rsidRPr="003D3182" w:rsidRDefault="003D3182" w:rsidP="003D3182">
      <w:r w:rsidRPr="003D3182">
        <w:t>Taylor and Emir (2024) identify that there are four major rights that employees affected by TUPE situations have. These are the right to be consulted, the right to have continuity of service recognised, the right to have all terms of employment, including any bonus structure upheld by the new employer and the right not to be dismissed for any reason related to the TUPE. </w:t>
      </w:r>
    </w:p>
    <w:p w14:paraId="1031A9E4" w14:textId="79F6DCC0" w:rsidR="003D3182" w:rsidRPr="003D3182" w:rsidRDefault="003D3182" w:rsidP="003D3182">
      <w:r w:rsidRPr="003D3182">
        <w:t>TUPE regulation amendments relating to consultation requirements for business came in effect on 1 July 2024 (CIPD, 2024</w:t>
      </w:r>
      <w:r>
        <w:t>d</w:t>
      </w:r>
      <w:r w:rsidRPr="003D3182">
        <w:t>). Reviewing the information provided it assumed that as both are major pharmacies and the employer is a health board that the employer has more than fifty employees of which more than ten will be affected by the proposed merger. Therefore, it is important that sufficient consultation with representatives of affected employees should be undertaken. Where a trade union is recognised, they must be consulted, if there is no union representation then consultation must be undertaken with employee representatives. Information that must be provided to employees is proposed date and reason for transfer, any legal, social or economic factors that may have implications and any other actions that are planned that may affect the employees. Failure to sufficiently consult can result in a joint liability for the transferee and transferor for up to thirteen weeks pay per employee. </w:t>
      </w:r>
    </w:p>
    <w:p w14:paraId="5C4F37FD" w14:textId="77777777" w:rsidR="003D3182" w:rsidRDefault="003D3182" w:rsidP="003D3182">
      <w:r w:rsidRPr="003D3182">
        <w:t>The transferee must undertake all employment terms and conditions of the transferred employee, as provided in the employment liability information (ELI) by the transferor. No changes or variations can be made to these terms and any employees that are part of the transfer are protected from dismissal or redundancy. However, there is an exception if the transferee as the new employer can demonstrate an economical, technical or organisational (ETO) reason. As outlined in the case of Whitehouse v Chas A Blatchford &amp; Sons Ltd (1999) IRLR 492 – which in response to a claim by the employee for unfair dismissal ruled that the dismissal due to redundancy was fair as the employer was able to successfully demonstrate that it was essential to fulfil economic requirements (Daniels, 2025). </w:t>
      </w:r>
    </w:p>
    <w:p w14:paraId="43F7EF17" w14:textId="77777777" w:rsidR="003D3182" w:rsidRPr="003D3182" w:rsidRDefault="003D3182" w:rsidP="003D3182">
      <w:r w:rsidRPr="003D3182">
        <w:t>4.1 </w:t>
      </w:r>
    </w:p>
    <w:p w14:paraId="199C2BDC" w14:textId="4993B50F" w:rsidR="003D3182" w:rsidRPr="003D3182" w:rsidRDefault="003D3182" w:rsidP="003D3182">
      <w:r w:rsidRPr="003D3182">
        <w:t>In line with the Working Time Regulations 1998 there is a legal entitlement for all workers, excluding the self-employed, to have a minimum of 5.6 weeks paid holiday per year. For irregular and part year workers, in line with new rules from 1 April 2024, these workers based on the minimum statutory holiday requirement are entitled to accrue holiday at 12.07% of the hours they work in a pay period. (</w:t>
      </w:r>
      <w:proofErr w:type="spellStart"/>
      <w:r w:rsidRPr="003D3182">
        <w:t>Acas</w:t>
      </w:r>
      <w:proofErr w:type="spellEnd"/>
      <w:r w:rsidRPr="003D3182">
        <w:t>, 2025</w:t>
      </w:r>
      <w:r>
        <w:t>a</w:t>
      </w:r>
      <w:r w:rsidRPr="003D3182">
        <w:t>). For example, if Jo, is entitled to the statutory requirement leave, and worked a total of 95 hours in the last pay period, then their total holiday accrual would be 11.  </w:t>
      </w:r>
    </w:p>
    <w:p w14:paraId="174B5CFC" w14:textId="77777777" w:rsidR="003D3182" w:rsidRPr="003D3182" w:rsidRDefault="003D3182" w:rsidP="003D3182">
      <w:r w:rsidRPr="003D3182">
        <w:t>There are two options available to employers on how to pay these workers. These are, to pay holiday pay or to opt for holiday pay to be rolled-up. For the paying holiday pay when on leave, this is calculated by the workers average pay over the last 52 working weeks. If during the past 52 weeks the worker has been off unpaid, or due to statutory sick or maternity pay then pay information from the previous working week should be used up to a maximum of 104 weeks before the first day of their holiday, to achieve the 52 weeks’ pay data (Department of Business and Trade, 2020). For example, Jo has requested one week holiday from 5 May 2025, and was off on statutory sick leave for two weeks in August 2024. Therefore, to calculate average pay add the total of all weeks worked from 22 April 2024 and divide by 52. Where a worker has not worked for a total of 52 weeks then the average should be calculated by taking total pay of number of weeks worked and divided by the number. For example, Bob has worked a total of 24 weeks so the average pay would be calculated by totalling the pay earned each week and dividing it by 24. </w:t>
      </w:r>
    </w:p>
    <w:p w14:paraId="413ADCA7" w14:textId="15FCCCFC" w:rsidR="003D3182" w:rsidRDefault="003D3182" w:rsidP="003D3182">
      <w:r w:rsidRPr="003D3182">
        <w:t>Alternatively, if the employer opts for rolled up pay then this is calculated at 12.07% of the gross earnings and paid each pay period as a separate item on the workers’ payslip (</w:t>
      </w:r>
      <w:proofErr w:type="spellStart"/>
      <w:r w:rsidRPr="003D3182">
        <w:t>Acas</w:t>
      </w:r>
      <w:proofErr w:type="spellEnd"/>
      <w:r w:rsidRPr="003D3182">
        <w:t>, 2025</w:t>
      </w:r>
      <w:r>
        <w:t>c</w:t>
      </w:r>
      <w:r w:rsidRPr="003D3182">
        <w:t xml:space="preserve">). For example, Bob has </w:t>
      </w:r>
      <w:r w:rsidRPr="003D3182">
        <w:lastRenderedPageBreak/>
        <w:t>earned £750 in the current pay period, therefore Bob should receive £90.52 rolled-up holiday pay in addition to the earned £750. However, the following month bob takes two weeks holiday and total earning for the period are £300 then rolled-up holiday pay payable is £36.21 and bob it not entitled to any pay for the two weeks holiday. It is important to note that workers must not lose holiday pay when on statutory leave. During these periods rolled-up holiday pay should be paid based on the average holiday pay for the 52 weeks worked prior to the statutory leave, or where the worked for 52 weeks then the average of the total weeks they have worked. </w:t>
      </w:r>
    </w:p>
    <w:p w14:paraId="7F601B50" w14:textId="479D66E8" w:rsidR="003D3182" w:rsidRDefault="003D3182" w:rsidP="003D3182">
      <w:r>
        <w:t>4.2</w:t>
      </w:r>
    </w:p>
    <w:p w14:paraId="16B7A74C" w14:textId="4B1D4E0B" w:rsidR="003D3182" w:rsidRDefault="00D72034" w:rsidP="003D3182">
      <w:r>
        <w:t xml:space="preserve">As stated by CIPD (2025a) in recent years there have been a </w:t>
      </w:r>
      <w:r w:rsidR="00414621">
        <w:t>various amendment</w:t>
      </w:r>
      <w:r>
        <w:t xml:space="preserve"> to the Employment Act 2002, with the aim to make them more ‘family friendly’.</w:t>
      </w:r>
      <w:r w:rsidR="00414621">
        <w:t xml:space="preserve"> In line with the most recent update of the legislation key information relating of Maternity (ML), Paternity (PL)</w:t>
      </w:r>
      <w:r w:rsidR="003F37CD">
        <w:t xml:space="preserve"> </w:t>
      </w:r>
      <w:r w:rsidR="00414621">
        <w:t>and Shared Parental Leave (SPL) are as follows:</w:t>
      </w:r>
    </w:p>
    <w:p w14:paraId="4F98BA0D" w14:textId="7CA84037" w:rsidR="00801E26" w:rsidRDefault="00801E26" w:rsidP="003D3182">
      <w:r>
        <w:t>To be entitled to ML you have to be employed and ensure that you notify your employer of your pregnancy at least 15 weeks before the expected week of birth (EWB), for example if the due date is 22 September 2025, then you will need to inform your employer of the pregnancy by week commencing the 9 June 2025.</w:t>
      </w:r>
      <w:r w:rsidR="00134D5A">
        <w:t xml:space="preserve"> Regard less of length of service with the employer the ML entitlement is 52 weeks from the week of birth (NHS, 2024). ML can be requested to commence at any time in the 11 weeks before EWB. ML will autom</w:t>
      </w:r>
      <w:r w:rsidR="00F0416A">
        <w:t>atically commence if there is pregnancy related sickness within four weeks of EWB, or day following actual childbirth is this is before requested ML date.</w:t>
      </w:r>
    </w:p>
    <w:p w14:paraId="70AA1F32" w14:textId="435E15B6" w:rsidR="00F0416A" w:rsidRDefault="00395D62" w:rsidP="003D3182">
      <w:r>
        <w:t xml:space="preserve">The 52 weeks ML is broken down into Compulsory (CML), Ordinary (OML) and Additional (AML). CML is </w:t>
      </w:r>
      <w:r w:rsidR="004219EA">
        <w:t xml:space="preserve">a minimum of </w:t>
      </w:r>
      <w:r>
        <w:t>2 weeks (or 4 weeks for manual workers) and forms part of the 26 weeks OML</w:t>
      </w:r>
      <w:r w:rsidR="004219EA">
        <w:t>, AML is a further 26 weeks (Taylor and Emir, 2019).</w:t>
      </w:r>
    </w:p>
    <w:p w14:paraId="7B0F29BF" w14:textId="7936CBA8" w:rsidR="004219EA" w:rsidRDefault="004219EA" w:rsidP="003D3182">
      <w:r>
        <w:t>Unlike ML to be eligible for PL</w:t>
      </w:r>
      <w:r w:rsidR="004C1DBD">
        <w:t>, the person mu</w:t>
      </w:r>
      <w:r w:rsidR="00D96DA4">
        <w:t>st</w:t>
      </w:r>
      <w:r w:rsidR="004C1DBD">
        <w:t xml:space="preserve"> have worked for their current employer for a minimum of 26 continuous by the week prior to the 15</w:t>
      </w:r>
      <w:r w:rsidR="004C1DBD" w:rsidRPr="004C1DBD">
        <w:rPr>
          <w:vertAlign w:val="superscript"/>
        </w:rPr>
        <w:t>th</w:t>
      </w:r>
      <w:r w:rsidR="004C1DBD">
        <w:t xml:space="preserve"> week before EWB. Therefore, based on the example in ML, they would need to </w:t>
      </w:r>
      <w:r w:rsidR="0034427E">
        <w:t>be</w:t>
      </w:r>
      <w:r w:rsidR="004C1DBD">
        <w:t xml:space="preserve"> employed with their current employer from at least week commencing the 9 December 2024. PL entitlement it a total of 2 weeks, and as per the 2023 amendment this can now be taken in sperate weeks anytime within the first 52 weeks from of birth</w:t>
      </w:r>
      <w:r w:rsidR="0034427E">
        <w:t>, by providing 28 days’ notice (Daniels, 2025).</w:t>
      </w:r>
    </w:p>
    <w:p w14:paraId="56F32B72" w14:textId="4AEB2E5D" w:rsidR="002F6885" w:rsidRDefault="002F6885" w:rsidP="003D3182">
      <w:r>
        <w:t xml:space="preserve">The </w:t>
      </w:r>
      <w:r w:rsidR="00D96DA4">
        <w:t xml:space="preserve">benefit of </w:t>
      </w:r>
      <w:r>
        <w:t xml:space="preserve">SPL is the flexibility to share </w:t>
      </w:r>
      <w:r w:rsidR="004D5AC5">
        <w:t>the ML</w:t>
      </w:r>
      <w:r w:rsidR="006907E7">
        <w:t xml:space="preserve"> </w:t>
      </w:r>
      <w:r w:rsidR="004D5AC5">
        <w:t xml:space="preserve">entitlement minus CML between both parents. This can be taken by both parents </w:t>
      </w:r>
      <w:r w:rsidR="00D96DA4">
        <w:t xml:space="preserve">at the same time or </w:t>
      </w:r>
      <w:r w:rsidR="004D5AC5">
        <w:t>separately</w:t>
      </w:r>
      <w:r w:rsidR="008D6EB3">
        <w:t xml:space="preserve"> and taken in continuous segments or discontinuous segments, with eth latter being subject to agreement with the employer</w:t>
      </w:r>
      <w:r w:rsidR="00D96DA4">
        <w:t>. Important points to note are that unlike ML to qualify for SPL one of the applicants must have worked for their current employer for a minimum of 26 continuous by the week prior to the 15</w:t>
      </w:r>
      <w:r w:rsidR="00D96DA4" w:rsidRPr="004C1DBD">
        <w:rPr>
          <w:vertAlign w:val="superscript"/>
        </w:rPr>
        <w:t>th</w:t>
      </w:r>
      <w:r w:rsidR="00D96DA4">
        <w:t xml:space="preserve"> week before EWB</w:t>
      </w:r>
      <w:r w:rsidR="008D6EB3">
        <w:t xml:space="preserve"> and the other must have a minimum of 26 weeks in the 66 weeks leading up to the EWB with minimum earnings of £30pw for at least 13 weeks of the 66 (Maternity Action, 2025).</w:t>
      </w:r>
    </w:p>
    <w:p w14:paraId="334D2F0E" w14:textId="54923195" w:rsidR="008D6EB3" w:rsidRDefault="008D6EB3" w:rsidP="003D3182">
      <w:r>
        <w:t>4.3</w:t>
      </w:r>
    </w:p>
    <w:p w14:paraId="1C002AD6" w14:textId="7DA0C6F7" w:rsidR="00574724" w:rsidRDefault="007E4E35" w:rsidP="003D3182">
      <w:r>
        <w:t xml:space="preserve">Amendments to the Flexible Working Regulations (2023) came into force </w:t>
      </w:r>
      <w:r w:rsidR="005E74A4">
        <w:t>f</w:t>
      </w:r>
      <w:r>
        <w:t>rom 6 April 2024,</w:t>
      </w:r>
      <w:r w:rsidR="005E74A4">
        <w:t xml:space="preserve"> </w:t>
      </w:r>
      <w:r>
        <w:t xml:space="preserve">stating </w:t>
      </w:r>
      <w:r w:rsidR="008D6EB3">
        <w:t xml:space="preserve">all employees have the </w:t>
      </w:r>
      <w:r w:rsidR="00B114DA" w:rsidRPr="00B114DA">
        <w:rPr>
          <w:color w:val="45B0E1" w:themeColor="accent1" w:themeTint="99"/>
        </w:rPr>
        <w:t xml:space="preserve">statutory </w:t>
      </w:r>
      <w:r w:rsidR="008D6EB3">
        <w:t>right to request flexible working from day one</w:t>
      </w:r>
      <w:r w:rsidR="000D126E">
        <w:t xml:space="preserve"> of </w:t>
      </w:r>
      <w:r w:rsidR="000D126E" w:rsidRPr="004B3791">
        <w:rPr>
          <w:color w:val="45B0E1" w:themeColor="accent1" w:themeTint="99"/>
        </w:rPr>
        <w:t>employment</w:t>
      </w:r>
      <w:r w:rsidR="004B3791">
        <w:rPr>
          <w:color w:val="45B0E1" w:themeColor="accent1" w:themeTint="99"/>
        </w:rPr>
        <w:t xml:space="preserve">. In addition, </w:t>
      </w:r>
      <w:r w:rsidR="008D6EB3" w:rsidRPr="004B3791">
        <w:rPr>
          <w:strike/>
        </w:rPr>
        <w:t>and</w:t>
      </w:r>
      <w:r w:rsidR="008D6EB3">
        <w:t xml:space="preserve"> the employer must review this request</w:t>
      </w:r>
      <w:r w:rsidR="00B507BA">
        <w:t>, discuss the request with the employee</w:t>
      </w:r>
      <w:r w:rsidR="008D6EB3">
        <w:t xml:space="preserve"> and provide a decision within two months of the request being submitted (</w:t>
      </w:r>
      <w:r w:rsidR="00B507BA">
        <w:t>CIPD, 2025b).</w:t>
      </w:r>
      <w:r>
        <w:t xml:space="preserve"> </w:t>
      </w:r>
      <w:r w:rsidRPr="00A23950">
        <w:rPr>
          <w:strike/>
        </w:rPr>
        <w:t>As</w:t>
      </w:r>
      <w:r>
        <w:t xml:space="preserve"> </w:t>
      </w:r>
    </w:p>
    <w:p w14:paraId="17B8DE6F" w14:textId="7F6CD095" w:rsidR="008D6EB3" w:rsidRDefault="00E50034" w:rsidP="003D3182">
      <w:r w:rsidRPr="00EA6DB3">
        <w:rPr>
          <w:color w:val="45B0E1" w:themeColor="accent1" w:themeTint="99"/>
        </w:rPr>
        <w:t>Although</w:t>
      </w:r>
      <w:r w:rsidR="00EA6DB3">
        <w:t>, t</w:t>
      </w:r>
      <w:r w:rsidR="007E4E35">
        <w:t>he employer</w:t>
      </w:r>
      <w:r w:rsidR="007B3927">
        <w:t xml:space="preserve"> does not</w:t>
      </w:r>
      <w:r w:rsidR="007240A2">
        <w:t xml:space="preserve"> have </w:t>
      </w:r>
      <w:r w:rsidR="0031257E">
        <w:t>any obligation to accept</w:t>
      </w:r>
      <w:r w:rsidR="007E4E35">
        <w:t xml:space="preserve"> the request </w:t>
      </w:r>
      <w:r w:rsidR="007E4E35" w:rsidRPr="0031257E">
        <w:rPr>
          <w:strike/>
        </w:rPr>
        <w:t>must be accepted</w:t>
      </w:r>
      <w:r w:rsidR="001C379B">
        <w:t xml:space="preserve"> </w:t>
      </w:r>
      <w:r w:rsidR="001C379B" w:rsidRPr="005E4587">
        <w:rPr>
          <w:color w:val="45B0E1" w:themeColor="accent1" w:themeTint="99"/>
        </w:rPr>
        <w:t>there are only eight permissible reasons for refusal</w:t>
      </w:r>
      <w:r w:rsidR="005E4587" w:rsidRPr="005E4587">
        <w:rPr>
          <w:color w:val="45B0E1" w:themeColor="accent1" w:themeTint="99"/>
        </w:rPr>
        <w:t xml:space="preserve"> and</w:t>
      </w:r>
      <w:r w:rsidR="007E4E35">
        <w:t xml:space="preserve"> unless the employer can evidence the request would cause a financial burden, negatively </w:t>
      </w:r>
      <w:r w:rsidR="000A71A7">
        <w:t>affect</w:t>
      </w:r>
      <w:r w:rsidR="007E4E35">
        <w:t xml:space="preserve"> the ability to meet customer demand, </w:t>
      </w:r>
      <w:r w:rsidR="00AF7B38">
        <w:t xml:space="preserve">the inability to reorganise work </w:t>
      </w:r>
      <w:r w:rsidR="00AF7B38">
        <w:lastRenderedPageBreak/>
        <w:t xml:space="preserve">among existing employees, </w:t>
      </w:r>
      <w:r w:rsidR="007E4E35">
        <w:t>negatively affect staff recruitment, negatively affect other areas of the business, there is not sufficient work available in the periods of the request or there is a planned structural change to the business (Daniels, 2025).</w:t>
      </w:r>
    </w:p>
    <w:p w14:paraId="2DA03FCD" w14:textId="77777777" w:rsidR="00AE675C" w:rsidRDefault="007E4E35" w:rsidP="003D3182">
      <w:r>
        <w:t xml:space="preserve">From the information provided </w:t>
      </w:r>
      <w:r w:rsidR="00EE0AB2">
        <w:t xml:space="preserve">rejecting the request due to the fear it will encourage others to also submit requests </w:t>
      </w:r>
      <w:r w:rsidR="00430A7D">
        <w:t>for hybrid working</w:t>
      </w:r>
      <w:r w:rsidR="00EE0AB2">
        <w:t xml:space="preserve">, </w:t>
      </w:r>
      <w:r w:rsidR="00EE0AB2" w:rsidRPr="008A600F">
        <w:rPr>
          <w:strike/>
        </w:rPr>
        <w:t>is</w:t>
      </w:r>
      <w:r w:rsidR="00EE0AB2">
        <w:t xml:space="preserve"> </w:t>
      </w:r>
      <w:r w:rsidR="00BA5369" w:rsidRPr="00BA5369">
        <w:rPr>
          <w:color w:val="45B0E1" w:themeColor="accent1" w:themeTint="99"/>
        </w:rPr>
        <w:t xml:space="preserve">does </w:t>
      </w:r>
      <w:r w:rsidR="00EE0AB2">
        <w:t xml:space="preserve">not </w:t>
      </w:r>
      <w:r w:rsidR="00BA5369" w:rsidRPr="00BA5369">
        <w:rPr>
          <w:color w:val="45B0E1" w:themeColor="accent1" w:themeTint="99"/>
        </w:rPr>
        <w:t xml:space="preserve">constitute </w:t>
      </w:r>
      <w:r w:rsidR="00EE0AB2">
        <w:t xml:space="preserve">a permitted reason under the legislation. However, </w:t>
      </w:r>
      <w:r w:rsidR="002828DE" w:rsidRPr="002828DE">
        <w:rPr>
          <w:color w:val="45B0E1" w:themeColor="accent1" w:themeTint="99"/>
        </w:rPr>
        <w:t xml:space="preserve">if, upon careful consideration, the employer determines that granting this specific </w:t>
      </w:r>
      <w:r w:rsidR="00EE0AB2" w:rsidRPr="00321728">
        <w:rPr>
          <w:strike/>
        </w:rPr>
        <w:t>there may be justification to refuse the</w:t>
      </w:r>
      <w:r w:rsidR="00EE0AB2">
        <w:t xml:space="preserve"> </w:t>
      </w:r>
      <w:r w:rsidR="00EE0AB2" w:rsidRPr="006D0FDF">
        <w:rPr>
          <w:strike/>
        </w:rPr>
        <w:t>request if after consideration the employer believes granting th</w:t>
      </w:r>
      <w:r w:rsidR="00AF7B38" w:rsidRPr="006D0FDF">
        <w:rPr>
          <w:strike/>
        </w:rPr>
        <w:t>is individual</w:t>
      </w:r>
      <w:r w:rsidR="00AF7B38">
        <w:t xml:space="preserve"> request</w:t>
      </w:r>
      <w:r w:rsidR="00EE0AB2">
        <w:t xml:space="preserve"> </w:t>
      </w:r>
      <w:r w:rsidR="00430A7D">
        <w:t>for hybrid working</w:t>
      </w:r>
      <w:r w:rsidR="00F942A1">
        <w:t>,</w:t>
      </w:r>
      <w:r w:rsidR="00430A7D">
        <w:t xml:space="preserve"> </w:t>
      </w:r>
      <w:r w:rsidR="00430A7D" w:rsidRPr="00735E88">
        <w:rPr>
          <w:strike/>
        </w:rPr>
        <w:t>either</w:t>
      </w:r>
      <w:r w:rsidR="00430A7D">
        <w:t xml:space="preserve"> </w:t>
      </w:r>
      <w:r w:rsidR="00EE0AB2">
        <w:t>would negatively affect the ability to meet customer needs or negatively affect other areas of the business</w:t>
      </w:r>
      <w:r w:rsidR="001A71B0">
        <w:t>,</w:t>
      </w:r>
      <w:r w:rsidR="007B1178">
        <w:t xml:space="preserve"> </w:t>
      </w:r>
      <w:r w:rsidR="001A71B0">
        <w:rPr>
          <w:color w:val="45B0E1" w:themeColor="accent1" w:themeTint="99"/>
        </w:rPr>
        <w:t>t</w:t>
      </w:r>
      <w:r w:rsidR="007B1178" w:rsidRPr="007B1178">
        <w:rPr>
          <w:color w:val="45B0E1" w:themeColor="accent1" w:themeTint="99"/>
        </w:rPr>
        <w:t xml:space="preserve">hen </w:t>
      </w:r>
      <w:r w:rsidR="007B1178" w:rsidRPr="007B1178">
        <w:rPr>
          <w:color w:val="45B0E1" w:themeColor="accent1" w:themeTint="99"/>
        </w:rPr>
        <w:t>such a refusal could be justified, provided that these claims can be substantiated with evidence</w:t>
      </w:r>
      <w:r w:rsidR="00D20285">
        <w:rPr>
          <w:color w:val="45B0E1" w:themeColor="accent1" w:themeTint="99"/>
        </w:rPr>
        <w:t xml:space="preserve"> (</w:t>
      </w:r>
      <w:proofErr w:type="spellStart"/>
      <w:r w:rsidR="00D20285" w:rsidRPr="00175AB3">
        <w:rPr>
          <w:color w:val="45B0E1" w:themeColor="accent1" w:themeTint="99"/>
        </w:rPr>
        <w:t>Acas</w:t>
      </w:r>
      <w:proofErr w:type="spellEnd"/>
      <w:r w:rsidR="00175AB3" w:rsidRPr="00175AB3">
        <w:rPr>
          <w:color w:val="45B0E1" w:themeColor="accent1" w:themeTint="99"/>
        </w:rPr>
        <w:t xml:space="preserve">, </w:t>
      </w:r>
      <w:r w:rsidR="00D20285" w:rsidRPr="00175AB3">
        <w:rPr>
          <w:color w:val="45B0E1" w:themeColor="accent1" w:themeTint="99"/>
        </w:rPr>
        <w:t>2024g)</w:t>
      </w:r>
      <w:r w:rsidR="00175AB3">
        <w:rPr>
          <w:color w:val="45B0E1" w:themeColor="accent1" w:themeTint="99"/>
        </w:rPr>
        <w:t>.</w:t>
      </w:r>
      <w:r w:rsidR="002B2B63">
        <w:rPr>
          <w:color w:val="45B0E1" w:themeColor="accent1" w:themeTint="99"/>
        </w:rPr>
        <w:t xml:space="preserve"> </w:t>
      </w:r>
      <w:r w:rsidR="00B403DF" w:rsidRPr="00B403DF">
        <w:t>Furthermore</w:t>
      </w:r>
      <w:r w:rsidR="00B403DF">
        <w:t>, a</w:t>
      </w:r>
      <w:r w:rsidR="00580701" w:rsidRPr="00580701">
        <w:t xml:space="preserve">s detailed by </w:t>
      </w:r>
      <w:proofErr w:type="spellStart"/>
      <w:r w:rsidR="00580701" w:rsidRPr="00580701">
        <w:t>Acas</w:t>
      </w:r>
      <w:proofErr w:type="spellEnd"/>
      <w:r w:rsidR="00580701" w:rsidRPr="00580701">
        <w:t xml:space="preserve"> (2024c) accepting one request to hybrid working does not mean that the employer has to accept any future similar requests</w:t>
      </w:r>
      <w:r w:rsidR="006749B9">
        <w:t>,</w:t>
      </w:r>
      <w:r w:rsidR="00580701" w:rsidRPr="00580701">
        <w:t xml:space="preserve"> </w:t>
      </w:r>
      <w:r w:rsidR="006749B9">
        <w:t>e</w:t>
      </w:r>
      <w:r w:rsidR="00580701" w:rsidRPr="00580701">
        <w:t>ach request should be considered in line with the legislation requirements, in the order that they are received.</w:t>
      </w:r>
    </w:p>
    <w:p w14:paraId="11766968" w14:textId="582B6D8A" w:rsidR="002D4337" w:rsidRDefault="005904ED" w:rsidP="003D3182">
      <w:pPr>
        <w:rPr>
          <w:color w:val="0F9ED5" w:themeColor="accent4"/>
        </w:rPr>
      </w:pPr>
      <w:r w:rsidRPr="005904ED">
        <w:rPr>
          <w:color w:val="0F9ED5" w:themeColor="accent4"/>
        </w:rPr>
        <w:t>Therefore, i</w:t>
      </w:r>
      <w:r w:rsidR="00E267AB" w:rsidRPr="005904ED">
        <w:rPr>
          <w:color w:val="0F9ED5" w:themeColor="accent4"/>
        </w:rPr>
        <w:t xml:space="preserve">t is essential </w:t>
      </w:r>
      <w:r w:rsidR="00E267AB" w:rsidRPr="00351F26">
        <w:rPr>
          <w:color w:val="45B0E1" w:themeColor="accent1" w:themeTint="99"/>
        </w:rPr>
        <w:t>for employers to ensure that all flexible working requests are handled fairly, consistently, and transparently, following the procedural</w:t>
      </w:r>
      <w:r w:rsidR="00241214">
        <w:rPr>
          <w:color w:val="45B0E1" w:themeColor="accent1" w:themeTint="99"/>
        </w:rPr>
        <w:t xml:space="preserve"> </w:t>
      </w:r>
      <w:r w:rsidR="00AE675C">
        <w:rPr>
          <w:color w:val="45B0E1" w:themeColor="accent1" w:themeTint="99"/>
        </w:rPr>
        <w:t>documentation</w:t>
      </w:r>
      <w:r w:rsidR="00E267AB" w:rsidRPr="00351F26">
        <w:rPr>
          <w:color w:val="45B0E1" w:themeColor="accent1" w:themeTint="99"/>
        </w:rPr>
        <w:t xml:space="preserve"> set </w:t>
      </w:r>
      <w:r w:rsidR="00D66DD3">
        <w:rPr>
          <w:color w:val="45B0E1" w:themeColor="accent1" w:themeTint="99"/>
        </w:rPr>
        <w:t>by</w:t>
      </w:r>
      <w:r w:rsidR="00DF4E74">
        <w:rPr>
          <w:color w:val="45B0E1" w:themeColor="accent1" w:themeTint="99"/>
        </w:rPr>
        <w:t xml:space="preserve"> the organisation</w:t>
      </w:r>
      <w:r w:rsidR="00B165F7">
        <w:rPr>
          <w:color w:val="45B0E1" w:themeColor="accent1" w:themeTint="99"/>
        </w:rPr>
        <w:t xml:space="preserve"> and following</w:t>
      </w:r>
      <w:r w:rsidR="00241214">
        <w:rPr>
          <w:color w:val="45B0E1" w:themeColor="accent1" w:themeTint="99"/>
        </w:rPr>
        <w:t xml:space="preserve"> </w:t>
      </w:r>
      <w:r w:rsidR="00241214" w:rsidRPr="00351F26">
        <w:rPr>
          <w:color w:val="45B0E1" w:themeColor="accent1" w:themeTint="99"/>
        </w:rPr>
        <w:t>guidance</w:t>
      </w:r>
      <w:r w:rsidR="00E61511">
        <w:rPr>
          <w:color w:val="45B0E1" w:themeColor="accent1" w:themeTint="99"/>
        </w:rPr>
        <w:t xml:space="preserve"> available</w:t>
      </w:r>
      <w:r w:rsidR="00C94295">
        <w:rPr>
          <w:color w:val="45B0E1" w:themeColor="accent1" w:themeTint="99"/>
        </w:rPr>
        <w:t xml:space="preserve"> </w:t>
      </w:r>
      <w:r w:rsidR="00C94295" w:rsidRPr="00C94295">
        <w:rPr>
          <w:color w:val="45B0E1" w:themeColor="accent1" w:themeTint="99"/>
        </w:rPr>
        <w:t>(</w:t>
      </w:r>
      <w:proofErr w:type="spellStart"/>
      <w:r w:rsidR="00C94295" w:rsidRPr="00C94295">
        <w:rPr>
          <w:color w:val="45B0E1" w:themeColor="accent1" w:themeTint="99"/>
        </w:rPr>
        <w:t>Acas</w:t>
      </w:r>
      <w:proofErr w:type="spellEnd"/>
      <w:r w:rsidR="00C94295" w:rsidRPr="00C94295">
        <w:rPr>
          <w:color w:val="45B0E1" w:themeColor="accent1" w:themeTint="99"/>
        </w:rPr>
        <w:t>, 2024</w:t>
      </w:r>
      <w:r w:rsidR="00544DB8">
        <w:rPr>
          <w:color w:val="45B0E1" w:themeColor="accent1" w:themeTint="99"/>
        </w:rPr>
        <w:t>c</w:t>
      </w:r>
      <w:r w:rsidR="00C94295" w:rsidRPr="00C94295">
        <w:rPr>
          <w:color w:val="45B0E1" w:themeColor="accent1" w:themeTint="99"/>
        </w:rPr>
        <w:t>).</w:t>
      </w:r>
      <w:r w:rsidR="00EF061B">
        <w:rPr>
          <w:color w:val="45B0E1" w:themeColor="accent1" w:themeTint="99"/>
        </w:rPr>
        <w:t xml:space="preserve"> </w:t>
      </w:r>
      <w:r w:rsidR="00AF7B38">
        <w:t xml:space="preserve">It is important to note that, if refused the employee has the right to refer </w:t>
      </w:r>
      <w:r w:rsidR="008F111F">
        <w:t>the</w:t>
      </w:r>
      <w:r w:rsidR="00AF7B38">
        <w:t xml:space="preserve"> issue</w:t>
      </w:r>
      <w:r w:rsidR="00E71B73">
        <w:t xml:space="preserve">, </w:t>
      </w:r>
      <w:r w:rsidR="00E71B73" w:rsidRPr="00E71B73">
        <w:rPr>
          <w:color w:val="45B0E1" w:themeColor="accent1" w:themeTint="99"/>
        </w:rPr>
        <w:t>internally for appeal</w:t>
      </w:r>
      <w:r w:rsidR="00E71B73">
        <w:t xml:space="preserve">, </w:t>
      </w:r>
      <w:r w:rsidR="00E71B73" w:rsidRPr="001E4004">
        <w:rPr>
          <w:color w:val="45B0E1" w:themeColor="accent1" w:themeTint="99"/>
        </w:rPr>
        <w:t xml:space="preserve">and if </w:t>
      </w:r>
      <w:r w:rsidR="001E6F1C" w:rsidRPr="001E4004">
        <w:rPr>
          <w:color w:val="45B0E1" w:themeColor="accent1" w:themeTint="99"/>
        </w:rPr>
        <w:t>necessary,</w:t>
      </w:r>
      <w:r w:rsidR="001E4004" w:rsidRPr="001E4004">
        <w:rPr>
          <w:color w:val="45B0E1" w:themeColor="accent1" w:themeTint="99"/>
        </w:rPr>
        <w:t xml:space="preserve"> escalate </w:t>
      </w:r>
      <w:r w:rsidR="00AF7B38">
        <w:t xml:space="preserve">to the Employment Tribunal, who will </w:t>
      </w:r>
      <w:r w:rsidR="00C233B2">
        <w:t xml:space="preserve">review </w:t>
      </w:r>
      <w:r w:rsidR="00BB7E27" w:rsidRPr="001E6F1C">
        <w:rPr>
          <w:color w:val="45B0E1" w:themeColor="accent1" w:themeTint="99"/>
        </w:rPr>
        <w:t>all information</w:t>
      </w:r>
      <w:r w:rsidR="00BB7E27">
        <w:t xml:space="preserve"> and </w:t>
      </w:r>
      <w:r w:rsidR="00AF7B38">
        <w:t xml:space="preserve">make judgment on whether the request was appropriately </w:t>
      </w:r>
      <w:r w:rsidR="00F15722">
        <w:t>considered,</w:t>
      </w:r>
      <w:r w:rsidR="00AF7B38">
        <w:t xml:space="preserve"> and the reason is permissible</w:t>
      </w:r>
      <w:r w:rsidR="008E7D36">
        <w:t xml:space="preserve"> </w:t>
      </w:r>
      <w:r w:rsidR="00C233B2" w:rsidRPr="00C233B2">
        <w:rPr>
          <w:color w:val="45B0E1" w:themeColor="accent1" w:themeTint="99"/>
        </w:rPr>
        <w:t>(Gov.uk, 2024)</w:t>
      </w:r>
      <w:r w:rsidR="00AF7B38" w:rsidRPr="00C233B2">
        <w:rPr>
          <w:color w:val="45B0E1" w:themeColor="accent1" w:themeTint="99"/>
        </w:rPr>
        <w:t>.</w:t>
      </w:r>
      <w:r w:rsidR="00D43436" w:rsidRPr="00D43436">
        <w:t xml:space="preserve"> </w:t>
      </w:r>
      <w:r w:rsidR="00837500" w:rsidRPr="00837500">
        <w:rPr>
          <w:color w:val="0F9ED5" w:themeColor="accent4"/>
        </w:rPr>
        <w:t xml:space="preserve">Therefore, </w:t>
      </w:r>
      <w:r w:rsidR="002D4337">
        <w:rPr>
          <w:color w:val="0F9ED5" w:themeColor="accent4"/>
        </w:rPr>
        <w:t>i</w:t>
      </w:r>
      <w:r w:rsidR="00837500" w:rsidRPr="00837500">
        <w:rPr>
          <w:color w:val="0F9ED5" w:themeColor="accent4"/>
        </w:rPr>
        <w:t xml:space="preserve">t is </w:t>
      </w:r>
      <w:r w:rsidR="002D4337" w:rsidRPr="002D4337">
        <w:rPr>
          <w:color w:val="0F9ED5" w:themeColor="accent4"/>
        </w:rPr>
        <w:t>encouraged to maintain clear documentation and decision-making records to demonstrate compliance with the statutory framework and good practice guidelines</w:t>
      </w:r>
      <w:r w:rsidR="002D4337">
        <w:rPr>
          <w:color w:val="0F9ED5" w:themeColor="accent4"/>
        </w:rPr>
        <w:t xml:space="preserve"> </w:t>
      </w:r>
      <w:r w:rsidR="00935F7C">
        <w:rPr>
          <w:color w:val="0F9ED5" w:themeColor="accent4"/>
        </w:rPr>
        <w:t>(</w:t>
      </w:r>
      <w:proofErr w:type="spellStart"/>
      <w:r w:rsidR="002D4337">
        <w:rPr>
          <w:color w:val="0F9ED5" w:themeColor="accent4"/>
        </w:rPr>
        <w:t>Acas</w:t>
      </w:r>
      <w:proofErr w:type="spellEnd"/>
      <w:r w:rsidR="00935F7C">
        <w:rPr>
          <w:color w:val="0F9ED5" w:themeColor="accent4"/>
        </w:rPr>
        <w:t>, 2024g).</w:t>
      </w:r>
    </w:p>
    <w:p w14:paraId="4FD32FF4" w14:textId="081E6787" w:rsidR="002206B8" w:rsidRPr="009C1263" w:rsidRDefault="00430A7D" w:rsidP="003D3182">
      <w:pPr>
        <w:rPr>
          <w:strike/>
        </w:rPr>
      </w:pPr>
      <w:r w:rsidRPr="009C1263">
        <w:rPr>
          <w:strike/>
        </w:rPr>
        <w:t xml:space="preserve">, the ‘fear’ that other administrators may demand hybrid working, if this request is granted are unfounded. </w:t>
      </w:r>
    </w:p>
    <w:p w14:paraId="459FE543" w14:textId="77777777" w:rsidR="00D96DA4" w:rsidRDefault="00D96DA4" w:rsidP="003D3182"/>
    <w:p w14:paraId="2153CFA4" w14:textId="77777777" w:rsidR="002F6885" w:rsidRDefault="002F6885" w:rsidP="003D3182"/>
    <w:p w14:paraId="2CEBECE5" w14:textId="77777777" w:rsidR="0034427E" w:rsidRDefault="0034427E" w:rsidP="003D3182"/>
    <w:p w14:paraId="26AF9738" w14:textId="77777777" w:rsidR="0034427E" w:rsidRDefault="0034427E" w:rsidP="003D3182"/>
    <w:p w14:paraId="117F041E" w14:textId="77777777" w:rsidR="00F0416A" w:rsidRDefault="00F0416A" w:rsidP="003D3182"/>
    <w:p w14:paraId="7960DCAE" w14:textId="77777777" w:rsidR="00134D5A" w:rsidRDefault="00134D5A" w:rsidP="003D3182"/>
    <w:p w14:paraId="5EFE0F15" w14:textId="3A9DB796" w:rsidR="00414621" w:rsidRPr="003D3182" w:rsidRDefault="00801E26" w:rsidP="003D3182">
      <w:r>
        <w:t xml:space="preserve"> </w:t>
      </w:r>
    </w:p>
    <w:p w14:paraId="5378F3C9" w14:textId="77777777" w:rsidR="003D3182" w:rsidRPr="003D3182" w:rsidRDefault="003D3182" w:rsidP="003D3182"/>
    <w:p w14:paraId="48CF59AC" w14:textId="77777777" w:rsidR="003D3182" w:rsidRPr="00C63F4E" w:rsidRDefault="003D3182" w:rsidP="00C63F4E"/>
    <w:p w14:paraId="611FA77F" w14:textId="77777777" w:rsidR="00E8415D" w:rsidRDefault="00E8415D" w:rsidP="00C63F4E"/>
    <w:p w14:paraId="6E9F12F5" w14:textId="77777777" w:rsidR="00E8415D" w:rsidRDefault="00E8415D" w:rsidP="00AA174C">
      <w:r>
        <w:br w:type="page"/>
      </w:r>
    </w:p>
    <w:p w14:paraId="4DCBEFC5" w14:textId="1669A9AD" w:rsidR="00B73F64" w:rsidRDefault="00D26967" w:rsidP="00AA174C">
      <w:pPr>
        <w:pStyle w:val="BIB"/>
      </w:pPr>
      <w:r>
        <w:lastRenderedPageBreak/>
        <w:t>References</w:t>
      </w:r>
    </w:p>
    <w:p w14:paraId="586CAAEA" w14:textId="02330B8C" w:rsidR="00B31FAE" w:rsidRDefault="00B31FAE" w:rsidP="00AA174C">
      <w:pPr>
        <w:pStyle w:val="BIB"/>
      </w:pPr>
      <w:proofErr w:type="spellStart"/>
      <w:r>
        <w:t>Acas</w:t>
      </w:r>
      <w:proofErr w:type="spellEnd"/>
      <w:r>
        <w:t xml:space="preserve"> (2024)</w:t>
      </w:r>
      <w:r w:rsidR="00B30FFD">
        <w:t xml:space="preserve"> </w:t>
      </w:r>
      <w:r w:rsidR="00B30FFD" w:rsidRPr="00884150">
        <w:t>Recruitment</w:t>
      </w:r>
      <w:r w:rsidR="00B30FFD" w:rsidRPr="00884150">
        <w:rPr>
          <w:i/>
          <w:iCs/>
        </w:rPr>
        <w:t>- Using protected characteristics</w:t>
      </w:r>
      <w:r w:rsidR="00B30FFD">
        <w:t xml:space="preserve">. Available at: </w:t>
      </w:r>
      <w:hyperlink r:id="rId10" w:history="1">
        <w:r w:rsidR="00B30FFD" w:rsidRPr="00F764F7">
          <w:rPr>
            <w:rStyle w:val="Hyperlink"/>
          </w:rPr>
          <w:t>https://www.acas.org.uk/recruitment/using-protected-characteristics</w:t>
        </w:r>
      </w:hyperlink>
      <w:r w:rsidR="00B30FFD">
        <w:t xml:space="preserve">. (Accessed: </w:t>
      </w:r>
      <w:r w:rsidR="00884150">
        <w:t>27 April 2025)</w:t>
      </w:r>
    </w:p>
    <w:p w14:paraId="780CF43A" w14:textId="1D7D5498" w:rsidR="00C63F4E" w:rsidRDefault="00C63F4E" w:rsidP="00C63F4E">
      <w:pPr>
        <w:pStyle w:val="BIB"/>
      </w:pPr>
      <w:proofErr w:type="spellStart"/>
      <w:r>
        <w:t>Acas</w:t>
      </w:r>
      <w:proofErr w:type="spellEnd"/>
      <w:r>
        <w:t xml:space="preserve"> (2024a) </w:t>
      </w:r>
      <w:r w:rsidRPr="00C63F4E">
        <w:rPr>
          <w:i/>
          <w:iCs/>
        </w:rPr>
        <w:t>Managing staff redundancies</w:t>
      </w:r>
      <w:r>
        <w:t xml:space="preserve">. Available at: </w:t>
      </w:r>
      <w:r w:rsidR="003D3182" w:rsidRPr="003D3182">
        <w:t>https://www.acas.org.uk/manage-staff-redundancies</w:t>
      </w:r>
      <w:r>
        <w:t xml:space="preserve">. (Accessed: 02 May 2025) </w:t>
      </w:r>
    </w:p>
    <w:p w14:paraId="07018207" w14:textId="5CC36681" w:rsidR="00C63F4E" w:rsidRDefault="00C63F4E" w:rsidP="00C63F4E">
      <w:pPr>
        <w:pStyle w:val="BIB"/>
      </w:pPr>
      <w:proofErr w:type="spellStart"/>
      <w:r>
        <w:t>Acas</w:t>
      </w:r>
      <w:proofErr w:type="spellEnd"/>
      <w:r>
        <w:t xml:space="preserve"> (2024b) Dismissals: </w:t>
      </w:r>
      <w:r w:rsidRPr="00C63F4E">
        <w:rPr>
          <w:i/>
          <w:iCs/>
        </w:rPr>
        <w:t>Unfair dismissal</w:t>
      </w:r>
      <w:r>
        <w:t>. Available at: https://www.acas.org.uk/dismissals/unfair-dismissal. (Accessed: 02 May 2025)</w:t>
      </w:r>
    </w:p>
    <w:p w14:paraId="631362D9" w14:textId="5886E324" w:rsidR="00430A7D" w:rsidRDefault="00430A7D" w:rsidP="00430A7D">
      <w:pPr>
        <w:pStyle w:val="BIB"/>
      </w:pPr>
      <w:proofErr w:type="spellStart"/>
      <w:r>
        <w:t>Acas</w:t>
      </w:r>
      <w:proofErr w:type="spellEnd"/>
      <w:r>
        <w:t xml:space="preserve"> (2024c) </w:t>
      </w:r>
      <w:r w:rsidRPr="00430A7D">
        <w:t>Statutory flexible working requests</w:t>
      </w:r>
      <w:r>
        <w:t xml:space="preserve">: </w:t>
      </w:r>
      <w:r w:rsidRPr="00430A7D">
        <w:rPr>
          <w:i/>
          <w:iCs/>
        </w:rPr>
        <w:t>Considering a request</w:t>
      </w:r>
      <w:r>
        <w:t xml:space="preserve">. Available at: </w:t>
      </w:r>
      <w:r w:rsidRPr="00430A7D">
        <w:t>https://www.acas.org.uk/statutory-flexible-working-requests/considering-a-request</w:t>
      </w:r>
      <w:r>
        <w:t>. (Accessed: 20 May 2025)</w:t>
      </w:r>
    </w:p>
    <w:p w14:paraId="2838C84F" w14:textId="2340CB1B" w:rsidR="008A0CE5" w:rsidRDefault="0053399B" w:rsidP="00430A7D">
      <w:pPr>
        <w:pStyle w:val="BIB"/>
      </w:pPr>
      <w:proofErr w:type="spellStart"/>
      <w:r>
        <w:t>Acas</w:t>
      </w:r>
      <w:proofErr w:type="spellEnd"/>
      <w:r>
        <w:t xml:space="preserve"> (2024d) </w:t>
      </w:r>
      <w:r w:rsidRPr="004D6B92">
        <w:rPr>
          <w:i/>
          <w:iCs/>
        </w:rPr>
        <w:t>Equal pay and the law</w:t>
      </w:r>
      <w:r>
        <w:t xml:space="preserve">. Available at: </w:t>
      </w:r>
      <w:hyperlink r:id="rId11" w:history="1">
        <w:r w:rsidRPr="007456C0">
          <w:rPr>
            <w:rStyle w:val="Hyperlink"/>
          </w:rPr>
          <w:t>https://www.acas.org.uk/equal-pay/equal-pay-law</w:t>
        </w:r>
      </w:hyperlink>
      <w:r>
        <w:t>. (Accessed: 20 May 2025)</w:t>
      </w:r>
    </w:p>
    <w:p w14:paraId="4CF3B430" w14:textId="0673E9F2" w:rsidR="004D6B92" w:rsidRDefault="004D6B92" w:rsidP="004D6B92">
      <w:pPr>
        <w:pStyle w:val="BIB"/>
      </w:pPr>
      <w:proofErr w:type="spellStart"/>
      <w:r>
        <w:t>Acas</w:t>
      </w:r>
      <w:proofErr w:type="spellEnd"/>
      <w:r>
        <w:t xml:space="preserve"> (2024</w:t>
      </w:r>
      <w:r w:rsidR="009B24E9">
        <w:t>e</w:t>
      </w:r>
      <w:r>
        <w:t xml:space="preserve">) </w:t>
      </w:r>
      <w:r w:rsidRPr="004D6B92">
        <w:rPr>
          <w:i/>
          <w:iCs/>
        </w:rPr>
        <w:t>Equal pay</w:t>
      </w:r>
      <w:r w:rsidR="00FF2017">
        <w:rPr>
          <w:i/>
          <w:iCs/>
        </w:rPr>
        <w:t>: Preventing Issues</w:t>
      </w:r>
      <w:r>
        <w:t>. Available at:</w:t>
      </w:r>
      <w:r w:rsidR="009B24E9" w:rsidRPr="009B24E9">
        <w:t xml:space="preserve"> https://www.acas.org.uk/equal-pay/employer-responsibilitie</w:t>
      </w:r>
      <w:r w:rsidR="009B24E9">
        <w:t>s</w:t>
      </w:r>
      <w:r>
        <w:t>. (Accessed: 20 May 2025)</w:t>
      </w:r>
    </w:p>
    <w:p w14:paraId="489F9FD3" w14:textId="3BB50A79" w:rsidR="00B733E7" w:rsidRDefault="00B733E7" w:rsidP="004D6B92">
      <w:pPr>
        <w:pStyle w:val="BIB"/>
      </w:pPr>
      <w:proofErr w:type="spellStart"/>
      <w:r>
        <w:t>Acas</w:t>
      </w:r>
      <w:proofErr w:type="spellEnd"/>
      <w:r>
        <w:t xml:space="preserve"> (2024f) </w:t>
      </w:r>
      <w:r w:rsidRPr="00B733E7">
        <w:rPr>
          <w:i/>
          <w:iCs/>
        </w:rPr>
        <w:t>Constructive Dismissal</w:t>
      </w:r>
      <w:r>
        <w:t xml:space="preserve">. Available at: </w:t>
      </w:r>
      <w:hyperlink r:id="rId12" w:history="1">
        <w:r w:rsidRPr="007456C0">
          <w:rPr>
            <w:rStyle w:val="Hyperlink"/>
          </w:rPr>
          <w:t>https://www.acas.org.uk/dismissals/constructive-dismissal</w:t>
        </w:r>
      </w:hyperlink>
      <w:r>
        <w:t>. (Accessed: 20 May 2025)</w:t>
      </w:r>
    </w:p>
    <w:p w14:paraId="471C84B9" w14:textId="5A17A54D" w:rsidR="00F4206D" w:rsidRPr="00C233B2" w:rsidRDefault="00F4206D" w:rsidP="00F4206D">
      <w:pPr>
        <w:pStyle w:val="BIB"/>
        <w:rPr>
          <w:color w:val="45B0E1" w:themeColor="accent1" w:themeTint="99"/>
        </w:rPr>
      </w:pPr>
      <w:proofErr w:type="spellStart"/>
      <w:r w:rsidRPr="00C233B2">
        <w:rPr>
          <w:color w:val="45B0E1" w:themeColor="accent1" w:themeTint="99"/>
        </w:rPr>
        <w:t>Acas</w:t>
      </w:r>
      <w:proofErr w:type="spellEnd"/>
      <w:r w:rsidRPr="00C233B2">
        <w:rPr>
          <w:color w:val="45B0E1" w:themeColor="accent1" w:themeTint="99"/>
        </w:rPr>
        <w:t xml:space="preserve"> (2024</w:t>
      </w:r>
      <w:r w:rsidR="00D20285" w:rsidRPr="00C233B2">
        <w:rPr>
          <w:color w:val="45B0E1" w:themeColor="accent1" w:themeTint="99"/>
        </w:rPr>
        <w:t>g</w:t>
      </w:r>
      <w:r w:rsidRPr="00C233B2">
        <w:rPr>
          <w:color w:val="45B0E1" w:themeColor="accent1" w:themeTint="99"/>
        </w:rPr>
        <w:t xml:space="preserve">) Refusing a flexible working request. Available at: </w:t>
      </w:r>
      <w:hyperlink r:id="rId13" w:history="1">
        <w:r w:rsidR="00D20285" w:rsidRPr="00C233B2">
          <w:rPr>
            <w:rStyle w:val="Hyperlink"/>
            <w:color w:val="45B0E1" w:themeColor="accent1" w:themeTint="99"/>
          </w:rPr>
          <w:t>https://www.acas.org.uk/flexible-working</w:t>
        </w:r>
      </w:hyperlink>
      <w:r w:rsidR="00D20285" w:rsidRPr="00C233B2">
        <w:rPr>
          <w:color w:val="45B0E1" w:themeColor="accent1" w:themeTint="99"/>
        </w:rPr>
        <w:t xml:space="preserve"> </w:t>
      </w:r>
      <w:r w:rsidRPr="00C233B2">
        <w:rPr>
          <w:color w:val="45B0E1" w:themeColor="accent1" w:themeTint="99"/>
        </w:rPr>
        <w:t xml:space="preserve">(Accessed: </w:t>
      </w:r>
      <w:r w:rsidR="00D20285" w:rsidRPr="00C233B2">
        <w:rPr>
          <w:color w:val="45B0E1" w:themeColor="accent1" w:themeTint="99"/>
        </w:rPr>
        <w:t>29 July</w:t>
      </w:r>
      <w:r w:rsidRPr="00C233B2">
        <w:rPr>
          <w:color w:val="45B0E1" w:themeColor="accent1" w:themeTint="99"/>
        </w:rPr>
        <w:t xml:space="preserve"> 2025)</w:t>
      </w:r>
    </w:p>
    <w:p w14:paraId="4C87511F" w14:textId="77777777" w:rsidR="00C63F4E" w:rsidRDefault="00C63F4E" w:rsidP="00C63F4E">
      <w:pPr>
        <w:pStyle w:val="BIB"/>
      </w:pPr>
      <w:proofErr w:type="spellStart"/>
      <w:r>
        <w:t>Acas</w:t>
      </w:r>
      <w:proofErr w:type="spellEnd"/>
      <w:r>
        <w:t xml:space="preserve"> (2025)</w:t>
      </w:r>
      <w:r w:rsidRPr="0037245D">
        <w:t xml:space="preserve"> </w:t>
      </w:r>
      <w:r w:rsidRPr="008167CE">
        <w:t>Discrimination at work</w:t>
      </w:r>
      <w:r>
        <w:t xml:space="preserve">: </w:t>
      </w:r>
      <w:r w:rsidRPr="00BC6AFA">
        <w:rPr>
          <w:i/>
          <w:iCs/>
        </w:rPr>
        <w:t>Discrimination and the Equality Act 2010</w:t>
      </w:r>
      <w:r>
        <w:t xml:space="preserve">. Available at: </w:t>
      </w:r>
      <w:hyperlink r:id="rId14" w:history="1">
        <w:r w:rsidRPr="00F764F7">
          <w:rPr>
            <w:rStyle w:val="Hyperlink"/>
          </w:rPr>
          <w:t>https://www.acas.org.uk/discrimination-and-the-law</w:t>
        </w:r>
      </w:hyperlink>
      <w:r>
        <w:t>. (Accessed: 27 April 2025)</w:t>
      </w:r>
    </w:p>
    <w:p w14:paraId="14ACC3E1" w14:textId="7E3FFBDF" w:rsidR="00C63F4E" w:rsidRDefault="00C63F4E" w:rsidP="00C63F4E">
      <w:pPr>
        <w:pStyle w:val="BIB"/>
      </w:pPr>
      <w:proofErr w:type="spellStart"/>
      <w:r>
        <w:t>Acas</w:t>
      </w:r>
      <w:proofErr w:type="spellEnd"/>
      <w:r>
        <w:t xml:space="preserve"> (2025a) </w:t>
      </w:r>
      <w:r w:rsidRPr="00C63F4E">
        <w:rPr>
          <w:i/>
          <w:iCs/>
        </w:rPr>
        <w:t>Building up holiday.</w:t>
      </w:r>
      <w:r>
        <w:t xml:space="preserve"> Available at: https://www.acas.org.uk/irregular-hours-and-part-year-workers/calculating-holiday-pay. (Accessed: 07 May 2025) </w:t>
      </w:r>
    </w:p>
    <w:p w14:paraId="25391517" w14:textId="7D9EC17C" w:rsidR="00C63F4E" w:rsidRDefault="00C63F4E" w:rsidP="00C63F4E">
      <w:pPr>
        <w:pStyle w:val="BIB"/>
      </w:pPr>
      <w:proofErr w:type="spellStart"/>
      <w:r>
        <w:t>Acas</w:t>
      </w:r>
      <w:proofErr w:type="spellEnd"/>
      <w:r>
        <w:t xml:space="preserve"> (2025b) </w:t>
      </w:r>
      <w:r w:rsidRPr="00C63F4E">
        <w:rPr>
          <w:i/>
          <w:iCs/>
        </w:rPr>
        <w:t>Holiday pay</w:t>
      </w:r>
      <w:r>
        <w:t xml:space="preserve">. Available at  https://www.acas.org.uk/irregular-hours-and-part-year-workers/calculating-holiday-pay. (Accessed: 07 May 2025) </w:t>
      </w:r>
    </w:p>
    <w:p w14:paraId="31B7A5BD" w14:textId="78ED28B8" w:rsidR="00C63F4E" w:rsidRDefault="00C63F4E" w:rsidP="00C63F4E">
      <w:pPr>
        <w:pStyle w:val="BIB"/>
      </w:pPr>
      <w:proofErr w:type="spellStart"/>
      <w:r>
        <w:t>Acas</w:t>
      </w:r>
      <w:proofErr w:type="spellEnd"/>
      <w:r>
        <w:t xml:space="preserve"> (2025c) </w:t>
      </w:r>
      <w:r w:rsidRPr="00C63F4E">
        <w:rPr>
          <w:i/>
          <w:iCs/>
        </w:rPr>
        <w:t>Rolled-up holiday pay</w:t>
      </w:r>
      <w:r>
        <w:t>. Available at https://www.acas.org.uk/irregular-hours-and-part-year-workers/rolled-up-holiday-pay. (Accessed: 07 May 2025)</w:t>
      </w:r>
    </w:p>
    <w:p w14:paraId="49C0E5E7" w14:textId="45AA542D" w:rsidR="00D26967" w:rsidRDefault="00D26967" w:rsidP="00AA174C">
      <w:pPr>
        <w:pStyle w:val="BIB"/>
      </w:pPr>
      <w:r w:rsidRPr="00D26967">
        <w:t xml:space="preserve">Armstrong, M., &amp; Taylor, S. (2023). </w:t>
      </w:r>
      <w:r w:rsidRPr="00C63F4E">
        <w:rPr>
          <w:i/>
          <w:iCs/>
        </w:rPr>
        <w:t>Armstrong’s handbook of human resource management practice</w:t>
      </w:r>
      <w:r w:rsidRPr="00217DC5">
        <w:t>: a guide to the theory and practice of people management</w:t>
      </w:r>
      <w:r w:rsidRPr="00D26967">
        <w:t xml:space="preserve"> (16th edition.). Kogan Page.</w:t>
      </w:r>
    </w:p>
    <w:p w14:paraId="2F600314" w14:textId="30C94C28" w:rsidR="00DD07A8" w:rsidRPr="00DD07A8" w:rsidRDefault="00DD07A8" w:rsidP="00AA174C">
      <w:pPr>
        <w:pStyle w:val="BIB"/>
      </w:pPr>
      <w:r>
        <w:t xml:space="preserve">CIPD (2024) </w:t>
      </w:r>
      <w:r w:rsidRPr="00217DC5">
        <w:rPr>
          <w:i/>
          <w:iCs/>
        </w:rPr>
        <w:t>Employment status, rights and regulation</w:t>
      </w:r>
      <w:r>
        <w:t xml:space="preserve">. Available at: </w:t>
      </w:r>
      <w:hyperlink r:id="rId15" w:history="1">
        <w:r w:rsidRPr="00A53109">
          <w:rPr>
            <w:rStyle w:val="Hyperlink"/>
          </w:rPr>
          <w:t>https://www.cipd.org/uk/views-and-insights/cipd-viewpoint/employment-status-rights/</w:t>
        </w:r>
      </w:hyperlink>
      <w:r>
        <w:t>. (Accessed: 20 April 2025)</w:t>
      </w:r>
    </w:p>
    <w:p w14:paraId="4B4AC6C0" w14:textId="5BF85D08" w:rsidR="00E8415D" w:rsidRDefault="00E8415D" w:rsidP="00AA174C">
      <w:pPr>
        <w:pStyle w:val="BIB"/>
      </w:pPr>
      <w:r>
        <w:t>CIPD (2024</w:t>
      </w:r>
      <w:r w:rsidR="00DD07A8">
        <w:t>a</w:t>
      </w:r>
      <w:r>
        <w:t xml:space="preserve">) </w:t>
      </w:r>
      <w:r w:rsidRPr="00217DC5">
        <w:rPr>
          <w:i/>
          <w:iCs/>
        </w:rPr>
        <w:t>Employment status: UK employment law</w:t>
      </w:r>
      <w:r>
        <w:t xml:space="preserve">. Available at: </w:t>
      </w:r>
      <w:hyperlink r:id="rId16" w:history="1">
        <w:r w:rsidRPr="00A53109">
          <w:rPr>
            <w:rStyle w:val="Hyperlink"/>
          </w:rPr>
          <w:t>https://www.cipd.org/uk/knowledge/employment-law/employees/</w:t>
        </w:r>
      </w:hyperlink>
      <w:r>
        <w:t>. (Accessed: 20 April 2025)</w:t>
      </w:r>
    </w:p>
    <w:p w14:paraId="266AD55E" w14:textId="1FBE0618" w:rsidR="00C63F4E" w:rsidRPr="00C63F4E" w:rsidRDefault="00C63F4E" w:rsidP="00C63F4E">
      <w:pPr>
        <w:pStyle w:val="BIB"/>
      </w:pPr>
      <w:r w:rsidRPr="00C63F4E">
        <w:t>CIPD (2024</w:t>
      </w:r>
      <w:r>
        <w:t>b</w:t>
      </w:r>
      <w:r w:rsidRPr="00C63F4E">
        <w:t xml:space="preserve">) </w:t>
      </w:r>
      <w:r w:rsidRPr="00C63F4E">
        <w:rPr>
          <w:i/>
          <w:iCs/>
        </w:rPr>
        <w:t>Redundancy: UK employment law</w:t>
      </w:r>
      <w:r w:rsidRPr="00C63F4E">
        <w:t xml:space="preserve">. Available at: </w:t>
      </w:r>
      <w:hyperlink r:id="rId17" w:tgtFrame="_blank" w:history="1">
        <w:r w:rsidRPr="00C63F4E">
          <w:rPr>
            <w:rStyle w:val="Hyperlink"/>
          </w:rPr>
          <w:t>https://www.cipd.org/uk/knowledge/employment-law/redundancy/</w:t>
        </w:r>
      </w:hyperlink>
      <w:r w:rsidRPr="00C63F4E">
        <w:t>. (Accessed: 01 May 2025) </w:t>
      </w:r>
    </w:p>
    <w:p w14:paraId="6B8841A0" w14:textId="0D447231" w:rsidR="00C63F4E" w:rsidRPr="00C63F4E" w:rsidRDefault="00C63F4E" w:rsidP="00C63F4E">
      <w:pPr>
        <w:pStyle w:val="BIB"/>
      </w:pPr>
      <w:r w:rsidRPr="00C63F4E">
        <w:lastRenderedPageBreak/>
        <w:t>CIPD (2024</w:t>
      </w:r>
      <w:r>
        <w:t>c</w:t>
      </w:r>
      <w:r w:rsidRPr="00C63F4E">
        <w:t xml:space="preserve">) </w:t>
      </w:r>
      <w:r w:rsidRPr="00C63F4E">
        <w:rPr>
          <w:i/>
          <w:iCs/>
        </w:rPr>
        <w:t>TUPE transfers: Guide for people professionals</w:t>
      </w:r>
      <w:r w:rsidRPr="00C63F4E">
        <w:t xml:space="preserve">. Available at: </w:t>
      </w:r>
      <w:hyperlink r:id="rId18" w:tgtFrame="_blank" w:history="1">
        <w:r w:rsidRPr="00C63F4E">
          <w:rPr>
            <w:rStyle w:val="Hyperlink"/>
          </w:rPr>
          <w:t>https://www.cipd.org/uk/knowledge/guides/tupe-guide/</w:t>
        </w:r>
      </w:hyperlink>
      <w:r w:rsidRPr="00C63F4E">
        <w:t>. (Accessed: 02 May 2025) </w:t>
      </w:r>
    </w:p>
    <w:p w14:paraId="654A8618" w14:textId="34276CF9" w:rsidR="00C63F4E" w:rsidRPr="00C63F4E" w:rsidRDefault="00C63F4E" w:rsidP="00C63F4E">
      <w:pPr>
        <w:pStyle w:val="BIB"/>
      </w:pPr>
      <w:r w:rsidRPr="00C63F4E">
        <w:t>CIPD (2024</w:t>
      </w:r>
      <w:r>
        <w:t>d</w:t>
      </w:r>
      <w:r w:rsidRPr="00C63F4E">
        <w:t xml:space="preserve">) </w:t>
      </w:r>
      <w:r w:rsidRPr="00C63F4E">
        <w:rPr>
          <w:i/>
          <w:iCs/>
        </w:rPr>
        <w:t>UK employment law round-up: June 2024</w:t>
      </w:r>
      <w:r w:rsidRPr="00C63F4E">
        <w:t xml:space="preserve">. Available at: </w:t>
      </w:r>
      <w:hyperlink r:id="rId19" w:tgtFrame="_blank" w:history="1">
        <w:r w:rsidRPr="00C63F4E">
          <w:rPr>
            <w:rStyle w:val="Hyperlink"/>
          </w:rPr>
          <w:t>https://www.cipd.org/uk/views-and-insights/thought-leadership/insight/employment-law-changes-june-2024/</w:t>
        </w:r>
      </w:hyperlink>
      <w:r w:rsidRPr="00C63F4E">
        <w:t>. (Accessed 02 May 2025) </w:t>
      </w:r>
    </w:p>
    <w:p w14:paraId="77072101" w14:textId="10C45D35" w:rsidR="00C63F4E" w:rsidRPr="00C63F4E" w:rsidRDefault="00C63F4E" w:rsidP="00C63F4E">
      <w:pPr>
        <w:pStyle w:val="BIB"/>
      </w:pPr>
      <w:r w:rsidRPr="00C63F4E">
        <w:t>CIPD (2024</w:t>
      </w:r>
      <w:r>
        <w:t>e</w:t>
      </w:r>
      <w:r w:rsidRPr="00C63F4E">
        <w:rPr>
          <w:i/>
          <w:iCs/>
        </w:rPr>
        <w:t>) TUPE: UK employment law</w:t>
      </w:r>
      <w:r w:rsidRPr="00C63F4E">
        <w:t xml:space="preserve">. Available at: </w:t>
      </w:r>
      <w:hyperlink r:id="rId20" w:tgtFrame="_blank" w:history="1">
        <w:r w:rsidRPr="00C63F4E">
          <w:rPr>
            <w:rStyle w:val="Hyperlink"/>
          </w:rPr>
          <w:t>https://www.cipd.org/uk/knowledge/employment-law/tupe/</w:t>
        </w:r>
      </w:hyperlink>
      <w:r w:rsidRPr="00C63F4E">
        <w:t>. (Accessed: 03 May 2025) </w:t>
      </w:r>
    </w:p>
    <w:p w14:paraId="32A71071" w14:textId="2A00F443" w:rsidR="00157183" w:rsidRPr="00157183" w:rsidRDefault="00157183" w:rsidP="00AA174C">
      <w:pPr>
        <w:pStyle w:val="BIB"/>
      </w:pPr>
      <w:r>
        <w:t xml:space="preserve">CIPD (2024f) </w:t>
      </w:r>
      <w:r w:rsidRPr="00157183">
        <w:rPr>
          <w:i/>
          <w:iCs/>
        </w:rPr>
        <w:t>Contracts of employment</w:t>
      </w:r>
      <w:r>
        <w:t xml:space="preserve">. Available at: </w:t>
      </w:r>
      <w:hyperlink r:id="rId21" w:anchor="employment-contract" w:history="1">
        <w:r w:rsidR="00C8580C" w:rsidRPr="007456C0">
          <w:rPr>
            <w:rStyle w:val="Hyperlink"/>
          </w:rPr>
          <w:t>https://www.cipd.org/uk/knowledge/factsheets/terms-conditions-contracts-factsheet/#employment-contract</w:t>
        </w:r>
      </w:hyperlink>
      <w:r w:rsidR="00C8580C">
        <w:t>. (Accessed: 25 May 2025)</w:t>
      </w:r>
    </w:p>
    <w:p w14:paraId="1A9CF541" w14:textId="74CB346C" w:rsidR="00FE4D14" w:rsidRDefault="00FE4D14" w:rsidP="00AA174C">
      <w:pPr>
        <w:pStyle w:val="BIB"/>
      </w:pPr>
      <w:r>
        <w:t xml:space="preserve">CIPD (2025) </w:t>
      </w:r>
      <w:r w:rsidRPr="00FE4D14">
        <w:rPr>
          <w:i/>
          <w:iCs/>
        </w:rPr>
        <w:t>Tracking law changes: Employment Rights Bill and Make Work Pay plan</w:t>
      </w:r>
      <w:r>
        <w:rPr>
          <w:i/>
          <w:iCs/>
        </w:rPr>
        <w:t xml:space="preserve">. </w:t>
      </w:r>
      <w:r>
        <w:t xml:space="preserve">Available at: </w:t>
      </w:r>
      <w:hyperlink r:id="rId22" w:history="1">
        <w:r w:rsidR="00134EA1" w:rsidRPr="00F764F7">
          <w:rPr>
            <w:rStyle w:val="Hyperlink"/>
          </w:rPr>
          <w:t>https://www.cipd.org/uk/knowledge/employment-law/proposed-changes-under-labour-government</w:t>
        </w:r>
      </w:hyperlink>
      <w:r w:rsidR="00134EA1">
        <w:t>. (Accessed: 22 April 2025)</w:t>
      </w:r>
    </w:p>
    <w:p w14:paraId="620958EC" w14:textId="77777777" w:rsidR="00B507BA" w:rsidRDefault="00C63F4E" w:rsidP="00C63F4E">
      <w:pPr>
        <w:pStyle w:val="BIB"/>
      </w:pPr>
      <w:r w:rsidRPr="00C63F4E">
        <w:t>CIPD (2025</w:t>
      </w:r>
      <w:r>
        <w:t>a</w:t>
      </w:r>
      <w:r w:rsidRPr="00C63F4E">
        <w:t xml:space="preserve">) </w:t>
      </w:r>
      <w:r w:rsidRPr="00C63F4E">
        <w:rPr>
          <w:i/>
          <w:iCs/>
        </w:rPr>
        <w:t>Maternity, paternity and adoption rights</w:t>
      </w:r>
      <w:r w:rsidRPr="00C63F4E">
        <w:t xml:space="preserve">. Available at: </w:t>
      </w:r>
      <w:hyperlink r:id="rId23" w:tgtFrame="_blank" w:history="1">
        <w:r w:rsidRPr="00C63F4E">
          <w:rPr>
            <w:rStyle w:val="Hyperlink"/>
          </w:rPr>
          <w:t>https://www.cipd.org/uk/knowledge/factsheets/maternity-paternity-rights-factsheet/</w:t>
        </w:r>
      </w:hyperlink>
      <w:r w:rsidRPr="00C63F4E">
        <w:t>. (Accessed: 15 May</w:t>
      </w:r>
      <w:r w:rsidR="00B507BA">
        <w:t xml:space="preserve"> </w:t>
      </w:r>
      <w:r w:rsidRPr="00C63F4E">
        <w:t>2025)</w:t>
      </w:r>
    </w:p>
    <w:p w14:paraId="572C4CEB" w14:textId="1F6B97EA" w:rsidR="00B507BA" w:rsidRDefault="00B507BA" w:rsidP="00B507BA">
      <w:pPr>
        <w:pStyle w:val="BIB"/>
      </w:pPr>
      <w:r w:rsidRPr="00C63F4E">
        <w:t>CIPD (2025</w:t>
      </w:r>
      <w:r>
        <w:t>b</w:t>
      </w:r>
      <w:r w:rsidRPr="00C63F4E">
        <w:t xml:space="preserve">) </w:t>
      </w:r>
      <w:r w:rsidRPr="00B507BA">
        <w:rPr>
          <w:i/>
          <w:iCs/>
        </w:rPr>
        <w:t>Flexible working practices</w:t>
      </w:r>
      <w:r w:rsidRPr="00C63F4E">
        <w:t>. Available at:</w:t>
      </w:r>
      <w:r w:rsidRPr="00B507BA">
        <w:t xml:space="preserve"> https://www.cipd.org/uk/knowledge/factsheets/flexible-working-factsheet/</w:t>
      </w:r>
      <w:r w:rsidRPr="00C63F4E">
        <w:t xml:space="preserve">. (Accessed: </w:t>
      </w:r>
      <w:r>
        <w:t>20</w:t>
      </w:r>
      <w:r w:rsidRPr="00C63F4E">
        <w:t xml:space="preserve"> May</w:t>
      </w:r>
      <w:r>
        <w:t xml:space="preserve"> </w:t>
      </w:r>
      <w:r w:rsidRPr="00C63F4E">
        <w:t>2025)</w:t>
      </w:r>
    </w:p>
    <w:p w14:paraId="73E4C1F7" w14:textId="4E6B6181" w:rsidR="00C63F4E" w:rsidRPr="00C63F4E" w:rsidRDefault="005262A3" w:rsidP="00C63F4E">
      <w:pPr>
        <w:pStyle w:val="BIB"/>
      </w:pPr>
      <w:r>
        <w:t>Co</w:t>
      </w:r>
      <w:r w:rsidR="0092602D">
        <w:t>nn</w:t>
      </w:r>
      <w:r>
        <w:t>olly, M</w:t>
      </w:r>
      <w:r w:rsidR="002474CD">
        <w:t xml:space="preserve">. Dr. (2021) </w:t>
      </w:r>
      <w:r w:rsidRPr="002474CD">
        <w:rPr>
          <w:i/>
          <w:iCs/>
        </w:rPr>
        <w:t>Brexit and employment law</w:t>
      </w:r>
      <w:r w:rsidR="002474CD">
        <w:rPr>
          <w:i/>
          <w:iCs/>
        </w:rPr>
        <w:t xml:space="preserve">. </w:t>
      </w:r>
      <w:r w:rsidR="002474CD">
        <w:t>Av</w:t>
      </w:r>
      <w:r w:rsidR="0092602D">
        <w:t xml:space="preserve">ailable at: </w:t>
      </w:r>
      <w:hyperlink r:id="rId24" w:history="1">
        <w:r w:rsidR="0092602D" w:rsidRPr="007456C0">
          <w:rPr>
            <w:rStyle w:val="Hyperlink"/>
          </w:rPr>
          <w:t>https://www.port.ac.uk/news-events-and-blogs/blogs/law/brexit-and-employment-law</w:t>
        </w:r>
      </w:hyperlink>
      <w:r w:rsidR="0092602D">
        <w:t>. (Accessed: 27 May 2025)</w:t>
      </w:r>
    </w:p>
    <w:p w14:paraId="45506815" w14:textId="6514418F" w:rsidR="00D26967" w:rsidRPr="00D26967" w:rsidRDefault="00D26967" w:rsidP="00AA174C">
      <w:pPr>
        <w:pStyle w:val="BIB"/>
      </w:pPr>
      <w:r w:rsidRPr="00D26967">
        <w:t xml:space="preserve">Cushway, B. (2017). </w:t>
      </w:r>
      <w:r w:rsidRPr="00217DC5">
        <w:rPr>
          <w:i/>
          <w:iCs/>
        </w:rPr>
        <w:t>The employer’s handbook 2017-2018</w:t>
      </w:r>
      <w:r w:rsidRPr="00D26967">
        <w:t xml:space="preserve">: an essential guide to employment law, personnel policies and procedures (Thirteenth Edition.). </w:t>
      </w:r>
      <w:proofErr w:type="spellStart"/>
      <w:r w:rsidRPr="00D26967">
        <w:t>KoganPage</w:t>
      </w:r>
      <w:proofErr w:type="spellEnd"/>
      <w:r w:rsidRPr="00D26967">
        <w:t>.</w:t>
      </w:r>
    </w:p>
    <w:p w14:paraId="15BD0280" w14:textId="5BE622CF" w:rsidR="00D26967" w:rsidRDefault="00D26967" w:rsidP="00AA174C">
      <w:pPr>
        <w:pStyle w:val="BIB"/>
      </w:pPr>
      <w:r w:rsidRPr="00D26967">
        <w:t>Daniels, K.</w:t>
      </w:r>
      <w:r w:rsidR="00784566">
        <w:t xml:space="preserve"> </w:t>
      </w:r>
      <w:r w:rsidRPr="00D26967">
        <w:t xml:space="preserve">(2024). </w:t>
      </w:r>
      <w:r w:rsidRPr="00C63F4E">
        <w:rPr>
          <w:i/>
          <w:iCs/>
        </w:rPr>
        <w:t>Introduction to employment law: fundamentals for HR and business students</w:t>
      </w:r>
      <w:r w:rsidRPr="00D26967">
        <w:t xml:space="preserve"> (Seventh edition.). Kogan Page.</w:t>
      </w:r>
    </w:p>
    <w:p w14:paraId="2F6AB47B" w14:textId="5A09B227" w:rsidR="00C63F4E" w:rsidRPr="00D26967" w:rsidRDefault="00C63F4E" w:rsidP="00AA174C">
      <w:pPr>
        <w:pStyle w:val="BIB"/>
      </w:pPr>
      <w:r w:rsidRPr="00C63F4E">
        <w:t xml:space="preserve">Department of Business and Trade (2020) </w:t>
      </w:r>
      <w:r w:rsidRPr="00C63F4E">
        <w:rPr>
          <w:i/>
          <w:iCs/>
        </w:rPr>
        <w:t>Guidance: Calculating holiday pay for workers without fixed hours or pay</w:t>
      </w:r>
      <w:r w:rsidRPr="00C63F4E">
        <w:t xml:space="preserve">. Available at: </w:t>
      </w:r>
      <w:hyperlink r:id="rId25" w:tgtFrame="_blank" w:history="1">
        <w:r w:rsidRPr="00C63F4E">
          <w:rPr>
            <w:rStyle w:val="Hyperlink"/>
          </w:rPr>
          <w:t>https://www.gov.uk/government/publications/calculating-holiday-pay-for-workers-without-fixed-hours-or-pay/calculating-holiday-pay-for-workers-without-fixed-hours-or-pay--2</w:t>
        </w:r>
      </w:hyperlink>
      <w:r w:rsidRPr="00C63F4E">
        <w:t>. (Accessed: 07 May 2025) </w:t>
      </w:r>
    </w:p>
    <w:p w14:paraId="543229E1" w14:textId="5B971DFD" w:rsidR="009410F8" w:rsidRDefault="009410F8" w:rsidP="007B2BB3">
      <w:pPr>
        <w:pStyle w:val="BIB"/>
      </w:pPr>
      <w:r>
        <w:t>Equality and Human Rights Commission</w:t>
      </w:r>
      <w:r w:rsidR="00060F28">
        <w:t xml:space="preserve"> </w:t>
      </w:r>
      <w:r w:rsidR="004B1847">
        <w:t>(E</w:t>
      </w:r>
      <w:r w:rsidR="0025515D">
        <w:t xml:space="preserve">HRC) </w:t>
      </w:r>
      <w:r w:rsidR="00060F28">
        <w:t>(201</w:t>
      </w:r>
      <w:r w:rsidR="00927D3A">
        <w:t>5</w:t>
      </w:r>
      <w:r w:rsidR="00060F28">
        <w:t>)</w:t>
      </w:r>
      <w:r w:rsidR="007B2BB3">
        <w:t xml:space="preserve"> Equality Act 2010 code of practice: </w:t>
      </w:r>
      <w:r w:rsidR="007B2BB3" w:rsidRPr="007B2BB3">
        <w:rPr>
          <w:i/>
          <w:iCs/>
        </w:rPr>
        <w:t>Employment statutory code of practice</w:t>
      </w:r>
      <w:r w:rsidR="007B2BB3">
        <w:rPr>
          <w:i/>
          <w:iCs/>
        </w:rPr>
        <w:t>.</w:t>
      </w:r>
      <w:r w:rsidR="004B1847">
        <w:rPr>
          <w:i/>
          <w:iCs/>
        </w:rPr>
        <w:t xml:space="preserve"> </w:t>
      </w:r>
      <w:r w:rsidR="004B1847">
        <w:t xml:space="preserve">Available at: </w:t>
      </w:r>
      <w:hyperlink r:id="rId26" w:history="1">
        <w:r w:rsidR="004B1847" w:rsidRPr="00F764F7">
          <w:rPr>
            <w:rStyle w:val="Hyperlink"/>
          </w:rPr>
          <w:t>https://www.equalityhumanrights.com/equality/equality-act-2010/codes-practice/employment-code-practice-0</w:t>
        </w:r>
      </w:hyperlink>
      <w:r w:rsidR="004B1847">
        <w:t>. (Accessed: 27 April 2025)</w:t>
      </w:r>
    </w:p>
    <w:p w14:paraId="3D8FBFFC" w14:textId="33765117" w:rsidR="0046032A" w:rsidRDefault="0046032A" w:rsidP="0046032A">
      <w:pPr>
        <w:pStyle w:val="BIB"/>
      </w:pPr>
      <w:r>
        <w:t>Equality and Human Rights Commission (EHRC) (201</w:t>
      </w:r>
      <w:r w:rsidR="00D83199">
        <w:t>6</w:t>
      </w:r>
      <w:r>
        <w:t xml:space="preserve">) </w:t>
      </w:r>
      <w:r w:rsidR="00D83199">
        <w:t xml:space="preserve">Advertising: </w:t>
      </w:r>
      <w:r w:rsidR="00D83199" w:rsidRPr="00D83199">
        <w:rPr>
          <w:i/>
          <w:iCs/>
        </w:rPr>
        <w:t>Frequently asked questions about what is lawful advertising for: jobs; goods, facilities and services; and accommodation</w:t>
      </w:r>
      <w:r>
        <w:rPr>
          <w:i/>
          <w:iCs/>
        </w:rPr>
        <w:t xml:space="preserve">. </w:t>
      </w:r>
      <w:r>
        <w:t>Available at:</w:t>
      </w:r>
      <w:r w:rsidR="00585F26" w:rsidRPr="00585F26">
        <w:t xml:space="preserve"> https://www.equalityhumanrights.com/sites/default/files/advertising_-_faq.pdf</w:t>
      </w:r>
      <w:r>
        <w:t>. (Accessed: 27 April 2025)</w:t>
      </w:r>
    </w:p>
    <w:p w14:paraId="0C929AE9" w14:textId="4305B826" w:rsidR="008A565E" w:rsidRDefault="008A565E" w:rsidP="008A565E">
      <w:pPr>
        <w:pStyle w:val="BIB"/>
      </w:pPr>
      <w:r>
        <w:t>Government Equalities Office (2013) The Public Sector Equality Duty: Guidance for public authorities. Available at: https://www.gov.uk/government/publications/public-sector-equality-duty</w:t>
      </w:r>
      <w:r>
        <w:t>.</w:t>
      </w:r>
      <w:r w:rsidRPr="008A565E">
        <w:t xml:space="preserve"> </w:t>
      </w:r>
      <w:r w:rsidRPr="008A565E">
        <w:t>(Accessed: 23 April 2025)</w:t>
      </w:r>
    </w:p>
    <w:p w14:paraId="17E5C219" w14:textId="1673DB33" w:rsidR="000E3E37" w:rsidRDefault="000E3E37" w:rsidP="00AA174C">
      <w:pPr>
        <w:pStyle w:val="BIB"/>
      </w:pPr>
      <w:r>
        <w:t xml:space="preserve">Government </w:t>
      </w:r>
      <w:r w:rsidR="00A73D8F">
        <w:t>Equalities Office (2015)</w:t>
      </w:r>
      <w:r w:rsidR="002E535B">
        <w:t xml:space="preserve"> </w:t>
      </w:r>
      <w:r w:rsidR="002E535B" w:rsidRPr="002E535B">
        <w:rPr>
          <w:i/>
          <w:iCs/>
        </w:rPr>
        <w:t>Equality Act 2010: guidance</w:t>
      </w:r>
      <w:r w:rsidR="002E535B">
        <w:t xml:space="preserve">. Available at: </w:t>
      </w:r>
      <w:hyperlink r:id="rId27" w:history="1">
        <w:r w:rsidR="002E535B" w:rsidRPr="00F764F7">
          <w:rPr>
            <w:rStyle w:val="Hyperlink"/>
          </w:rPr>
          <w:t>https://www.gov.uk/guidance/equality-act-2010-guidance</w:t>
        </w:r>
      </w:hyperlink>
      <w:r w:rsidR="002E535B">
        <w:t>. (Accessed: 23 April 2025)</w:t>
      </w:r>
    </w:p>
    <w:p w14:paraId="34D8D09A" w14:textId="15D0356F" w:rsidR="00CC2448" w:rsidRPr="00C233B2" w:rsidRDefault="00C233B2" w:rsidP="00C233B2">
      <w:pPr>
        <w:pStyle w:val="BIB"/>
        <w:rPr>
          <w:color w:val="45B0E1" w:themeColor="accent1" w:themeTint="99"/>
        </w:rPr>
      </w:pPr>
      <w:r w:rsidRPr="00C233B2">
        <w:rPr>
          <w:color w:val="45B0E1" w:themeColor="accent1" w:themeTint="99"/>
        </w:rPr>
        <w:lastRenderedPageBreak/>
        <w:t xml:space="preserve">GOV.UK (2024) Flexible working: employee rights. Available at: </w:t>
      </w:r>
      <w:hyperlink r:id="rId28" w:history="1">
        <w:r w:rsidRPr="00C233B2">
          <w:rPr>
            <w:rStyle w:val="Hyperlink"/>
            <w:color w:val="45B0E1" w:themeColor="accent1" w:themeTint="99"/>
          </w:rPr>
          <w:t>https://www.gov.uk/flexible-working</w:t>
        </w:r>
      </w:hyperlink>
      <w:r w:rsidRPr="00C233B2">
        <w:rPr>
          <w:color w:val="45B0E1" w:themeColor="accent1" w:themeTint="99"/>
        </w:rPr>
        <w:t xml:space="preserve">. </w:t>
      </w:r>
      <w:r w:rsidRPr="00C233B2">
        <w:rPr>
          <w:color w:val="45B0E1" w:themeColor="accent1" w:themeTint="99"/>
        </w:rPr>
        <w:t xml:space="preserve">(Accessed: </w:t>
      </w:r>
      <w:r>
        <w:rPr>
          <w:color w:val="45B0E1" w:themeColor="accent1" w:themeTint="99"/>
        </w:rPr>
        <w:t>29 July</w:t>
      </w:r>
      <w:r w:rsidRPr="00C233B2">
        <w:rPr>
          <w:color w:val="45B0E1" w:themeColor="accent1" w:themeTint="99"/>
        </w:rPr>
        <w:t xml:space="preserve"> 2025)</w:t>
      </w:r>
    </w:p>
    <w:p w14:paraId="1F80B6E0" w14:textId="20B0AC90" w:rsidR="00C63F4E" w:rsidRDefault="00C63F4E" w:rsidP="00AA174C">
      <w:pPr>
        <w:pStyle w:val="BIB"/>
      </w:pPr>
      <w:r w:rsidRPr="00C63F4E">
        <w:t xml:space="preserve">HCR Law (2024) </w:t>
      </w:r>
      <w:r w:rsidRPr="00C63F4E">
        <w:rPr>
          <w:i/>
          <w:iCs/>
        </w:rPr>
        <w:t>The implications of failing to follow a fair redundancy consultation process.</w:t>
      </w:r>
      <w:r w:rsidRPr="00C63F4E">
        <w:t xml:space="preserve"> Available at: </w:t>
      </w:r>
      <w:hyperlink r:id="rId29" w:tgtFrame="_blank" w:history="1">
        <w:r w:rsidRPr="00C63F4E">
          <w:rPr>
            <w:rStyle w:val="Hyperlink"/>
          </w:rPr>
          <w:t>https://www.hcrlaw.com/news-and-insights/dont-haycocks-it-up-the-implications-of-failing-to-follow-a-fair-redundancy-consultation-process/</w:t>
        </w:r>
      </w:hyperlink>
      <w:r w:rsidRPr="00C63F4E">
        <w:t>. (Accessed: 02 May 2025) </w:t>
      </w:r>
    </w:p>
    <w:p w14:paraId="65B6578C" w14:textId="5FC840C2" w:rsidR="00310830" w:rsidRDefault="00310830" w:rsidP="00AA174C">
      <w:pPr>
        <w:pStyle w:val="BIB"/>
      </w:pPr>
      <w:r>
        <w:t>HR Solutions</w:t>
      </w:r>
      <w:r w:rsidR="008F1950">
        <w:t xml:space="preserve"> (2024) </w:t>
      </w:r>
      <w:r w:rsidR="008F1950" w:rsidRPr="008F1950">
        <w:rPr>
          <w:i/>
          <w:iCs/>
        </w:rPr>
        <w:t>Employment Law Developments in 2024</w:t>
      </w:r>
      <w:r w:rsidR="008F1950">
        <w:rPr>
          <w:i/>
          <w:iCs/>
        </w:rPr>
        <w:t xml:space="preserve">. </w:t>
      </w:r>
      <w:r w:rsidR="008F1950">
        <w:t xml:space="preserve">Available at: </w:t>
      </w:r>
      <w:hyperlink r:id="rId30" w:history="1">
        <w:r w:rsidR="005D6B3F" w:rsidRPr="007456C0">
          <w:rPr>
            <w:rStyle w:val="Hyperlink"/>
          </w:rPr>
          <w:t>https://www.hrsolutions-uk.com/insights/employment-law-developments-in-2024/</w:t>
        </w:r>
      </w:hyperlink>
      <w:r w:rsidR="005D6B3F">
        <w:t>. (Access: 27 May 2025)</w:t>
      </w:r>
    </w:p>
    <w:p w14:paraId="41B75988" w14:textId="0FD147D2" w:rsidR="00F14250" w:rsidRDefault="00F14250" w:rsidP="00AA174C">
      <w:pPr>
        <w:pStyle w:val="BIB"/>
      </w:pPr>
      <w:r>
        <w:t>Landy, M.C</w:t>
      </w:r>
      <w:r w:rsidR="00D54265">
        <w:t xml:space="preserve">. (2017) </w:t>
      </w:r>
      <w:r w:rsidR="00D54265" w:rsidRPr="00660BBC">
        <w:rPr>
          <w:i/>
          <w:iCs/>
        </w:rPr>
        <w:t>Constructive Dismissal: A Guide for Employers</w:t>
      </w:r>
      <w:r w:rsidR="00660BBC">
        <w:t xml:space="preserve">. People Management. Available at: </w:t>
      </w:r>
      <w:hyperlink r:id="rId31" w:history="1">
        <w:r w:rsidR="00BB5571" w:rsidRPr="007456C0">
          <w:rPr>
            <w:rStyle w:val="Hyperlink"/>
          </w:rPr>
          <w:t>https://www.peoplemanagement.co.uk/article/1743377/constructive-dismissal-guide</w:t>
        </w:r>
      </w:hyperlink>
      <w:r w:rsidR="00BB5571">
        <w:t>. (Accessed: 25 May 2025)</w:t>
      </w:r>
    </w:p>
    <w:p w14:paraId="4538124A" w14:textId="4AE80291" w:rsidR="00C62803" w:rsidRDefault="00C62803" w:rsidP="00AA174C">
      <w:pPr>
        <w:pStyle w:val="BIB"/>
      </w:pPr>
      <w:proofErr w:type="spellStart"/>
      <w:r>
        <w:t>Macwilliam</w:t>
      </w:r>
      <w:proofErr w:type="spellEnd"/>
      <w:r w:rsidR="00DF516B">
        <w:t>, C. (</w:t>
      </w:r>
      <w:r w:rsidR="00217DC5">
        <w:t>2023</w:t>
      </w:r>
      <w:r w:rsidR="00DF516B">
        <w:t xml:space="preserve">) </w:t>
      </w:r>
      <w:r w:rsidR="00DF516B" w:rsidRPr="00217DC5">
        <w:rPr>
          <w:i/>
          <w:iCs/>
        </w:rPr>
        <w:t>What Aspects of Employment Are Covered by Law?</w:t>
      </w:r>
      <w:r w:rsidR="00DF516B">
        <w:t xml:space="preserve"> Available at: </w:t>
      </w:r>
      <w:hyperlink r:id="rId32" w:history="1">
        <w:r w:rsidR="0074385C" w:rsidRPr="00F764F7">
          <w:rPr>
            <w:rStyle w:val="Hyperlink"/>
          </w:rPr>
          <w:t>https://www.clough-willis.co.uk/news-events/what-aspects-of-employment-are-covered-by-law</w:t>
        </w:r>
      </w:hyperlink>
      <w:r w:rsidR="0074385C">
        <w:t xml:space="preserve">. </w:t>
      </w:r>
      <w:r w:rsidR="00217DC5">
        <w:t>(Accessed: 22 April 2025)</w:t>
      </w:r>
    </w:p>
    <w:p w14:paraId="380A4749" w14:textId="310B198E" w:rsidR="00C63F4E" w:rsidRDefault="00C63F4E" w:rsidP="00AA174C">
      <w:pPr>
        <w:pStyle w:val="BIB"/>
      </w:pPr>
      <w:r w:rsidRPr="00C63F4E">
        <w:t xml:space="preserve">Maternity Action (2025) </w:t>
      </w:r>
      <w:r w:rsidRPr="00C63F4E">
        <w:rPr>
          <w:i/>
          <w:iCs/>
        </w:rPr>
        <w:t>Shared parental leave and pay</w:t>
      </w:r>
      <w:r w:rsidRPr="00C63F4E">
        <w:t xml:space="preserve">. Available at: </w:t>
      </w:r>
      <w:hyperlink r:id="rId33" w:anchor="Who_can_take_shared_parental_leave" w:tgtFrame="_blank" w:history="1">
        <w:r w:rsidRPr="00C63F4E">
          <w:rPr>
            <w:rStyle w:val="Hyperlink"/>
          </w:rPr>
          <w:t>https://maternityaction.org.uk/advice/shared-parental-leave-and-pay/#Who_can_take_shared_parental_leave</w:t>
        </w:r>
      </w:hyperlink>
      <w:r w:rsidRPr="00C63F4E">
        <w:t>. (Accessed: 20 May 2025) </w:t>
      </w:r>
    </w:p>
    <w:p w14:paraId="35F31359" w14:textId="77777777" w:rsidR="003037CF" w:rsidRDefault="00A719AB" w:rsidP="00AA174C">
      <w:pPr>
        <w:pStyle w:val="BIB"/>
      </w:pPr>
      <w:r w:rsidRPr="00C233B2">
        <w:rPr>
          <w:color w:val="45B0E1" w:themeColor="accent1" w:themeTint="99"/>
        </w:rPr>
        <w:t xml:space="preserve">Mullins, L.J. and Christy, G. (2023) Management and Organisational Behaviour. 12th </w:t>
      </w:r>
      <w:proofErr w:type="spellStart"/>
      <w:r w:rsidRPr="00C233B2">
        <w:rPr>
          <w:color w:val="45B0E1" w:themeColor="accent1" w:themeTint="99"/>
        </w:rPr>
        <w:t>edn</w:t>
      </w:r>
      <w:proofErr w:type="spellEnd"/>
      <w:r w:rsidRPr="00C233B2">
        <w:rPr>
          <w:color w:val="45B0E1" w:themeColor="accent1" w:themeTint="99"/>
        </w:rPr>
        <w:t>. Harlow: Pearson Education Limited</w:t>
      </w:r>
      <w:r w:rsidRPr="00A719AB">
        <w:t>.</w:t>
      </w:r>
    </w:p>
    <w:p w14:paraId="3BCCC8F4" w14:textId="147A614A" w:rsidR="00134D5A" w:rsidRDefault="00134D5A" w:rsidP="00AA174C">
      <w:pPr>
        <w:pStyle w:val="BIB"/>
      </w:pPr>
      <w:r>
        <w:t xml:space="preserve">NHS (2024) </w:t>
      </w:r>
      <w:r w:rsidRPr="00134D5A">
        <w:rPr>
          <w:i/>
          <w:iCs/>
        </w:rPr>
        <w:t>Maternity and paternity benefits and leave</w:t>
      </w:r>
      <w:r>
        <w:t xml:space="preserve">. Available at: </w:t>
      </w:r>
      <w:hyperlink r:id="rId34" w:history="1">
        <w:r w:rsidRPr="007456C0">
          <w:rPr>
            <w:rStyle w:val="Hyperlink"/>
          </w:rPr>
          <w:t>https://www.nhs.uk/pregnancy/finding-out/maternity-and-paternity-benefits-and-leave/</w:t>
        </w:r>
      </w:hyperlink>
      <w:r>
        <w:t>. (Accessed: 20 May 2025)</w:t>
      </w:r>
    </w:p>
    <w:p w14:paraId="356E4326" w14:textId="251E2A0B" w:rsidR="008D3383" w:rsidRDefault="007E4D8F" w:rsidP="008D3383">
      <w:pPr>
        <w:pStyle w:val="BIB"/>
      </w:pPr>
      <w:r>
        <w:t xml:space="preserve">NHS JEG (2024) </w:t>
      </w:r>
      <w:r w:rsidR="008D3383" w:rsidRPr="00D86915">
        <w:rPr>
          <w:i/>
          <w:iCs/>
        </w:rPr>
        <w:t>NHS Job Evaluation Handbook</w:t>
      </w:r>
      <w:r>
        <w:t xml:space="preserve">. Available at: </w:t>
      </w:r>
      <w:hyperlink r:id="rId35" w:history="1">
        <w:r w:rsidR="00D86915" w:rsidRPr="007456C0">
          <w:rPr>
            <w:rStyle w:val="Hyperlink"/>
          </w:rPr>
          <w:t>https://www.nhsemployers.org/publications/nhs-job-evaluation-handbook</w:t>
        </w:r>
      </w:hyperlink>
      <w:r w:rsidR="00D86915">
        <w:t>. (Accessed: 17 May 2025)</w:t>
      </w:r>
    </w:p>
    <w:p w14:paraId="050EAE47" w14:textId="4E33FF0F" w:rsidR="00D26967" w:rsidRDefault="00D26967" w:rsidP="00AA174C">
      <w:pPr>
        <w:pStyle w:val="BIB"/>
      </w:pPr>
      <w:r w:rsidRPr="00D26967">
        <w:t xml:space="preserve">Nolan, P. (2018). </w:t>
      </w:r>
      <w:r w:rsidRPr="00DE5D9A">
        <w:rPr>
          <w:i/>
          <w:iCs/>
        </w:rPr>
        <w:t>Good Work: The Taylor Review of Modern Working Practices</w:t>
      </w:r>
      <w:r w:rsidRPr="00D26967">
        <w:t xml:space="preserve">. </w:t>
      </w:r>
      <w:r w:rsidRPr="00DE5D9A">
        <w:t>Industrial Relations Journal,</w:t>
      </w:r>
      <w:r w:rsidRPr="00D26967">
        <w:t xml:space="preserve"> </w:t>
      </w:r>
      <w:r w:rsidRPr="00D26967">
        <w:rPr>
          <w:i/>
          <w:iCs/>
        </w:rPr>
        <w:t>49</w:t>
      </w:r>
      <w:r w:rsidRPr="00D26967">
        <w:t xml:space="preserve">(5–6), 400–402. </w:t>
      </w:r>
      <w:hyperlink r:id="rId36" w:history="1">
        <w:r w:rsidRPr="00A53109">
          <w:rPr>
            <w:rStyle w:val="Hyperlink"/>
          </w:rPr>
          <w:t>https://doi.org/10.1111/irj.12239</w:t>
        </w:r>
      </w:hyperlink>
    </w:p>
    <w:p w14:paraId="5D7370E7" w14:textId="2D2AEECA" w:rsidR="00C4373D" w:rsidRDefault="00C63F4E" w:rsidP="00AA174C">
      <w:pPr>
        <w:pStyle w:val="BIB"/>
      </w:pPr>
      <w:r w:rsidRPr="00C63F4E">
        <w:t xml:space="preserve">People HR (2024) </w:t>
      </w:r>
      <w:r w:rsidRPr="00C63F4E">
        <w:rPr>
          <w:i/>
          <w:iCs/>
        </w:rPr>
        <w:t>A guide to rolled up holiday pay in 2024</w:t>
      </w:r>
      <w:r w:rsidRPr="00C63F4E">
        <w:t xml:space="preserve">. Available at: </w:t>
      </w:r>
      <w:hyperlink r:id="rId37" w:tgtFrame="_blank" w:history="1">
        <w:r w:rsidRPr="00C63F4E">
          <w:rPr>
            <w:rStyle w:val="Hyperlink"/>
          </w:rPr>
          <w:t>https://www.peoplehr.com/en-gb/resources/blog/rolled-up-holiday-pay/</w:t>
        </w:r>
      </w:hyperlink>
      <w:r w:rsidRPr="00C63F4E">
        <w:t>. (Accessed: 09 May 2025) </w:t>
      </w:r>
      <w:r w:rsidR="00C4373D">
        <w:t xml:space="preserve">PM Editorial (2025) </w:t>
      </w:r>
      <w:r w:rsidR="00C4373D" w:rsidRPr="00C4373D">
        <w:rPr>
          <w:i/>
          <w:iCs/>
        </w:rPr>
        <w:t>Employment law: what to expect in 2025</w:t>
      </w:r>
      <w:r w:rsidR="00C4373D">
        <w:t xml:space="preserve">. Available at: </w:t>
      </w:r>
      <w:hyperlink r:id="rId38" w:history="1">
        <w:r w:rsidR="00C4373D" w:rsidRPr="00A53109">
          <w:rPr>
            <w:rStyle w:val="Hyperlink"/>
          </w:rPr>
          <w:t>https://www.peoplemanagement.co.uk/article/1901051/employment-law-expect-2025</w:t>
        </w:r>
      </w:hyperlink>
      <w:r w:rsidR="00C4373D">
        <w:t>. (Accessed: 20 April 2025)</w:t>
      </w:r>
    </w:p>
    <w:p w14:paraId="63EB1419" w14:textId="1E276E5C" w:rsidR="00A00978" w:rsidRDefault="00A00978" w:rsidP="00AA174C">
      <w:pPr>
        <w:pStyle w:val="BIB"/>
      </w:pPr>
      <w:r>
        <w:t>Pop</w:t>
      </w:r>
      <w:r w:rsidR="000E5AC4">
        <w:t xml:space="preserve">at, J. (2019) </w:t>
      </w:r>
      <w:r w:rsidR="000E5AC4" w:rsidRPr="00CB0BB0">
        <w:rPr>
          <w:i/>
          <w:iCs/>
        </w:rPr>
        <w:t>Avoiding discrimination during the recruitment process</w:t>
      </w:r>
      <w:r w:rsidR="000E5AC4">
        <w:t>. People Management</w:t>
      </w:r>
      <w:r w:rsidR="00C52F37">
        <w:t xml:space="preserve">. Available at: </w:t>
      </w:r>
      <w:hyperlink r:id="rId39" w:history="1">
        <w:r w:rsidR="00CB0BB0" w:rsidRPr="00F764F7">
          <w:rPr>
            <w:rStyle w:val="Hyperlink"/>
          </w:rPr>
          <w:t>https://www.peoplemanagement.co.uk/article/1741282/avoiding-discrimination-during-recruitment-process</w:t>
        </w:r>
      </w:hyperlink>
      <w:r w:rsidR="00CB0BB0">
        <w:t>. (Accessed: 27 April 2025)</w:t>
      </w:r>
    </w:p>
    <w:p w14:paraId="59EED35C" w14:textId="02DF7DBB" w:rsidR="007B6B98" w:rsidRDefault="007B6B98" w:rsidP="00AA174C">
      <w:pPr>
        <w:pStyle w:val="BIB"/>
      </w:pPr>
      <w:r>
        <w:t xml:space="preserve">Symonds, C. and </w:t>
      </w:r>
      <w:proofErr w:type="spellStart"/>
      <w:r>
        <w:t>Curnock</w:t>
      </w:r>
      <w:proofErr w:type="spellEnd"/>
      <w:r>
        <w:t xml:space="preserve">, J. (2024) </w:t>
      </w:r>
      <w:r w:rsidRPr="007B6B98">
        <w:rPr>
          <w:i/>
          <w:iCs/>
        </w:rPr>
        <w:t>Employment Law Changes 2024</w:t>
      </w:r>
      <w:r>
        <w:t xml:space="preserve">. Available at: </w:t>
      </w:r>
      <w:hyperlink r:id="rId40" w:anchor=":~:text=UK%20employment%20laws%20aim%20to,Dismissal%20and%20employee%20grievances" w:history="1">
        <w:r w:rsidRPr="00A53109">
          <w:rPr>
            <w:rStyle w:val="Hyperlink"/>
          </w:rPr>
          <w:t>https://factorialhr.co.uk/blog/uk-employment-laws/#:~:text=UK%20employment%20laws%20aim%20to,Dismissal%20and%20employee%20grievances</w:t>
        </w:r>
      </w:hyperlink>
      <w:r>
        <w:t>. (Accessed: 20 April 2025)</w:t>
      </w:r>
    </w:p>
    <w:p w14:paraId="55E2CDF3" w14:textId="7B21C77C" w:rsidR="00D26967" w:rsidRDefault="00D26967" w:rsidP="00AA174C">
      <w:pPr>
        <w:pStyle w:val="BIB"/>
      </w:pPr>
      <w:r w:rsidRPr="00D26967">
        <w:t xml:space="preserve">Taylor, S., &amp; Emir, A. (2019). </w:t>
      </w:r>
      <w:r w:rsidRPr="00D26967">
        <w:rPr>
          <w:i/>
          <w:iCs/>
        </w:rPr>
        <w:t>Employment law: an introduction</w:t>
      </w:r>
      <w:r w:rsidRPr="00D26967">
        <w:t xml:space="preserve"> (Fifth edition.). Oxford University Press.</w:t>
      </w:r>
    </w:p>
    <w:p w14:paraId="193E58C9" w14:textId="777F5B53" w:rsidR="002567ED" w:rsidRPr="00D26967" w:rsidRDefault="002567ED" w:rsidP="00AA174C">
      <w:pPr>
        <w:pStyle w:val="BIB"/>
        <w:rPr>
          <w:i/>
          <w:iCs/>
        </w:rPr>
      </w:pPr>
      <w:r>
        <w:t xml:space="preserve">The National Archives (2025) </w:t>
      </w:r>
      <w:r w:rsidR="00FA716C" w:rsidRPr="00FA716C">
        <w:rPr>
          <w:i/>
          <w:iCs/>
        </w:rPr>
        <w:t>Employment Rights Act 1996</w:t>
      </w:r>
      <w:r>
        <w:t xml:space="preserve">. Available at: </w:t>
      </w:r>
      <w:r w:rsidR="00FA716C" w:rsidRPr="00FA716C">
        <w:t>https://www.legislation.gov.uk/ukpga/1996/18/contents</w:t>
      </w:r>
      <w:hyperlink r:id="rId41" w:history="1"/>
      <w:r>
        <w:t>. (Accessed: 22 April 2025)</w:t>
      </w:r>
    </w:p>
    <w:p w14:paraId="485BD900" w14:textId="5F80ACFA" w:rsidR="00B07675" w:rsidRDefault="00B07675" w:rsidP="00AA174C">
      <w:pPr>
        <w:pStyle w:val="BIB"/>
      </w:pPr>
      <w:r>
        <w:lastRenderedPageBreak/>
        <w:t xml:space="preserve">The National Archives (2025a) </w:t>
      </w:r>
      <w:r w:rsidRPr="005E4869">
        <w:rPr>
          <w:i/>
          <w:iCs/>
        </w:rPr>
        <w:t>Equality Act 2010</w:t>
      </w:r>
      <w:r>
        <w:t xml:space="preserve">. Available at: </w:t>
      </w:r>
      <w:hyperlink r:id="rId42" w:history="1">
        <w:r w:rsidRPr="00A53109">
          <w:rPr>
            <w:rStyle w:val="Hyperlink"/>
          </w:rPr>
          <w:t>https://www.legislation.gov.uk/ukpga/2010/15/contents</w:t>
        </w:r>
      </w:hyperlink>
      <w:r>
        <w:t>. (Accessed: 22 April 2025)</w:t>
      </w:r>
    </w:p>
    <w:p w14:paraId="4C1CB581" w14:textId="47A00F68" w:rsidR="00CD4E42" w:rsidRPr="00D26967" w:rsidRDefault="00CD4E42" w:rsidP="00AA174C">
      <w:pPr>
        <w:pStyle w:val="BIB"/>
        <w:rPr>
          <w:i/>
          <w:iCs/>
        </w:rPr>
      </w:pPr>
      <w:r>
        <w:t>The National Archives (2025</w:t>
      </w:r>
      <w:r w:rsidR="00B07675">
        <w:t>b</w:t>
      </w:r>
      <w:r>
        <w:t xml:space="preserve">) </w:t>
      </w:r>
      <w:r w:rsidRPr="00FB1D87">
        <w:rPr>
          <w:i/>
          <w:iCs/>
        </w:rPr>
        <w:t>Health and Safety at Work etc. Act 1974</w:t>
      </w:r>
      <w:r>
        <w:t xml:space="preserve">. Available at: </w:t>
      </w:r>
      <w:r w:rsidRPr="001A4C1D">
        <w:t>https://www.legislation.gov.uk/ukpga/1974/37/contents</w:t>
      </w:r>
      <w:hyperlink r:id="rId43" w:history="1"/>
      <w:r>
        <w:t>. (Accessed: 22 April 2025)</w:t>
      </w:r>
    </w:p>
    <w:p w14:paraId="68A46802" w14:textId="723AE4F4" w:rsidR="00CA2554" w:rsidRDefault="00CA2554" w:rsidP="00AA174C">
      <w:pPr>
        <w:pStyle w:val="BIB"/>
      </w:pPr>
      <w:r>
        <w:t xml:space="preserve">The National Archives (2025c) </w:t>
      </w:r>
      <w:r w:rsidRPr="00822E97">
        <w:rPr>
          <w:i/>
          <w:iCs/>
        </w:rPr>
        <w:t>The Personal Protective Equipment at Work Regulations 1992</w:t>
      </w:r>
      <w:r>
        <w:t>. Available at:</w:t>
      </w:r>
      <w:r w:rsidRPr="00A13861">
        <w:t xml:space="preserve"> https://www.legislation.gov.uk/uksi/1992/2966/contents</w:t>
      </w:r>
      <w:r>
        <w:t>. (Accessed: 22 April 2025)</w:t>
      </w:r>
    </w:p>
    <w:p w14:paraId="046C0104" w14:textId="1D8A21DF" w:rsidR="00CD4E42" w:rsidRDefault="00CD4E42" w:rsidP="00AA174C">
      <w:pPr>
        <w:pStyle w:val="BIB"/>
      </w:pPr>
      <w:r>
        <w:t>The National Archives (2025</w:t>
      </w:r>
      <w:r w:rsidR="00CA2554">
        <w:t>d</w:t>
      </w:r>
      <w:r>
        <w:t xml:space="preserve">) </w:t>
      </w:r>
      <w:r w:rsidRPr="00AC158F">
        <w:rPr>
          <w:i/>
          <w:iCs/>
        </w:rPr>
        <w:t>The Working Time Regulations 1998</w:t>
      </w:r>
      <w:r>
        <w:t xml:space="preserve">. Available at: </w:t>
      </w:r>
      <w:r w:rsidRPr="000B787F">
        <w:t>https://www.legislation.gov.uk/uksi/1998/1833/contents</w:t>
      </w:r>
      <w:hyperlink r:id="rId44" w:history="1"/>
      <w:r>
        <w:t>. (Accessed: 22 April 2025)</w:t>
      </w:r>
    </w:p>
    <w:p w14:paraId="0A425C07" w14:textId="2DB6876B" w:rsidR="007420EA" w:rsidRDefault="007420EA" w:rsidP="00AA174C">
      <w:pPr>
        <w:pStyle w:val="BIB"/>
      </w:pPr>
      <w:r>
        <w:t xml:space="preserve">Travis Smith (2024) </w:t>
      </w:r>
      <w:r w:rsidRPr="007420EA">
        <w:rPr>
          <w:i/>
          <w:iCs/>
        </w:rPr>
        <w:t>Retained EU law: 10 key questions</w:t>
      </w:r>
      <w:r>
        <w:t>. Available at:</w:t>
      </w:r>
      <w:r w:rsidR="009F1F9E">
        <w:t xml:space="preserve"> </w:t>
      </w:r>
      <w:hyperlink r:id="rId45" w:history="1">
        <w:r w:rsidR="009F1F9E" w:rsidRPr="007456C0">
          <w:rPr>
            <w:rStyle w:val="Hyperlink"/>
          </w:rPr>
          <w:t>https://www.traverssmith.com/knowledge/knowledge-container/retained-eu-law-10-key-questions</w:t>
        </w:r>
      </w:hyperlink>
      <w:r w:rsidR="009F1F9E">
        <w:t>. (Accessed: 2</w:t>
      </w:r>
      <w:r w:rsidR="00523228">
        <w:t>2 May 2025)</w:t>
      </w:r>
    </w:p>
    <w:p w14:paraId="72621FD0" w14:textId="7A5782D0" w:rsidR="00C63F4E" w:rsidRDefault="00C63F4E" w:rsidP="00AA174C">
      <w:pPr>
        <w:pStyle w:val="BIB"/>
      </w:pPr>
      <w:r w:rsidRPr="00C63F4E">
        <w:t xml:space="preserve">Schutte, S. (2017) </w:t>
      </w:r>
      <w:r w:rsidRPr="00C63F4E">
        <w:rPr>
          <w:i/>
          <w:iCs/>
        </w:rPr>
        <w:t>Difference between maternity, paternity and shared parental leave</w:t>
      </w:r>
      <w:r w:rsidRPr="00C63F4E">
        <w:t xml:space="preserve">. Available at: </w:t>
      </w:r>
      <w:hyperlink r:id="rId46" w:tgtFrame="_blank" w:history="1">
        <w:r w:rsidRPr="00C63F4E">
          <w:rPr>
            <w:rStyle w:val="Hyperlink"/>
          </w:rPr>
          <w:t>https://realbusiness.co.uk/difference-between-maternity-paternity-and-shared-parental-leave</w:t>
        </w:r>
      </w:hyperlink>
      <w:r w:rsidRPr="00C63F4E">
        <w:t>. (Accessed: 15 May 2025)  </w:t>
      </w:r>
    </w:p>
    <w:p w14:paraId="71071166" w14:textId="111BCBB2" w:rsidR="00387289" w:rsidRPr="00D26967" w:rsidRDefault="00387289" w:rsidP="00AA174C">
      <w:pPr>
        <w:pStyle w:val="BIB"/>
      </w:pPr>
      <w:r>
        <w:t>Turner</w:t>
      </w:r>
      <w:r w:rsidR="005C230F">
        <w:t xml:space="preserve">, A. (2005) </w:t>
      </w:r>
      <w:r w:rsidR="005C230F" w:rsidRPr="003322EE">
        <w:rPr>
          <w:i/>
          <w:iCs/>
        </w:rPr>
        <w:t>Right and wrong sides of the law</w:t>
      </w:r>
      <w:r w:rsidR="0096182D" w:rsidRPr="003322EE">
        <w:rPr>
          <w:i/>
          <w:iCs/>
        </w:rPr>
        <w:t>.</w:t>
      </w:r>
      <w:r w:rsidR="0096182D">
        <w:t xml:space="preserve"> People Management</w:t>
      </w:r>
      <w:r w:rsidR="00B460B8">
        <w:t xml:space="preserve">. </w:t>
      </w:r>
      <w:r w:rsidR="003322EE">
        <w:t xml:space="preserve">Available at: </w:t>
      </w:r>
      <w:hyperlink r:id="rId47" w:history="1">
        <w:r w:rsidR="003322EE" w:rsidRPr="00F764F7">
          <w:rPr>
            <w:rStyle w:val="Hyperlink"/>
          </w:rPr>
          <w:t>https://www.peoplemanagement.co.uk/article/1745650/right-wrong-sides-law</w:t>
        </w:r>
      </w:hyperlink>
      <w:r w:rsidR="003322EE">
        <w:t>. (Accessed: 25 April 2025)</w:t>
      </w:r>
    </w:p>
    <w:p w14:paraId="4BFD6277" w14:textId="77777777" w:rsidR="00343B58" w:rsidRDefault="00343B58" w:rsidP="00AA174C">
      <w:pPr>
        <w:pStyle w:val="BIB"/>
      </w:pPr>
    </w:p>
    <w:p w14:paraId="06ECF918" w14:textId="77777777" w:rsidR="00CD4E42" w:rsidRDefault="00CD4E42" w:rsidP="00AA174C">
      <w:pPr>
        <w:pStyle w:val="BIB"/>
      </w:pPr>
    </w:p>
    <w:p w14:paraId="3CA8ACB5" w14:textId="77777777" w:rsidR="001B7967" w:rsidRPr="00D26967" w:rsidRDefault="001B7967" w:rsidP="00AA174C">
      <w:pPr>
        <w:pStyle w:val="BIB"/>
      </w:pPr>
    </w:p>
    <w:p w14:paraId="76E2D07A" w14:textId="77777777" w:rsidR="00D26967" w:rsidRDefault="00D26967" w:rsidP="00AA174C">
      <w:pPr>
        <w:pStyle w:val="BIB"/>
      </w:pPr>
    </w:p>
    <w:sectPr w:rsidR="00D26967" w:rsidSect="00884150">
      <w:headerReference w:type="even" r:id="rId48"/>
      <w:headerReference w:type="default" r:id="rId49"/>
      <w:footerReference w:type="even" r:id="rId50"/>
      <w:footerReference w:type="default" r:id="rId51"/>
      <w:headerReference w:type="first" r:id="rId52"/>
      <w:footerReference w:type="first" r:id="rId5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79EA1" w14:textId="77777777" w:rsidR="00BB7D26" w:rsidRDefault="00BB7D26" w:rsidP="00C80377">
      <w:pPr>
        <w:spacing w:before="0" w:after="0" w:line="240" w:lineRule="auto"/>
      </w:pPr>
      <w:r>
        <w:separator/>
      </w:r>
    </w:p>
  </w:endnote>
  <w:endnote w:type="continuationSeparator" w:id="0">
    <w:p w14:paraId="0ADB7E29" w14:textId="77777777" w:rsidR="00BB7D26" w:rsidRDefault="00BB7D26" w:rsidP="00C80377">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A1F0D" w14:textId="77777777" w:rsidR="00C80377" w:rsidRDefault="00C803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892F5" w14:textId="77777777" w:rsidR="00E6177D" w:rsidRDefault="00E6177D" w:rsidP="00E6177D">
    <w:pPr>
      <w:pStyle w:val="Footer"/>
      <w:tabs>
        <w:tab w:val="clear" w:pos="4513"/>
        <w:tab w:val="clear" w:pos="9026"/>
        <w:tab w:val="left" w:pos="5955"/>
      </w:tabs>
    </w:pPr>
    <w:r>
      <w:tab/>
    </w:r>
  </w:p>
  <w:tbl>
    <w:tblPr>
      <w:tblW w:w="0" w:type="auto"/>
      <w:tblLayout w:type="fixed"/>
      <w:tblLook w:val="06A0" w:firstRow="1" w:lastRow="0" w:firstColumn="1" w:lastColumn="0" w:noHBand="1" w:noVBand="1"/>
    </w:tblPr>
    <w:tblGrid>
      <w:gridCol w:w="3600"/>
      <w:gridCol w:w="3600"/>
      <w:gridCol w:w="3600"/>
    </w:tblGrid>
    <w:tr w:rsidR="00E6177D" w:rsidRPr="00E6177D" w14:paraId="158719A8" w14:textId="77777777" w:rsidTr="00C61E45">
      <w:trPr>
        <w:trHeight w:val="300"/>
      </w:trPr>
      <w:tc>
        <w:tcPr>
          <w:tcW w:w="3600" w:type="dxa"/>
        </w:tcPr>
        <w:p w14:paraId="70AA7D8B" w14:textId="6CFBB010" w:rsidR="00E6177D" w:rsidRPr="00E6177D" w:rsidRDefault="00E6177D" w:rsidP="00E6177D">
          <w:pPr>
            <w:pStyle w:val="Header"/>
            <w:ind w:left="-115"/>
            <w:rPr>
              <w:sz w:val="20"/>
              <w:szCs w:val="20"/>
            </w:rPr>
          </w:pPr>
          <w:r w:rsidRPr="00E6177D">
            <w:rPr>
              <w:sz w:val="20"/>
              <w:szCs w:val="20"/>
            </w:rPr>
            <w:t>Employment Law</w:t>
          </w:r>
        </w:p>
      </w:tc>
      <w:tc>
        <w:tcPr>
          <w:tcW w:w="3600" w:type="dxa"/>
        </w:tcPr>
        <w:p w14:paraId="579F34B5" w14:textId="77777777" w:rsidR="00E6177D" w:rsidRPr="00E6177D" w:rsidRDefault="00E6177D" w:rsidP="00E6177D">
          <w:pPr>
            <w:pStyle w:val="Header"/>
            <w:jc w:val="center"/>
            <w:rPr>
              <w:sz w:val="20"/>
              <w:szCs w:val="20"/>
            </w:rPr>
          </w:pPr>
          <w:r w:rsidRPr="00E6177D">
            <w:rPr>
              <w:sz w:val="20"/>
              <w:szCs w:val="20"/>
            </w:rPr>
            <w:fldChar w:fldCharType="begin"/>
          </w:r>
          <w:r w:rsidRPr="00E6177D">
            <w:rPr>
              <w:sz w:val="20"/>
              <w:szCs w:val="20"/>
            </w:rPr>
            <w:instrText>PAGE</w:instrText>
          </w:r>
          <w:r w:rsidRPr="00E6177D">
            <w:rPr>
              <w:sz w:val="20"/>
              <w:szCs w:val="20"/>
            </w:rPr>
            <w:fldChar w:fldCharType="separate"/>
          </w:r>
          <w:r w:rsidRPr="00E6177D">
            <w:rPr>
              <w:noProof/>
              <w:sz w:val="20"/>
              <w:szCs w:val="20"/>
            </w:rPr>
            <w:t>1</w:t>
          </w:r>
          <w:r w:rsidRPr="00E6177D">
            <w:rPr>
              <w:sz w:val="20"/>
              <w:szCs w:val="20"/>
            </w:rPr>
            <w:fldChar w:fldCharType="end"/>
          </w:r>
          <w:r w:rsidRPr="00E6177D">
            <w:rPr>
              <w:sz w:val="20"/>
              <w:szCs w:val="20"/>
            </w:rPr>
            <w:t xml:space="preserve"> of </w:t>
          </w:r>
          <w:r w:rsidRPr="00E6177D">
            <w:rPr>
              <w:sz w:val="20"/>
              <w:szCs w:val="20"/>
            </w:rPr>
            <w:fldChar w:fldCharType="begin"/>
          </w:r>
          <w:r w:rsidRPr="00E6177D">
            <w:rPr>
              <w:sz w:val="20"/>
              <w:szCs w:val="20"/>
            </w:rPr>
            <w:instrText>NUMPAGES</w:instrText>
          </w:r>
          <w:r w:rsidRPr="00E6177D">
            <w:rPr>
              <w:sz w:val="20"/>
              <w:szCs w:val="20"/>
            </w:rPr>
            <w:fldChar w:fldCharType="separate"/>
          </w:r>
          <w:r w:rsidRPr="00E6177D">
            <w:rPr>
              <w:noProof/>
              <w:sz w:val="20"/>
              <w:szCs w:val="20"/>
            </w:rPr>
            <w:t>2</w:t>
          </w:r>
          <w:r w:rsidRPr="00E6177D">
            <w:rPr>
              <w:sz w:val="20"/>
              <w:szCs w:val="20"/>
            </w:rPr>
            <w:fldChar w:fldCharType="end"/>
          </w:r>
        </w:p>
      </w:tc>
      <w:tc>
        <w:tcPr>
          <w:tcW w:w="3600" w:type="dxa"/>
        </w:tcPr>
        <w:p w14:paraId="11B5DD4C" w14:textId="77777777" w:rsidR="00E6177D" w:rsidRPr="00E6177D" w:rsidRDefault="00E6177D" w:rsidP="00E6177D">
          <w:pPr>
            <w:pStyle w:val="Header"/>
            <w:ind w:right="-115"/>
            <w:jc w:val="right"/>
            <w:rPr>
              <w:sz w:val="20"/>
              <w:szCs w:val="20"/>
            </w:rPr>
          </w:pPr>
          <w:r w:rsidRPr="00E6177D">
            <w:rPr>
              <w:sz w:val="20"/>
              <w:szCs w:val="20"/>
            </w:rPr>
            <w:t>Claire Smith</w:t>
          </w:r>
        </w:p>
        <w:p w14:paraId="08F76269" w14:textId="77777777" w:rsidR="00E6177D" w:rsidRPr="00E6177D" w:rsidRDefault="00E6177D" w:rsidP="00E6177D">
          <w:pPr>
            <w:pStyle w:val="Header"/>
            <w:ind w:right="-115"/>
            <w:jc w:val="center"/>
            <w:rPr>
              <w:sz w:val="20"/>
              <w:szCs w:val="20"/>
            </w:rPr>
          </w:pPr>
          <w:r w:rsidRPr="00E6177D">
            <w:rPr>
              <w:sz w:val="20"/>
              <w:szCs w:val="20"/>
            </w:rPr>
            <w:t>CIPD Membership Number: 88340471</w:t>
          </w:r>
        </w:p>
      </w:tc>
    </w:tr>
  </w:tbl>
  <w:p w14:paraId="61C51C58" w14:textId="6411A876" w:rsidR="00C80377" w:rsidRPr="00E6177D" w:rsidRDefault="00C80377" w:rsidP="00E6177D">
    <w:pPr>
      <w:pStyle w:val="Footer"/>
      <w:tabs>
        <w:tab w:val="clear" w:pos="4513"/>
        <w:tab w:val="clear" w:pos="9026"/>
        <w:tab w:val="left" w:pos="5955"/>
      </w:tabs>
      <w:rPr>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351C1" w14:textId="77777777" w:rsidR="00C80377" w:rsidRDefault="00C803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EF77E" w14:textId="77777777" w:rsidR="00BB7D26" w:rsidRDefault="00BB7D26" w:rsidP="00C80377">
      <w:pPr>
        <w:spacing w:before="0" w:after="0" w:line="240" w:lineRule="auto"/>
      </w:pPr>
      <w:r>
        <w:separator/>
      </w:r>
    </w:p>
  </w:footnote>
  <w:footnote w:type="continuationSeparator" w:id="0">
    <w:p w14:paraId="1DB48DEB" w14:textId="77777777" w:rsidR="00BB7D26" w:rsidRDefault="00BB7D26" w:rsidP="00C80377">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FA648B" w14:textId="77777777" w:rsidR="00C80377" w:rsidRDefault="00C803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3FDBD9" w14:textId="77777777" w:rsidR="00C80377" w:rsidRDefault="00C8037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3E425" w14:textId="77777777" w:rsidR="00C80377" w:rsidRDefault="00C803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840C1"/>
    <w:multiLevelType w:val="hybridMultilevel"/>
    <w:tmpl w:val="BA5010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A41B77"/>
    <w:multiLevelType w:val="multilevel"/>
    <w:tmpl w:val="B4D6F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0E35A17"/>
    <w:multiLevelType w:val="multilevel"/>
    <w:tmpl w:val="EBD266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B56170"/>
    <w:multiLevelType w:val="multilevel"/>
    <w:tmpl w:val="8BAE3D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5A764E5"/>
    <w:multiLevelType w:val="multilevel"/>
    <w:tmpl w:val="BD226D5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26697344">
    <w:abstractNumId w:val="3"/>
  </w:num>
  <w:num w:numId="2" w16cid:durableId="1948656913">
    <w:abstractNumId w:val="2"/>
  </w:num>
  <w:num w:numId="3" w16cid:durableId="995570046">
    <w:abstractNumId w:val="4"/>
  </w:num>
  <w:num w:numId="4" w16cid:durableId="2013988800">
    <w:abstractNumId w:val="0"/>
  </w:num>
  <w:num w:numId="5" w16cid:durableId="20825609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967"/>
    <w:rsid w:val="00002342"/>
    <w:rsid w:val="000036E3"/>
    <w:rsid w:val="00005E12"/>
    <w:rsid w:val="0000611C"/>
    <w:rsid w:val="00011723"/>
    <w:rsid w:val="00011894"/>
    <w:rsid w:val="00014A02"/>
    <w:rsid w:val="00016186"/>
    <w:rsid w:val="00016699"/>
    <w:rsid w:val="00020671"/>
    <w:rsid w:val="00020FA9"/>
    <w:rsid w:val="00021920"/>
    <w:rsid w:val="000235D1"/>
    <w:rsid w:val="0002427A"/>
    <w:rsid w:val="000243A4"/>
    <w:rsid w:val="00024857"/>
    <w:rsid w:val="00024E3C"/>
    <w:rsid w:val="00025BE2"/>
    <w:rsid w:val="00030905"/>
    <w:rsid w:val="00032AFF"/>
    <w:rsid w:val="0003359F"/>
    <w:rsid w:val="00034199"/>
    <w:rsid w:val="000352EE"/>
    <w:rsid w:val="000461B7"/>
    <w:rsid w:val="00047F1B"/>
    <w:rsid w:val="00051B77"/>
    <w:rsid w:val="000541B1"/>
    <w:rsid w:val="00057DE4"/>
    <w:rsid w:val="00060F28"/>
    <w:rsid w:val="000666ED"/>
    <w:rsid w:val="00071E4E"/>
    <w:rsid w:val="00072F22"/>
    <w:rsid w:val="0007326D"/>
    <w:rsid w:val="00073352"/>
    <w:rsid w:val="000821C8"/>
    <w:rsid w:val="0008276E"/>
    <w:rsid w:val="000855B8"/>
    <w:rsid w:val="000863B0"/>
    <w:rsid w:val="00087A81"/>
    <w:rsid w:val="00090671"/>
    <w:rsid w:val="00091C74"/>
    <w:rsid w:val="00093898"/>
    <w:rsid w:val="000968EC"/>
    <w:rsid w:val="000A0C39"/>
    <w:rsid w:val="000A0D7A"/>
    <w:rsid w:val="000A0FAA"/>
    <w:rsid w:val="000A1F12"/>
    <w:rsid w:val="000A2F9F"/>
    <w:rsid w:val="000A6192"/>
    <w:rsid w:val="000A71A7"/>
    <w:rsid w:val="000B2420"/>
    <w:rsid w:val="000B31FA"/>
    <w:rsid w:val="000B530F"/>
    <w:rsid w:val="000B5558"/>
    <w:rsid w:val="000B6725"/>
    <w:rsid w:val="000B6AEF"/>
    <w:rsid w:val="000B787F"/>
    <w:rsid w:val="000B7B18"/>
    <w:rsid w:val="000C1BAD"/>
    <w:rsid w:val="000C6972"/>
    <w:rsid w:val="000C756D"/>
    <w:rsid w:val="000D126E"/>
    <w:rsid w:val="000D2958"/>
    <w:rsid w:val="000D4831"/>
    <w:rsid w:val="000D7D68"/>
    <w:rsid w:val="000E3E37"/>
    <w:rsid w:val="000E5601"/>
    <w:rsid w:val="000E5AC4"/>
    <w:rsid w:val="000E6C00"/>
    <w:rsid w:val="000E75DC"/>
    <w:rsid w:val="000F0CDF"/>
    <w:rsid w:val="000F493F"/>
    <w:rsid w:val="000F5996"/>
    <w:rsid w:val="000F5CA3"/>
    <w:rsid w:val="00100776"/>
    <w:rsid w:val="00101063"/>
    <w:rsid w:val="00102C1E"/>
    <w:rsid w:val="00103E74"/>
    <w:rsid w:val="001048A0"/>
    <w:rsid w:val="00104A68"/>
    <w:rsid w:val="00105B7F"/>
    <w:rsid w:val="00105FF3"/>
    <w:rsid w:val="00110E58"/>
    <w:rsid w:val="00111F14"/>
    <w:rsid w:val="00112527"/>
    <w:rsid w:val="00112DDF"/>
    <w:rsid w:val="001135D7"/>
    <w:rsid w:val="00115DB0"/>
    <w:rsid w:val="00121BA2"/>
    <w:rsid w:val="001258A4"/>
    <w:rsid w:val="001263C8"/>
    <w:rsid w:val="00126E82"/>
    <w:rsid w:val="0012794A"/>
    <w:rsid w:val="00127BDB"/>
    <w:rsid w:val="00131821"/>
    <w:rsid w:val="00134D5A"/>
    <w:rsid w:val="00134EA1"/>
    <w:rsid w:val="00135A86"/>
    <w:rsid w:val="00136AFC"/>
    <w:rsid w:val="001472D0"/>
    <w:rsid w:val="00150577"/>
    <w:rsid w:val="00152B90"/>
    <w:rsid w:val="00154F1E"/>
    <w:rsid w:val="001563F6"/>
    <w:rsid w:val="001565E1"/>
    <w:rsid w:val="00156D1E"/>
    <w:rsid w:val="00157183"/>
    <w:rsid w:val="00157404"/>
    <w:rsid w:val="00165E9F"/>
    <w:rsid w:val="00166661"/>
    <w:rsid w:val="00166910"/>
    <w:rsid w:val="00167AD6"/>
    <w:rsid w:val="00172619"/>
    <w:rsid w:val="0017268E"/>
    <w:rsid w:val="00174511"/>
    <w:rsid w:val="00175437"/>
    <w:rsid w:val="0017560D"/>
    <w:rsid w:val="00175AB3"/>
    <w:rsid w:val="001761CA"/>
    <w:rsid w:val="00181450"/>
    <w:rsid w:val="00181C92"/>
    <w:rsid w:val="0018540B"/>
    <w:rsid w:val="00187E26"/>
    <w:rsid w:val="00192EDD"/>
    <w:rsid w:val="001943E8"/>
    <w:rsid w:val="001945A0"/>
    <w:rsid w:val="0019503D"/>
    <w:rsid w:val="001954CA"/>
    <w:rsid w:val="001955D6"/>
    <w:rsid w:val="00196DC0"/>
    <w:rsid w:val="001A4480"/>
    <w:rsid w:val="001A4C1D"/>
    <w:rsid w:val="001A5DCF"/>
    <w:rsid w:val="001A64B2"/>
    <w:rsid w:val="001A6720"/>
    <w:rsid w:val="001A694E"/>
    <w:rsid w:val="001A71B0"/>
    <w:rsid w:val="001B04C6"/>
    <w:rsid w:val="001B2C82"/>
    <w:rsid w:val="001B43DB"/>
    <w:rsid w:val="001B7967"/>
    <w:rsid w:val="001C0CCC"/>
    <w:rsid w:val="001C119C"/>
    <w:rsid w:val="001C3248"/>
    <w:rsid w:val="001C379B"/>
    <w:rsid w:val="001C4713"/>
    <w:rsid w:val="001C63AC"/>
    <w:rsid w:val="001C6C05"/>
    <w:rsid w:val="001C7F63"/>
    <w:rsid w:val="001D0717"/>
    <w:rsid w:val="001E0CA7"/>
    <w:rsid w:val="001E13E9"/>
    <w:rsid w:val="001E2E84"/>
    <w:rsid w:val="001E377D"/>
    <w:rsid w:val="001E4004"/>
    <w:rsid w:val="001E6F1C"/>
    <w:rsid w:val="001F018C"/>
    <w:rsid w:val="001F200C"/>
    <w:rsid w:val="001F3B1B"/>
    <w:rsid w:val="001F7BAD"/>
    <w:rsid w:val="00206633"/>
    <w:rsid w:val="002069A0"/>
    <w:rsid w:val="00213FAE"/>
    <w:rsid w:val="0021643F"/>
    <w:rsid w:val="00216F7D"/>
    <w:rsid w:val="00217D84"/>
    <w:rsid w:val="00217DC5"/>
    <w:rsid w:val="00220159"/>
    <w:rsid w:val="002206B8"/>
    <w:rsid w:val="00222482"/>
    <w:rsid w:val="00222C2D"/>
    <w:rsid w:val="00223179"/>
    <w:rsid w:val="0022389C"/>
    <w:rsid w:val="00231221"/>
    <w:rsid w:val="00231A67"/>
    <w:rsid w:val="002342C6"/>
    <w:rsid w:val="00235389"/>
    <w:rsid w:val="0023617E"/>
    <w:rsid w:val="00241214"/>
    <w:rsid w:val="00243308"/>
    <w:rsid w:val="00245E95"/>
    <w:rsid w:val="00246270"/>
    <w:rsid w:val="002474CD"/>
    <w:rsid w:val="002508BF"/>
    <w:rsid w:val="00253E80"/>
    <w:rsid w:val="00254A53"/>
    <w:rsid w:val="0025515D"/>
    <w:rsid w:val="002567ED"/>
    <w:rsid w:val="00256C10"/>
    <w:rsid w:val="00260FDE"/>
    <w:rsid w:val="00261D5B"/>
    <w:rsid w:val="00267C9E"/>
    <w:rsid w:val="00275218"/>
    <w:rsid w:val="0028063C"/>
    <w:rsid w:val="002828DE"/>
    <w:rsid w:val="00286300"/>
    <w:rsid w:val="002879E5"/>
    <w:rsid w:val="00291C9F"/>
    <w:rsid w:val="0029253F"/>
    <w:rsid w:val="00296B90"/>
    <w:rsid w:val="00297988"/>
    <w:rsid w:val="002A0402"/>
    <w:rsid w:val="002A1ADB"/>
    <w:rsid w:val="002A3EF8"/>
    <w:rsid w:val="002A463C"/>
    <w:rsid w:val="002B2B63"/>
    <w:rsid w:val="002B43CE"/>
    <w:rsid w:val="002B51B3"/>
    <w:rsid w:val="002B7AD6"/>
    <w:rsid w:val="002C01C7"/>
    <w:rsid w:val="002C1E3A"/>
    <w:rsid w:val="002C3B5F"/>
    <w:rsid w:val="002C4B2F"/>
    <w:rsid w:val="002D0166"/>
    <w:rsid w:val="002D1E55"/>
    <w:rsid w:val="002D4337"/>
    <w:rsid w:val="002D50CF"/>
    <w:rsid w:val="002D6943"/>
    <w:rsid w:val="002D7A3C"/>
    <w:rsid w:val="002E1540"/>
    <w:rsid w:val="002E2395"/>
    <w:rsid w:val="002E3660"/>
    <w:rsid w:val="002E535B"/>
    <w:rsid w:val="002E56B4"/>
    <w:rsid w:val="002F0B86"/>
    <w:rsid w:val="002F236F"/>
    <w:rsid w:val="002F3437"/>
    <w:rsid w:val="002F55AA"/>
    <w:rsid w:val="002F579C"/>
    <w:rsid w:val="002F6885"/>
    <w:rsid w:val="003022AD"/>
    <w:rsid w:val="003037CF"/>
    <w:rsid w:val="00303DC5"/>
    <w:rsid w:val="003046DF"/>
    <w:rsid w:val="003070B9"/>
    <w:rsid w:val="00310830"/>
    <w:rsid w:val="00311A13"/>
    <w:rsid w:val="0031257E"/>
    <w:rsid w:val="0031292A"/>
    <w:rsid w:val="003167E7"/>
    <w:rsid w:val="00321728"/>
    <w:rsid w:val="003224BB"/>
    <w:rsid w:val="0032259D"/>
    <w:rsid w:val="003273A8"/>
    <w:rsid w:val="003273B6"/>
    <w:rsid w:val="003322EE"/>
    <w:rsid w:val="00335FB1"/>
    <w:rsid w:val="003374D0"/>
    <w:rsid w:val="003375D8"/>
    <w:rsid w:val="00340171"/>
    <w:rsid w:val="00342394"/>
    <w:rsid w:val="00342E81"/>
    <w:rsid w:val="00343B58"/>
    <w:rsid w:val="0034427E"/>
    <w:rsid w:val="003507C8"/>
    <w:rsid w:val="00351F26"/>
    <w:rsid w:val="003668B7"/>
    <w:rsid w:val="00367EEC"/>
    <w:rsid w:val="0037245D"/>
    <w:rsid w:val="00373597"/>
    <w:rsid w:val="00373A0A"/>
    <w:rsid w:val="0037403F"/>
    <w:rsid w:val="00374168"/>
    <w:rsid w:val="00375230"/>
    <w:rsid w:val="00375665"/>
    <w:rsid w:val="0037574E"/>
    <w:rsid w:val="003802EF"/>
    <w:rsid w:val="003809D7"/>
    <w:rsid w:val="00380C92"/>
    <w:rsid w:val="00381C33"/>
    <w:rsid w:val="003829B8"/>
    <w:rsid w:val="00384BE5"/>
    <w:rsid w:val="00384EA7"/>
    <w:rsid w:val="003857C9"/>
    <w:rsid w:val="00387289"/>
    <w:rsid w:val="003900CC"/>
    <w:rsid w:val="00390A53"/>
    <w:rsid w:val="00391CD6"/>
    <w:rsid w:val="003925A8"/>
    <w:rsid w:val="003931DC"/>
    <w:rsid w:val="003946BF"/>
    <w:rsid w:val="003948F3"/>
    <w:rsid w:val="00395D62"/>
    <w:rsid w:val="0039600F"/>
    <w:rsid w:val="00397826"/>
    <w:rsid w:val="003A5587"/>
    <w:rsid w:val="003A6A76"/>
    <w:rsid w:val="003B1053"/>
    <w:rsid w:val="003B2C54"/>
    <w:rsid w:val="003B7217"/>
    <w:rsid w:val="003B7371"/>
    <w:rsid w:val="003B7A95"/>
    <w:rsid w:val="003C3585"/>
    <w:rsid w:val="003C36BD"/>
    <w:rsid w:val="003C553A"/>
    <w:rsid w:val="003C65FC"/>
    <w:rsid w:val="003C6BDD"/>
    <w:rsid w:val="003C6C28"/>
    <w:rsid w:val="003D2DCE"/>
    <w:rsid w:val="003D3182"/>
    <w:rsid w:val="003D3B30"/>
    <w:rsid w:val="003D62E5"/>
    <w:rsid w:val="003D67C3"/>
    <w:rsid w:val="003E5164"/>
    <w:rsid w:val="003E56B2"/>
    <w:rsid w:val="003E64AC"/>
    <w:rsid w:val="003F0CC3"/>
    <w:rsid w:val="003F30EE"/>
    <w:rsid w:val="003F37CD"/>
    <w:rsid w:val="003F3BBB"/>
    <w:rsid w:val="003F40CD"/>
    <w:rsid w:val="003F5600"/>
    <w:rsid w:val="003F7B97"/>
    <w:rsid w:val="00403BED"/>
    <w:rsid w:val="00404252"/>
    <w:rsid w:val="00404ABC"/>
    <w:rsid w:val="004052E9"/>
    <w:rsid w:val="00406CBA"/>
    <w:rsid w:val="00414621"/>
    <w:rsid w:val="00416121"/>
    <w:rsid w:val="00417B96"/>
    <w:rsid w:val="00420E56"/>
    <w:rsid w:val="004219EA"/>
    <w:rsid w:val="004223CE"/>
    <w:rsid w:val="00423930"/>
    <w:rsid w:val="0042530A"/>
    <w:rsid w:val="00427C3D"/>
    <w:rsid w:val="00430162"/>
    <w:rsid w:val="00430A7D"/>
    <w:rsid w:val="00430A8A"/>
    <w:rsid w:val="00430AB9"/>
    <w:rsid w:val="004328A0"/>
    <w:rsid w:val="00434733"/>
    <w:rsid w:val="00434CF9"/>
    <w:rsid w:val="00436ABB"/>
    <w:rsid w:val="00437B72"/>
    <w:rsid w:val="00442382"/>
    <w:rsid w:val="00445CDB"/>
    <w:rsid w:val="0044656F"/>
    <w:rsid w:val="0044667C"/>
    <w:rsid w:val="00446F5C"/>
    <w:rsid w:val="00447851"/>
    <w:rsid w:val="00450590"/>
    <w:rsid w:val="00451645"/>
    <w:rsid w:val="00452D13"/>
    <w:rsid w:val="00455649"/>
    <w:rsid w:val="004575BF"/>
    <w:rsid w:val="00457BCB"/>
    <w:rsid w:val="0046032A"/>
    <w:rsid w:val="00460EF8"/>
    <w:rsid w:val="0046107A"/>
    <w:rsid w:val="00464E94"/>
    <w:rsid w:val="004652F7"/>
    <w:rsid w:val="004658DB"/>
    <w:rsid w:val="00465D0F"/>
    <w:rsid w:val="00466457"/>
    <w:rsid w:val="00467CF3"/>
    <w:rsid w:val="00470B6D"/>
    <w:rsid w:val="0047275C"/>
    <w:rsid w:val="00474AF8"/>
    <w:rsid w:val="00474D3F"/>
    <w:rsid w:val="004772C9"/>
    <w:rsid w:val="00477796"/>
    <w:rsid w:val="00477F84"/>
    <w:rsid w:val="004802EB"/>
    <w:rsid w:val="00481F67"/>
    <w:rsid w:val="004868E9"/>
    <w:rsid w:val="0048771F"/>
    <w:rsid w:val="004877FC"/>
    <w:rsid w:val="0049147C"/>
    <w:rsid w:val="00492070"/>
    <w:rsid w:val="00493B88"/>
    <w:rsid w:val="004975F0"/>
    <w:rsid w:val="004A5B78"/>
    <w:rsid w:val="004A76D7"/>
    <w:rsid w:val="004B1847"/>
    <w:rsid w:val="004B286A"/>
    <w:rsid w:val="004B3791"/>
    <w:rsid w:val="004B4864"/>
    <w:rsid w:val="004B66FA"/>
    <w:rsid w:val="004B72F1"/>
    <w:rsid w:val="004B7D7A"/>
    <w:rsid w:val="004C1521"/>
    <w:rsid w:val="004C1DBD"/>
    <w:rsid w:val="004C38A6"/>
    <w:rsid w:val="004C3AD0"/>
    <w:rsid w:val="004C5AD4"/>
    <w:rsid w:val="004C5ED6"/>
    <w:rsid w:val="004C6CC3"/>
    <w:rsid w:val="004D1F49"/>
    <w:rsid w:val="004D5AC5"/>
    <w:rsid w:val="004D6B92"/>
    <w:rsid w:val="004E0ACE"/>
    <w:rsid w:val="004E3281"/>
    <w:rsid w:val="004E4CC1"/>
    <w:rsid w:val="004F0E47"/>
    <w:rsid w:val="004F3371"/>
    <w:rsid w:val="004F6514"/>
    <w:rsid w:val="004F7D66"/>
    <w:rsid w:val="005008BF"/>
    <w:rsid w:val="00505035"/>
    <w:rsid w:val="005075BC"/>
    <w:rsid w:val="00507930"/>
    <w:rsid w:val="005104E6"/>
    <w:rsid w:val="005108DE"/>
    <w:rsid w:val="00512780"/>
    <w:rsid w:val="0051592D"/>
    <w:rsid w:val="00515A28"/>
    <w:rsid w:val="00515FB8"/>
    <w:rsid w:val="0051786F"/>
    <w:rsid w:val="0052192E"/>
    <w:rsid w:val="00523228"/>
    <w:rsid w:val="005262A3"/>
    <w:rsid w:val="00531014"/>
    <w:rsid w:val="0053317B"/>
    <w:rsid w:val="0053399B"/>
    <w:rsid w:val="00535A7B"/>
    <w:rsid w:val="0054122E"/>
    <w:rsid w:val="005413F4"/>
    <w:rsid w:val="00544DB8"/>
    <w:rsid w:val="00551735"/>
    <w:rsid w:val="005522D7"/>
    <w:rsid w:val="00553B21"/>
    <w:rsid w:val="00553E22"/>
    <w:rsid w:val="0055429E"/>
    <w:rsid w:val="00554770"/>
    <w:rsid w:val="005565E2"/>
    <w:rsid w:val="00562487"/>
    <w:rsid w:val="0056290A"/>
    <w:rsid w:val="0056381B"/>
    <w:rsid w:val="00563911"/>
    <w:rsid w:val="00565B6E"/>
    <w:rsid w:val="0056710D"/>
    <w:rsid w:val="005715DD"/>
    <w:rsid w:val="00574724"/>
    <w:rsid w:val="00577323"/>
    <w:rsid w:val="00577761"/>
    <w:rsid w:val="00580701"/>
    <w:rsid w:val="00585F26"/>
    <w:rsid w:val="005862D2"/>
    <w:rsid w:val="0058787D"/>
    <w:rsid w:val="005904ED"/>
    <w:rsid w:val="00592098"/>
    <w:rsid w:val="00592EDD"/>
    <w:rsid w:val="005930AA"/>
    <w:rsid w:val="0059621B"/>
    <w:rsid w:val="005965EC"/>
    <w:rsid w:val="005A2EE2"/>
    <w:rsid w:val="005A5359"/>
    <w:rsid w:val="005A6926"/>
    <w:rsid w:val="005B1A9A"/>
    <w:rsid w:val="005B1C98"/>
    <w:rsid w:val="005B54E2"/>
    <w:rsid w:val="005B7141"/>
    <w:rsid w:val="005B77CF"/>
    <w:rsid w:val="005C063B"/>
    <w:rsid w:val="005C230F"/>
    <w:rsid w:val="005C7756"/>
    <w:rsid w:val="005D2570"/>
    <w:rsid w:val="005D262A"/>
    <w:rsid w:val="005D6B3F"/>
    <w:rsid w:val="005E0E6C"/>
    <w:rsid w:val="005E1D29"/>
    <w:rsid w:val="005E2BB9"/>
    <w:rsid w:val="005E4587"/>
    <w:rsid w:val="005E4869"/>
    <w:rsid w:val="005E74A4"/>
    <w:rsid w:val="005F484C"/>
    <w:rsid w:val="005F662B"/>
    <w:rsid w:val="005F77B4"/>
    <w:rsid w:val="00601AFE"/>
    <w:rsid w:val="006049EA"/>
    <w:rsid w:val="00605286"/>
    <w:rsid w:val="006069C1"/>
    <w:rsid w:val="00607D89"/>
    <w:rsid w:val="00610663"/>
    <w:rsid w:val="00611D00"/>
    <w:rsid w:val="00612290"/>
    <w:rsid w:val="0061535B"/>
    <w:rsid w:val="006158BF"/>
    <w:rsid w:val="00616C3D"/>
    <w:rsid w:val="0062210A"/>
    <w:rsid w:val="00622A09"/>
    <w:rsid w:val="00631A58"/>
    <w:rsid w:val="006333E2"/>
    <w:rsid w:val="00634258"/>
    <w:rsid w:val="00634557"/>
    <w:rsid w:val="00634D07"/>
    <w:rsid w:val="00635B6E"/>
    <w:rsid w:val="00641189"/>
    <w:rsid w:val="00641466"/>
    <w:rsid w:val="00641611"/>
    <w:rsid w:val="00641F9C"/>
    <w:rsid w:val="00646832"/>
    <w:rsid w:val="0065085C"/>
    <w:rsid w:val="00656232"/>
    <w:rsid w:val="00660BBC"/>
    <w:rsid w:val="00662BCE"/>
    <w:rsid w:val="006633C8"/>
    <w:rsid w:val="006723E5"/>
    <w:rsid w:val="006749B9"/>
    <w:rsid w:val="00676850"/>
    <w:rsid w:val="00681D36"/>
    <w:rsid w:val="0068661C"/>
    <w:rsid w:val="006905FE"/>
    <w:rsid w:val="006907E7"/>
    <w:rsid w:val="00691EF1"/>
    <w:rsid w:val="00693057"/>
    <w:rsid w:val="0069539C"/>
    <w:rsid w:val="00697D83"/>
    <w:rsid w:val="006A17C4"/>
    <w:rsid w:val="006A5A5C"/>
    <w:rsid w:val="006A79DA"/>
    <w:rsid w:val="006B0DF5"/>
    <w:rsid w:val="006B14C8"/>
    <w:rsid w:val="006B18F7"/>
    <w:rsid w:val="006B32C4"/>
    <w:rsid w:val="006B3C1A"/>
    <w:rsid w:val="006B6B67"/>
    <w:rsid w:val="006B7279"/>
    <w:rsid w:val="006C0820"/>
    <w:rsid w:val="006C667B"/>
    <w:rsid w:val="006C7A8C"/>
    <w:rsid w:val="006D06D0"/>
    <w:rsid w:val="006D0FDF"/>
    <w:rsid w:val="006D1B51"/>
    <w:rsid w:val="006D239D"/>
    <w:rsid w:val="006D4011"/>
    <w:rsid w:val="006D4086"/>
    <w:rsid w:val="006E3A05"/>
    <w:rsid w:val="006E634D"/>
    <w:rsid w:val="006E74A9"/>
    <w:rsid w:val="006F29C4"/>
    <w:rsid w:val="006F2D9E"/>
    <w:rsid w:val="006F4531"/>
    <w:rsid w:val="006F61D3"/>
    <w:rsid w:val="006F729B"/>
    <w:rsid w:val="00701828"/>
    <w:rsid w:val="0070259C"/>
    <w:rsid w:val="00704D8C"/>
    <w:rsid w:val="00704FC2"/>
    <w:rsid w:val="00707B8F"/>
    <w:rsid w:val="00707DD7"/>
    <w:rsid w:val="00710683"/>
    <w:rsid w:val="00712269"/>
    <w:rsid w:val="00714DF8"/>
    <w:rsid w:val="00715B28"/>
    <w:rsid w:val="00716BDE"/>
    <w:rsid w:val="00722005"/>
    <w:rsid w:val="007240A2"/>
    <w:rsid w:val="0072714C"/>
    <w:rsid w:val="00730739"/>
    <w:rsid w:val="00730E75"/>
    <w:rsid w:val="00731A38"/>
    <w:rsid w:val="00735E88"/>
    <w:rsid w:val="00736A14"/>
    <w:rsid w:val="007371E9"/>
    <w:rsid w:val="007404DD"/>
    <w:rsid w:val="0074092C"/>
    <w:rsid w:val="007420EA"/>
    <w:rsid w:val="0074385C"/>
    <w:rsid w:val="007449CF"/>
    <w:rsid w:val="00744AD1"/>
    <w:rsid w:val="0075166F"/>
    <w:rsid w:val="00756E14"/>
    <w:rsid w:val="00762FF8"/>
    <w:rsid w:val="0076372C"/>
    <w:rsid w:val="007647DF"/>
    <w:rsid w:val="00764A08"/>
    <w:rsid w:val="00764CFE"/>
    <w:rsid w:val="0076558A"/>
    <w:rsid w:val="007658C8"/>
    <w:rsid w:val="00771BFB"/>
    <w:rsid w:val="007778E5"/>
    <w:rsid w:val="00784024"/>
    <w:rsid w:val="007843D3"/>
    <w:rsid w:val="00784566"/>
    <w:rsid w:val="00791A96"/>
    <w:rsid w:val="00792474"/>
    <w:rsid w:val="007960CB"/>
    <w:rsid w:val="00797842"/>
    <w:rsid w:val="00797EC2"/>
    <w:rsid w:val="00797EC3"/>
    <w:rsid w:val="007A41D2"/>
    <w:rsid w:val="007A67EE"/>
    <w:rsid w:val="007B1178"/>
    <w:rsid w:val="007B2BB3"/>
    <w:rsid w:val="007B3927"/>
    <w:rsid w:val="007B67E5"/>
    <w:rsid w:val="007B6830"/>
    <w:rsid w:val="007B6B98"/>
    <w:rsid w:val="007C48B7"/>
    <w:rsid w:val="007C58B1"/>
    <w:rsid w:val="007C633E"/>
    <w:rsid w:val="007C652F"/>
    <w:rsid w:val="007C7D4E"/>
    <w:rsid w:val="007D131C"/>
    <w:rsid w:val="007D267F"/>
    <w:rsid w:val="007D2FE3"/>
    <w:rsid w:val="007D776C"/>
    <w:rsid w:val="007E0A3A"/>
    <w:rsid w:val="007E1576"/>
    <w:rsid w:val="007E3C50"/>
    <w:rsid w:val="007E4CCB"/>
    <w:rsid w:val="007E4D8F"/>
    <w:rsid w:val="007E4E35"/>
    <w:rsid w:val="007E56E1"/>
    <w:rsid w:val="007E5A3E"/>
    <w:rsid w:val="007E5C47"/>
    <w:rsid w:val="007E6498"/>
    <w:rsid w:val="007E6E4B"/>
    <w:rsid w:val="007F37BC"/>
    <w:rsid w:val="007F3945"/>
    <w:rsid w:val="00801E26"/>
    <w:rsid w:val="008079F2"/>
    <w:rsid w:val="00810612"/>
    <w:rsid w:val="00811B5E"/>
    <w:rsid w:val="008123A7"/>
    <w:rsid w:val="00813D73"/>
    <w:rsid w:val="0081662D"/>
    <w:rsid w:val="008167CE"/>
    <w:rsid w:val="00820CFF"/>
    <w:rsid w:val="0082256A"/>
    <w:rsid w:val="00822E97"/>
    <w:rsid w:val="008236CF"/>
    <w:rsid w:val="00823A35"/>
    <w:rsid w:val="00827FB7"/>
    <w:rsid w:val="00830B9C"/>
    <w:rsid w:val="00831EF2"/>
    <w:rsid w:val="00832363"/>
    <w:rsid w:val="0083341D"/>
    <w:rsid w:val="00834288"/>
    <w:rsid w:val="00835EC2"/>
    <w:rsid w:val="00836EF6"/>
    <w:rsid w:val="00837500"/>
    <w:rsid w:val="008378EA"/>
    <w:rsid w:val="00843FE4"/>
    <w:rsid w:val="00850A61"/>
    <w:rsid w:val="00851BC0"/>
    <w:rsid w:val="00853AF3"/>
    <w:rsid w:val="00861B8D"/>
    <w:rsid w:val="00862A7A"/>
    <w:rsid w:val="008649E4"/>
    <w:rsid w:val="008667EE"/>
    <w:rsid w:val="008677C3"/>
    <w:rsid w:val="008725C4"/>
    <w:rsid w:val="00874408"/>
    <w:rsid w:val="00876573"/>
    <w:rsid w:val="0087664C"/>
    <w:rsid w:val="00876FD4"/>
    <w:rsid w:val="0088042A"/>
    <w:rsid w:val="00883EC9"/>
    <w:rsid w:val="00884150"/>
    <w:rsid w:val="0089098D"/>
    <w:rsid w:val="00893DB3"/>
    <w:rsid w:val="008944AA"/>
    <w:rsid w:val="00894F0F"/>
    <w:rsid w:val="008A0CE5"/>
    <w:rsid w:val="008A146B"/>
    <w:rsid w:val="008A24E8"/>
    <w:rsid w:val="008A2820"/>
    <w:rsid w:val="008A565E"/>
    <w:rsid w:val="008A600F"/>
    <w:rsid w:val="008A6B8F"/>
    <w:rsid w:val="008B1830"/>
    <w:rsid w:val="008B247E"/>
    <w:rsid w:val="008B2943"/>
    <w:rsid w:val="008B2EDE"/>
    <w:rsid w:val="008B4C7B"/>
    <w:rsid w:val="008B7CBF"/>
    <w:rsid w:val="008C3BDA"/>
    <w:rsid w:val="008C7B80"/>
    <w:rsid w:val="008D2C98"/>
    <w:rsid w:val="008D3383"/>
    <w:rsid w:val="008D3E8C"/>
    <w:rsid w:val="008D4269"/>
    <w:rsid w:val="008D5E78"/>
    <w:rsid w:val="008D6EB3"/>
    <w:rsid w:val="008E69DA"/>
    <w:rsid w:val="008E7563"/>
    <w:rsid w:val="008E793D"/>
    <w:rsid w:val="008E7D36"/>
    <w:rsid w:val="008F111F"/>
    <w:rsid w:val="008F1950"/>
    <w:rsid w:val="008F272D"/>
    <w:rsid w:val="008F4668"/>
    <w:rsid w:val="008F5B33"/>
    <w:rsid w:val="008F79F6"/>
    <w:rsid w:val="00900DF1"/>
    <w:rsid w:val="00901CB3"/>
    <w:rsid w:val="00901F7D"/>
    <w:rsid w:val="00902142"/>
    <w:rsid w:val="00902882"/>
    <w:rsid w:val="00906F44"/>
    <w:rsid w:val="009102BC"/>
    <w:rsid w:val="00911A41"/>
    <w:rsid w:val="009144F9"/>
    <w:rsid w:val="00914F19"/>
    <w:rsid w:val="00915F2B"/>
    <w:rsid w:val="00921ED0"/>
    <w:rsid w:val="009247CB"/>
    <w:rsid w:val="0092602D"/>
    <w:rsid w:val="009264D5"/>
    <w:rsid w:val="00927D3A"/>
    <w:rsid w:val="00931171"/>
    <w:rsid w:val="00931901"/>
    <w:rsid w:val="009327A5"/>
    <w:rsid w:val="0093470E"/>
    <w:rsid w:val="00935561"/>
    <w:rsid w:val="00935F7C"/>
    <w:rsid w:val="0093761D"/>
    <w:rsid w:val="00940CB9"/>
    <w:rsid w:val="009410F8"/>
    <w:rsid w:val="00943396"/>
    <w:rsid w:val="00944472"/>
    <w:rsid w:val="0094561E"/>
    <w:rsid w:val="009456E8"/>
    <w:rsid w:val="0094621F"/>
    <w:rsid w:val="009508F4"/>
    <w:rsid w:val="00952BEF"/>
    <w:rsid w:val="00953C2A"/>
    <w:rsid w:val="0095525E"/>
    <w:rsid w:val="009553A9"/>
    <w:rsid w:val="00955AF1"/>
    <w:rsid w:val="0095673F"/>
    <w:rsid w:val="00957E7E"/>
    <w:rsid w:val="0096182D"/>
    <w:rsid w:val="0096193B"/>
    <w:rsid w:val="00962AF8"/>
    <w:rsid w:val="009636D9"/>
    <w:rsid w:val="0096667B"/>
    <w:rsid w:val="00966962"/>
    <w:rsid w:val="00970686"/>
    <w:rsid w:val="00970BFF"/>
    <w:rsid w:val="009713AC"/>
    <w:rsid w:val="00973C06"/>
    <w:rsid w:val="00975A4E"/>
    <w:rsid w:val="00976F6D"/>
    <w:rsid w:val="00980A63"/>
    <w:rsid w:val="00980C70"/>
    <w:rsid w:val="00981E5A"/>
    <w:rsid w:val="0098460A"/>
    <w:rsid w:val="00987F9E"/>
    <w:rsid w:val="0099129B"/>
    <w:rsid w:val="00992F3C"/>
    <w:rsid w:val="009933AF"/>
    <w:rsid w:val="00995D5B"/>
    <w:rsid w:val="00997266"/>
    <w:rsid w:val="00997901"/>
    <w:rsid w:val="009A1627"/>
    <w:rsid w:val="009A2F4F"/>
    <w:rsid w:val="009A5F10"/>
    <w:rsid w:val="009A6B97"/>
    <w:rsid w:val="009B0AF3"/>
    <w:rsid w:val="009B24E9"/>
    <w:rsid w:val="009B4974"/>
    <w:rsid w:val="009B544E"/>
    <w:rsid w:val="009B5EF1"/>
    <w:rsid w:val="009C02F9"/>
    <w:rsid w:val="009C1263"/>
    <w:rsid w:val="009C3492"/>
    <w:rsid w:val="009C39F7"/>
    <w:rsid w:val="009C45FE"/>
    <w:rsid w:val="009D086C"/>
    <w:rsid w:val="009D0A4C"/>
    <w:rsid w:val="009E2E5D"/>
    <w:rsid w:val="009E621B"/>
    <w:rsid w:val="009E75ED"/>
    <w:rsid w:val="009F1F9E"/>
    <w:rsid w:val="009F3B7A"/>
    <w:rsid w:val="009F7EF9"/>
    <w:rsid w:val="00A00978"/>
    <w:rsid w:val="00A03414"/>
    <w:rsid w:val="00A0399C"/>
    <w:rsid w:val="00A042B6"/>
    <w:rsid w:val="00A12BEC"/>
    <w:rsid w:val="00A13861"/>
    <w:rsid w:val="00A156CB"/>
    <w:rsid w:val="00A17780"/>
    <w:rsid w:val="00A20093"/>
    <w:rsid w:val="00A209EF"/>
    <w:rsid w:val="00A22911"/>
    <w:rsid w:val="00A23950"/>
    <w:rsid w:val="00A23DFA"/>
    <w:rsid w:val="00A30A4B"/>
    <w:rsid w:val="00A31863"/>
    <w:rsid w:val="00A323D2"/>
    <w:rsid w:val="00A43776"/>
    <w:rsid w:val="00A452FD"/>
    <w:rsid w:val="00A456FA"/>
    <w:rsid w:val="00A47BA0"/>
    <w:rsid w:val="00A50CC2"/>
    <w:rsid w:val="00A519E1"/>
    <w:rsid w:val="00A51B34"/>
    <w:rsid w:val="00A53647"/>
    <w:rsid w:val="00A54048"/>
    <w:rsid w:val="00A554CD"/>
    <w:rsid w:val="00A56E92"/>
    <w:rsid w:val="00A65805"/>
    <w:rsid w:val="00A65B5A"/>
    <w:rsid w:val="00A705D1"/>
    <w:rsid w:val="00A70EBE"/>
    <w:rsid w:val="00A7117C"/>
    <w:rsid w:val="00A719AB"/>
    <w:rsid w:val="00A73D8F"/>
    <w:rsid w:val="00A73F0C"/>
    <w:rsid w:val="00A74AD5"/>
    <w:rsid w:val="00A81C03"/>
    <w:rsid w:val="00A8256E"/>
    <w:rsid w:val="00A83123"/>
    <w:rsid w:val="00A833EE"/>
    <w:rsid w:val="00A8403F"/>
    <w:rsid w:val="00A87B62"/>
    <w:rsid w:val="00A92343"/>
    <w:rsid w:val="00A94238"/>
    <w:rsid w:val="00A95B13"/>
    <w:rsid w:val="00AA174C"/>
    <w:rsid w:val="00AA1920"/>
    <w:rsid w:val="00AA424B"/>
    <w:rsid w:val="00AA4531"/>
    <w:rsid w:val="00AA5694"/>
    <w:rsid w:val="00AA6482"/>
    <w:rsid w:val="00AB1607"/>
    <w:rsid w:val="00AB2A37"/>
    <w:rsid w:val="00AB36BC"/>
    <w:rsid w:val="00AB53A3"/>
    <w:rsid w:val="00AB5474"/>
    <w:rsid w:val="00AB7631"/>
    <w:rsid w:val="00AB7D9B"/>
    <w:rsid w:val="00AC02D5"/>
    <w:rsid w:val="00AC158F"/>
    <w:rsid w:val="00AC334B"/>
    <w:rsid w:val="00AC5464"/>
    <w:rsid w:val="00AC7CBB"/>
    <w:rsid w:val="00AD24E0"/>
    <w:rsid w:val="00AD2912"/>
    <w:rsid w:val="00AD2D46"/>
    <w:rsid w:val="00AD355F"/>
    <w:rsid w:val="00AD3FDA"/>
    <w:rsid w:val="00AD7D11"/>
    <w:rsid w:val="00AE0261"/>
    <w:rsid w:val="00AE1012"/>
    <w:rsid w:val="00AE4361"/>
    <w:rsid w:val="00AE63D0"/>
    <w:rsid w:val="00AE675C"/>
    <w:rsid w:val="00AF3C24"/>
    <w:rsid w:val="00AF3FAD"/>
    <w:rsid w:val="00AF5971"/>
    <w:rsid w:val="00AF70CC"/>
    <w:rsid w:val="00AF7B38"/>
    <w:rsid w:val="00B00F7C"/>
    <w:rsid w:val="00B010F0"/>
    <w:rsid w:val="00B016E0"/>
    <w:rsid w:val="00B02845"/>
    <w:rsid w:val="00B06846"/>
    <w:rsid w:val="00B07675"/>
    <w:rsid w:val="00B1087A"/>
    <w:rsid w:val="00B114DA"/>
    <w:rsid w:val="00B11E9D"/>
    <w:rsid w:val="00B13FD9"/>
    <w:rsid w:val="00B165F7"/>
    <w:rsid w:val="00B16B51"/>
    <w:rsid w:val="00B23F89"/>
    <w:rsid w:val="00B24D10"/>
    <w:rsid w:val="00B30FFD"/>
    <w:rsid w:val="00B31FAE"/>
    <w:rsid w:val="00B366EA"/>
    <w:rsid w:val="00B37A20"/>
    <w:rsid w:val="00B403DF"/>
    <w:rsid w:val="00B40C2C"/>
    <w:rsid w:val="00B4216B"/>
    <w:rsid w:val="00B44C3B"/>
    <w:rsid w:val="00B460B8"/>
    <w:rsid w:val="00B46D31"/>
    <w:rsid w:val="00B507BA"/>
    <w:rsid w:val="00B50E33"/>
    <w:rsid w:val="00B576FC"/>
    <w:rsid w:val="00B61FDB"/>
    <w:rsid w:val="00B629F4"/>
    <w:rsid w:val="00B63ADA"/>
    <w:rsid w:val="00B66F5E"/>
    <w:rsid w:val="00B6731C"/>
    <w:rsid w:val="00B71720"/>
    <w:rsid w:val="00B733E7"/>
    <w:rsid w:val="00B73601"/>
    <w:rsid w:val="00B73F64"/>
    <w:rsid w:val="00B8669A"/>
    <w:rsid w:val="00B86EB3"/>
    <w:rsid w:val="00B912AE"/>
    <w:rsid w:val="00B926EB"/>
    <w:rsid w:val="00B928B2"/>
    <w:rsid w:val="00B93A63"/>
    <w:rsid w:val="00B94BF1"/>
    <w:rsid w:val="00B958B2"/>
    <w:rsid w:val="00B96E92"/>
    <w:rsid w:val="00BA11DA"/>
    <w:rsid w:val="00BA4311"/>
    <w:rsid w:val="00BA5369"/>
    <w:rsid w:val="00BB2007"/>
    <w:rsid w:val="00BB2DEC"/>
    <w:rsid w:val="00BB2E64"/>
    <w:rsid w:val="00BB5571"/>
    <w:rsid w:val="00BB5CA6"/>
    <w:rsid w:val="00BB75C2"/>
    <w:rsid w:val="00BB7D26"/>
    <w:rsid w:val="00BB7E27"/>
    <w:rsid w:val="00BC0C4A"/>
    <w:rsid w:val="00BC39EF"/>
    <w:rsid w:val="00BC4D13"/>
    <w:rsid w:val="00BC50AB"/>
    <w:rsid w:val="00BC59D3"/>
    <w:rsid w:val="00BC6AFA"/>
    <w:rsid w:val="00BC7262"/>
    <w:rsid w:val="00BD1399"/>
    <w:rsid w:val="00BD2016"/>
    <w:rsid w:val="00BD26B3"/>
    <w:rsid w:val="00BD35ED"/>
    <w:rsid w:val="00BD3C77"/>
    <w:rsid w:val="00BD7366"/>
    <w:rsid w:val="00BE1A96"/>
    <w:rsid w:val="00BE34D7"/>
    <w:rsid w:val="00BE735F"/>
    <w:rsid w:val="00BF22F1"/>
    <w:rsid w:val="00BF37CC"/>
    <w:rsid w:val="00BF39ED"/>
    <w:rsid w:val="00BF3B6E"/>
    <w:rsid w:val="00BF3F8A"/>
    <w:rsid w:val="00BF5999"/>
    <w:rsid w:val="00BF605B"/>
    <w:rsid w:val="00BF7002"/>
    <w:rsid w:val="00BF7DFE"/>
    <w:rsid w:val="00C00CAF"/>
    <w:rsid w:val="00C020AA"/>
    <w:rsid w:val="00C03A9A"/>
    <w:rsid w:val="00C05DA6"/>
    <w:rsid w:val="00C065DD"/>
    <w:rsid w:val="00C06920"/>
    <w:rsid w:val="00C07B6B"/>
    <w:rsid w:val="00C07BA0"/>
    <w:rsid w:val="00C11F2F"/>
    <w:rsid w:val="00C12D2E"/>
    <w:rsid w:val="00C15561"/>
    <w:rsid w:val="00C15C76"/>
    <w:rsid w:val="00C15EF9"/>
    <w:rsid w:val="00C16005"/>
    <w:rsid w:val="00C17227"/>
    <w:rsid w:val="00C17E71"/>
    <w:rsid w:val="00C233B2"/>
    <w:rsid w:val="00C2414A"/>
    <w:rsid w:val="00C27D0E"/>
    <w:rsid w:val="00C31F01"/>
    <w:rsid w:val="00C33CB4"/>
    <w:rsid w:val="00C35403"/>
    <w:rsid w:val="00C378F0"/>
    <w:rsid w:val="00C4005D"/>
    <w:rsid w:val="00C41652"/>
    <w:rsid w:val="00C417AC"/>
    <w:rsid w:val="00C4373D"/>
    <w:rsid w:val="00C441EE"/>
    <w:rsid w:val="00C449DB"/>
    <w:rsid w:val="00C50250"/>
    <w:rsid w:val="00C51879"/>
    <w:rsid w:val="00C51C5A"/>
    <w:rsid w:val="00C52F37"/>
    <w:rsid w:val="00C5346C"/>
    <w:rsid w:val="00C55CDF"/>
    <w:rsid w:val="00C5696A"/>
    <w:rsid w:val="00C61CAA"/>
    <w:rsid w:val="00C621CB"/>
    <w:rsid w:val="00C62803"/>
    <w:rsid w:val="00C62A21"/>
    <w:rsid w:val="00C63176"/>
    <w:rsid w:val="00C63F4E"/>
    <w:rsid w:val="00C67206"/>
    <w:rsid w:val="00C713EC"/>
    <w:rsid w:val="00C71808"/>
    <w:rsid w:val="00C73878"/>
    <w:rsid w:val="00C80377"/>
    <w:rsid w:val="00C80DDF"/>
    <w:rsid w:val="00C84715"/>
    <w:rsid w:val="00C84AD4"/>
    <w:rsid w:val="00C8580C"/>
    <w:rsid w:val="00C93C82"/>
    <w:rsid w:val="00C94295"/>
    <w:rsid w:val="00CA00B4"/>
    <w:rsid w:val="00CA2554"/>
    <w:rsid w:val="00CA2B01"/>
    <w:rsid w:val="00CA3614"/>
    <w:rsid w:val="00CA3F4F"/>
    <w:rsid w:val="00CB0BB0"/>
    <w:rsid w:val="00CB0D29"/>
    <w:rsid w:val="00CB1336"/>
    <w:rsid w:val="00CB1350"/>
    <w:rsid w:val="00CB1833"/>
    <w:rsid w:val="00CB4A01"/>
    <w:rsid w:val="00CB67BD"/>
    <w:rsid w:val="00CC0252"/>
    <w:rsid w:val="00CC2448"/>
    <w:rsid w:val="00CC2790"/>
    <w:rsid w:val="00CC50B8"/>
    <w:rsid w:val="00CC5F72"/>
    <w:rsid w:val="00CC623F"/>
    <w:rsid w:val="00CC68D5"/>
    <w:rsid w:val="00CD0CA3"/>
    <w:rsid w:val="00CD18B1"/>
    <w:rsid w:val="00CD4E42"/>
    <w:rsid w:val="00CE0ABE"/>
    <w:rsid w:val="00CE52B3"/>
    <w:rsid w:val="00CF291A"/>
    <w:rsid w:val="00CF729F"/>
    <w:rsid w:val="00D00615"/>
    <w:rsid w:val="00D0223D"/>
    <w:rsid w:val="00D03308"/>
    <w:rsid w:val="00D05895"/>
    <w:rsid w:val="00D06A0F"/>
    <w:rsid w:val="00D0786C"/>
    <w:rsid w:val="00D07893"/>
    <w:rsid w:val="00D15748"/>
    <w:rsid w:val="00D20285"/>
    <w:rsid w:val="00D20CCA"/>
    <w:rsid w:val="00D2110D"/>
    <w:rsid w:val="00D21303"/>
    <w:rsid w:val="00D22223"/>
    <w:rsid w:val="00D25C5D"/>
    <w:rsid w:val="00D25CA6"/>
    <w:rsid w:val="00D26967"/>
    <w:rsid w:val="00D26E38"/>
    <w:rsid w:val="00D27C4C"/>
    <w:rsid w:val="00D30585"/>
    <w:rsid w:val="00D31152"/>
    <w:rsid w:val="00D3297C"/>
    <w:rsid w:val="00D34A2F"/>
    <w:rsid w:val="00D351BF"/>
    <w:rsid w:val="00D35607"/>
    <w:rsid w:val="00D35DF7"/>
    <w:rsid w:val="00D42D95"/>
    <w:rsid w:val="00D43436"/>
    <w:rsid w:val="00D439A0"/>
    <w:rsid w:val="00D46F67"/>
    <w:rsid w:val="00D47F30"/>
    <w:rsid w:val="00D50E0C"/>
    <w:rsid w:val="00D51EF0"/>
    <w:rsid w:val="00D5362D"/>
    <w:rsid w:val="00D54265"/>
    <w:rsid w:val="00D5682D"/>
    <w:rsid w:val="00D5715A"/>
    <w:rsid w:val="00D57D25"/>
    <w:rsid w:val="00D6178B"/>
    <w:rsid w:val="00D643C1"/>
    <w:rsid w:val="00D66DD3"/>
    <w:rsid w:val="00D67FE0"/>
    <w:rsid w:val="00D705FC"/>
    <w:rsid w:val="00D70FDE"/>
    <w:rsid w:val="00D72034"/>
    <w:rsid w:val="00D721EC"/>
    <w:rsid w:val="00D774B9"/>
    <w:rsid w:val="00D77A0B"/>
    <w:rsid w:val="00D804BC"/>
    <w:rsid w:val="00D80B67"/>
    <w:rsid w:val="00D8110E"/>
    <w:rsid w:val="00D83199"/>
    <w:rsid w:val="00D85334"/>
    <w:rsid w:val="00D86915"/>
    <w:rsid w:val="00D87797"/>
    <w:rsid w:val="00D91599"/>
    <w:rsid w:val="00D92681"/>
    <w:rsid w:val="00D951D0"/>
    <w:rsid w:val="00D96DA4"/>
    <w:rsid w:val="00D979E8"/>
    <w:rsid w:val="00DA44A4"/>
    <w:rsid w:val="00DA48C1"/>
    <w:rsid w:val="00DA78A9"/>
    <w:rsid w:val="00DB1058"/>
    <w:rsid w:val="00DB4129"/>
    <w:rsid w:val="00DB5180"/>
    <w:rsid w:val="00DB5281"/>
    <w:rsid w:val="00DC1B20"/>
    <w:rsid w:val="00DC231A"/>
    <w:rsid w:val="00DC2783"/>
    <w:rsid w:val="00DC3719"/>
    <w:rsid w:val="00DC595E"/>
    <w:rsid w:val="00DC5AC8"/>
    <w:rsid w:val="00DD0660"/>
    <w:rsid w:val="00DD07A8"/>
    <w:rsid w:val="00DD1102"/>
    <w:rsid w:val="00DD4038"/>
    <w:rsid w:val="00DD6933"/>
    <w:rsid w:val="00DE210E"/>
    <w:rsid w:val="00DE411E"/>
    <w:rsid w:val="00DE5D9A"/>
    <w:rsid w:val="00DE6EFF"/>
    <w:rsid w:val="00DE7941"/>
    <w:rsid w:val="00DF01DB"/>
    <w:rsid w:val="00DF11EB"/>
    <w:rsid w:val="00DF1943"/>
    <w:rsid w:val="00DF4E74"/>
    <w:rsid w:val="00DF516B"/>
    <w:rsid w:val="00DF76EC"/>
    <w:rsid w:val="00E00E4C"/>
    <w:rsid w:val="00E0102A"/>
    <w:rsid w:val="00E0184D"/>
    <w:rsid w:val="00E01D00"/>
    <w:rsid w:val="00E02FB3"/>
    <w:rsid w:val="00E04F7E"/>
    <w:rsid w:val="00E0502C"/>
    <w:rsid w:val="00E055D3"/>
    <w:rsid w:val="00E07738"/>
    <w:rsid w:val="00E113DF"/>
    <w:rsid w:val="00E13742"/>
    <w:rsid w:val="00E14F06"/>
    <w:rsid w:val="00E15D90"/>
    <w:rsid w:val="00E17BC1"/>
    <w:rsid w:val="00E200FC"/>
    <w:rsid w:val="00E20391"/>
    <w:rsid w:val="00E23938"/>
    <w:rsid w:val="00E245FC"/>
    <w:rsid w:val="00E24FD3"/>
    <w:rsid w:val="00E267AB"/>
    <w:rsid w:val="00E27151"/>
    <w:rsid w:val="00E27781"/>
    <w:rsid w:val="00E277E0"/>
    <w:rsid w:val="00E30DEE"/>
    <w:rsid w:val="00E31DE5"/>
    <w:rsid w:val="00E3211D"/>
    <w:rsid w:val="00E424AB"/>
    <w:rsid w:val="00E42D76"/>
    <w:rsid w:val="00E43EC5"/>
    <w:rsid w:val="00E45C00"/>
    <w:rsid w:val="00E50034"/>
    <w:rsid w:val="00E50941"/>
    <w:rsid w:val="00E51F42"/>
    <w:rsid w:val="00E5251D"/>
    <w:rsid w:val="00E53709"/>
    <w:rsid w:val="00E553AA"/>
    <w:rsid w:val="00E6098A"/>
    <w:rsid w:val="00E61511"/>
    <w:rsid w:val="00E6177D"/>
    <w:rsid w:val="00E62C22"/>
    <w:rsid w:val="00E65C01"/>
    <w:rsid w:val="00E66DFF"/>
    <w:rsid w:val="00E6724F"/>
    <w:rsid w:val="00E707C0"/>
    <w:rsid w:val="00E71B73"/>
    <w:rsid w:val="00E7442C"/>
    <w:rsid w:val="00E8415D"/>
    <w:rsid w:val="00E84816"/>
    <w:rsid w:val="00E84CD2"/>
    <w:rsid w:val="00E875C5"/>
    <w:rsid w:val="00E906F5"/>
    <w:rsid w:val="00E920F7"/>
    <w:rsid w:val="00E9346C"/>
    <w:rsid w:val="00E93677"/>
    <w:rsid w:val="00E96A66"/>
    <w:rsid w:val="00EA11CE"/>
    <w:rsid w:val="00EA2958"/>
    <w:rsid w:val="00EA370F"/>
    <w:rsid w:val="00EA59A7"/>
    <w:rsid w:val="00EA606E"/>
    <w:rsid w:val="00EA6DB3"/>
    <w:rsid w:val="00EA7598"/>
    <w:rsid w:val="00EA7A46"/>
    <w:rsid w:val="00EB19FB"/>
    <w:rsid w:val="00EB3471"/>
    <w:rsid w:val="00EB4E77"/>
    <w:rsid w:val="00EB799F"/>
    <w:rsid w:val="00EC346A"/>
    <w:rsid w:val="00EC4019"/>
    <w:rsid w:val="00EC5F62"/>
    <w:rsid w:val="00EC6A03"/>
    <w:rsid w:val="00EC6F33"/>
    <w:rsid w:val="00EC703C"/>
    <w:rsid w:val="00ED15DC"/>
    <w:rsid w:val="00ED1893"/>
    <w:rsid w:val="00ED1DDD"/>
    <w:rsid w:val="00ED6D36"/>
    <w:rsid w:val="00EE0AB2"/>
    <w:rsid w:val="00EE2C53"/>
    <w:rsid w:val="00EE2E33"/>
    <w:rsid w:val="00EE421C"/>
    <w:rsid w:val="00EE4613"/>
    <w:rsid w:val="00EE7754"/>
    <w:rsid w:val="00EF061B"/>
    <w:rsid w:val="00EF1AC9"/>
    <w:rsid w:val="00EF478B"/>
    <w:rsid w:val="00EF74FD"/>
    <w:rsid w:val="00EF76BA"/>
    <w:rsid w:val="00F000E4"/>
    <w:rsid w:val="00F018B2"/>
    <w:rsid w:val="00F02380"/>
    <w:rsid w:val="00F03C33"/>
    <w:rsid w:val="00F0416A"/>
    <w:rsid w:val="00F05675"/>
    <w:rsid w:val="00F065C1"/>
    <w:rsid w:val="00F06C5B"/>
    <w:rsid w:val="00F06C79"/>
    <w:rsid w:val="00F13BE7"/>
    <w:rsid w:val="00F14250"/>
    <w:rsid w:val="00F14633"/>
    <w:rsid w:val="00F15722"/>
    <w:rsid w:val="00F24B81"/>
    <w:rsid w:val="00F275E3"/>
    <w:rsid w:val="00F331D0"/>
    <w:rsid w:val="00F35D97"/>
    <w:rsid w:val="00F37C8D"/>
    <w:rsid w:val="00F4206D"/>
    <w:rsid w:val="00F44BE7"/>
    <w:rsid w:val="00F4635D"/>
    <w:rsid w:val="00F51669"/>
    <w:rsid w:val="00F516A8"/>
    <w:rsid w:val="00F53E1D"/>
    <w:rsid w:val="00F56A44"/>
    <w:rsid w:val="00F57878"/>
    <w:rsid w:val="00F6046A"/>
    <w:rsid w:val="00F60541"/>
    <w:rsid w:val="00F63480"/>
    <w:rsid w:val="00F6396F"/>
    <w:rsid w:val="00F670C9"/>
    <w:rsid w:val="00F7175F"/>
    <w:rsid w:val="00F73592"/>
    <w:rsid w:val="00F73EBC"/>
    <w:rsid w:val="00F758C7"/>
    <w:rsid w:val="00F7665C"/>
    <w:rsid w:val="00F81227"/>
    <w:rsid w:val="00F818BD"/>
    <w:rsid w:val="00F86031"/>
    <w:rsid w:val="00F86D38"/>
    <w:rsid w:val="00F9178A"/>
    <w:rsid w:val="00F942A1"/>
    <w:rsid w:val="00F96ADC"/>
    <w:rsid w:val="00F96DD3"/>
    <w:rsid w:val="00FA018C"/>
    <w:rsid w:val="00FA12BE"/>
    <w:rsid w:val="00FA242D"/>
    <w:rsid w:val="00FA6547"/>
    <w:rsid w:val="00FA716C"/>
    <w:rsid w:val="00FA78BD"/>
    <w:rsid w:val="00FB1D87"/>
    <w:rsid w:val="00FB2681"/>
    <w:rsid w:val="00FB28A8"/>
    <w:rsid w:val="00FB3370"/>
    <w:rsid w:val="00FB40B9"/>
    <w:rsid w:val="00FB5F0F"/>
    <w:rsid w:val="00FB7F60"/>
    <w:rsid w:val="00FC0323"/>
    <w:rsid w:val="00FC3063"/>
    <w:rsid w:val="00FC4194"/>
    <w:rsid w:val="00FC4608"/>
    <w:rsid w:val="00FD1AEB"/>
    <w:rsid w:val="00FD4F7D"/>
    <w:rsid w:val="00FD6BF5"/>
    <w:rsid w:val="00FE0890"/>
    <w:rsid w:val="00FE192A"/>
    <w:rsid w:val="00FE3701"/>
    <w:rsid w:val="00FE4B74"/>
    <w:rsid w:val="00FE4D14"/>
    <w:rsid w:val="00FE66B8"/>
    <w:rsid w:val="00FE6AF5"/>
    <w:rsid w:val="00FE73E8"/>
    <w:rsid w:val="00FE74FC"/>
    <w:rsid w:val="00FE7BA1"/>
    <w:rsid w:val="00FF2017"/>
    <w:rsid w:val="00FF36AF"/>
    <w:rsid w:val="00FF36CE"/>
    <w:rsid w:val="00FF63A0"/>
    <w:rsid w:val="00FF6F2D"/>
    <w:rsid w:val="00FF74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2909E0"/>
  <w15:chartTrackingRefBased/>
  <w15:docId w15:val="{6EBF91AB-50D1-479F-B4BD-823EC7766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74C"/>
    <w:pPr>
      <w:spacing w:before="240" w:line="276" w:lineRule="auto"/>
    </w:pPr>
    <w:rPr>
      <w:rFonts w:ascii="Arial" w:hAnsi="Arial" w:cs="Arial"/>
      <w:szCs w:val="24"/>
    </w:rPr>
  </w:style>
  <w:style w:type="paragraph" w:styleId="Heading1">
    <w:name w:val="heading 1"/>
    <w:basedOn w:val="Normal"/>
    <w:next w:val="Normal"/>
    <w:link w:val="Heading1Char"/>
    <w:uiPriority w:val="9"/>
    <w:qFormat/>
    <w:rsid w:val="00D2696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696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696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696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696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696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69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69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69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autoRedefine/>
    <w:uiPriority w:val="11"/>
    <w:qFormat/>
    <w:rsid w:val="00FB40B9"/>
    <w:pPr>
      <w:numPr>
        <w:ilvl w:val="1"/>
      </w:numPr>
    </w:pPr>
    <w:rPr>
      <w:rFonts w:eastAsiaTheme="majorEastAsia" w:cstheme="majorBidi"/>
      <w:b/>
      <w:spacing w:val="15"/>
      <w:sz w:val="26"/>
      <w:szCs w:val="26"/>
    </w:rPr>
  </w:style>
  <w:style w:type="character" w:customStyle="1" w:styleId="SubtitleChar">
    <w:name w:val="Subtitle Char"/>
    <w:basedOn w:val="DefaultParagraphFont"/>
    <w:link w:val="Subtitle"/>
    <w:uiPriority w:val="11"/>
    <w:rsid w:val="00FB40B9"/>
    <w:rPr>
      <w:rFonts w:ascii="Arial" w:eastAsiaTheme="majorEastAsia" w:hAnsi="Arial" w:cstheme="majorBidi"/>
      <w:b/>
      <w:spacing w:val="15"/>
      <w:sz w:val="26"/>
      <w:szCs w:val="26"/>
    </w:rPr>
  </w:style>
  <w:style w:type="paragraph" w:customStyle="1" w:styleId="BIB">
    <w:name w:val="BIB"/>
    <w:basedOn w:val="Normal"/>
    <w:link w:val="BIBChar"/>
    <w:autoRedefine/>
    <w:qFormat/>
    <w:rsid w:val="002E2395"/>
  </w:style>
  <w:style w:type="character" w:customStyle="1" w:styleId="BIBChar">
    <w:name w:val="BIB Char"/>
    <w:basedOn w:val="DefaultParagraphFont"/>
    <w:link w:val="BIB"/>
    <w:rsid w:val="002E2395"/>
    <w:rPr>
      <w:rFonts w:ascii="Arial" w:hAnsi="Arial" w:cs="Arial"/>
      <w:szCs w:val="24"/>
    </w:rPr>
  </w:style>
  <w:style w:type="character" w:customStyle="1" w:styleId="Heading1Char">
    <w:name w:val="Heading 1 Char"/>
    <w:basedOn w:val="DefaultParagraphFont"/>
    <w:link w:val="Heading1"/>
    <w:uiPriority w:val="9"/>
    <w:rsid w:val="00D26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6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6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6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6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6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6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6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6967"/>
    <w:rPr>
      <w:rFonts w:eastAsiaTheme="majorEastAsia" w:cstheme="majorBidi"/>
      <w:color w:val="272727" w:themeColor="text1" w:themeTint="D8"/>
    </w:rPr>
  </w:style>
  <w:style w:type="paragraph" w:styleId="Title">
    <w:name w:val="Title"/>
    <w:basedOn w:val="Normal"/>
    <w:next w:val="Normal"/>
    <w:link w:val="TitleChar"/>
    <w:uiPriority w:val="10"/>
    <w:qFormat/>
    <w:rsid w:val="00D269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6967"/>
    <w:rPr>
      <w:rFonts w:asciiTheme="majorHAnsi" w:eastAsiaTheme="majorEastAsia" w:hAnsiTheme="majorHAnsi" w:cstheme="majorBidi"/>
      <w:spacing w:val="-10"/>
      <w:kern w:val="28"/>
      <w:sz w:val="56"/>
      <w:szCs w:val="56"/>
    </w:rPr>
  </w:style>
  <w:style w:type="paragraph" w:styleId="Quote">
    <w:name w:val="Quote"/>
    <w:basedOn w:val="Normal"/>
    <w:next w:val="Normal"/>
    <w:link w:val="QuoteChar"/>
    <w:uiPriority w:val="29"/>
    <w:qFormat/>
    <w:rsid w:val="00D26967"/>
    <w:pPr>
      <w:spacing w:before="160"/>
      <w:jc w:val="center"/>
    </w:pPr>
    <w:rPr>
      <w:i/>
      <w:iCs/>
      <w:color w:val="404040" w:themeColor="text1" w:themeTint="BF"/>
    </w:rPr>
  </w:style>
  <w:style w:type="character" w:customStyle="1" w:styleId="QuoteChar">
    <w:name w:val="Quote Char"/>
    <w:basedOn w:val="DefaultParagraphFont"/>
    <w:link w:val="Quote"/>
    <w:uiPriority w:val="29"/>
    <w:rsid w:val="00D26967"/>
    <w:rPr>
      <w:i/>
      <w:iCs/>
      <w:color w:val="404040" w:themeColor="text1" w:themeTint="BF"/>
    </w:rPr>
  </w:style>
  <w:style w:type="paragraph" w:styleId="ListParagraph">
    <w:name w:val="List Paragraph"/>
    <w:basedOn w:val="Normal"/>
    <w:uiPriority w:val="34"/>
    <w:qFormat/>
    <w:rsid w:val="00D26967"/>
    <w:pPr>
      <w:ind w:left="720"/>
      <w:contextualSpacing/>
    </w:pPr>
  </w:style>
  <w:style w:type="character" w:styleId="IntenseEmphasis">
    <w:name w:val="Intense Emphasis"/>
    <w:basedOn w:val="DefaultParagraphFont"/>
    <w:uiPriority w:val="21"/>
    <w:qFormat/>
    <w:rsid w:val="00D26967"/>
    <w:rPr>
      <w:i/>
      <w:iCs/>
      <w:color w:val="0F4761" w:themeColor="accent1" w:themeShade="BF"/>
    </w:rPr>
  </w:style>
  <w:style w:type="paragraph" w:styleId="IntenseQuote">
    <w:name w:val="Intense Quote"/>
    <w:basedOn w:val="Normal"/>
    <w:next w:val="Normal"/>
    <w:link w:val="IntenseQuoteChar"/>
    <w:uiPriority w:val="30"/>
    <w:qFormat/>
    <w:rsid w:val="00D26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6967"/>
    <w:rPr>
      <w:i/>
      <w:iCs/>
      <w:color w:val="0F4761" w:themeColor="accent1" w:themeShade="BF"/>
    </w:rPr>
  </w:style>
  <w:style w:type="character" w:styleId="IntenseReference">
    <w:name w:val="Intense Reference"/>
    <w:basedOn w:val="DefaultParagraphFont"/>
    <w:uiPriority w:val="32"/>
    <w:qFormat/>
    <w:rsid w:val="00D26967"/>
    <w:rPr>
      <w:b/>
      <w:bCs/>
      <w:smallCaps/>
      <w:color w:val="0F4761" w:themeColor="accent1" w:themeShade="BF"/>
      <w:spacing w:val="5"/>
    </w:rPr>
  </w:style>
  <w:style w:type="character" w:styleId="Hyperlink">
    <w:name w:val="Hyperlink"/>
    <w:basedOn w:val="DefaultParagraphFont"/>
    <w:uiPriority w:val="99"/>
    <w:unhideWhenUsed/>
    <w:rsid w:val="00D26967"/>
    <w:rPr>
      <w:color w:val="467886" w:themeColor="hyperlink"/>
      <w:u w:val="single"/>
    </w:rPr>
  </w:style>
  <w:style w:type="character" w:styleId="UnresolvedMention">
    <w:name w:val="Unresolved Mention"/>
    <w:basedOn w:val="DefaultParagraphFont"/>
    <w:uiPriority w:val="99"/>
    <w:semiHidden/>
    <w:unhideWhenUsed/>
    <w:rsid w:val="00D26967"/>
    <w:rPr>
      <w:color w:val="605E5C"/>
      <w:shd w:val="clear" w:color="auto" w:fill="E1DFDD"/>
    </w:rPr>
  </w:style>
  <w:style w:type="character" w:styleId="FollowedHyperlink">
    <w:name w:val="FollowedHyperlink"/>
    <w:basedOn w:val="DefaultParagraphFont"/>
    <w:uiPriority w:val="99"/>
    <w:semiHidden/>
    <w:unhideWhenUsed/>
    <w:rsid w:val="00976F6D"/>
    <w:rPr>
      <w:color w:val="96607D" w:themeColor="followedHyperlink"/>
      <w:u w:val="single"/>
    </w:rPr>
  </w:style>
  <w:style w:type="paragraph" w:customStyle="1" w:styleId="Listparag">
    <w:name w:val="List parag"/>
    <w:basedOn w:val="ListParagraph"/>
    <w:link w:val="ListparagChar"/>
    <w:qFormat/>
    <w:rsid w:val="00997901"/>
    <w:pPr>
      <w:spacing w:before="0" w:after="120" w:line="264" w:lineRule="auto"/>
      <w:ind w:left="0"/>
      <w:contextualSpacing w:val="0"/>
    </w:pPr>
    <w:rPr>
      <w:rFonts w:asciiTheme="minorHAnsi" w:eastAsia="Times New Roman" w:hAnsiTheme="minorHAnsi" w:cstheme="minorHAnsi"/>
      <w:color w:val="000000"/>
      <w:kern w:val="0"/>
      <w:szCs w:val="22"/>
      <w:lang w:eastAsia="en-GB"/>
      <w14:ligatures w14:val="none"/>
    </w:rPr>
  </w:style>
  <w:style w:type="character" w:customStyle="1" w:styleId="ListparagChar">
    <w:name w:val="List parag Char"/>
    <w:basedOn w:val="DefaultParagraphFont"/>
    <w:link w:val="Listparag"/>
    <w:rsid w:val="00997901"/>
    <w:rPr>
      <w:rFonts w:eastAsia="Times New Roman" w:cstheme="minorHAnsi"/>
      <w:color w:val="000000"/>
      <w:kern w:val="0"/>
      <w:lang w:eastAsia="en-GB"/>
      <w14:ligatures w14:val="none"/>
    </w:rPr>
  </w:style>
  <w:style w:type="paragraph" w:styleId="Header">
    <w:name w:val="header"/>
    <w:basedOn w:val="Normal"/>
    <w:link w:val="HeaderChar"/>
    <w:uiPriority w:val="99"/>
    <w:unhideWhenUsed/>
    <w:rsid w:val="00C80377"/>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C80377"/>
    <w:rPr>
      <w:rFonts w:ascii="Arial" w:hAnsi="Arial" w:cs="Arial"/>
      <w:szCs w:val="24"/>
    </w:rPr>
  </w:style>
  <w:style w:type="paragraph" w:styleId="Footer">
    <w:name w:val="footer"/>
    <w:basedOn w:val="Normal"/>
    <w:link w:val="FooterChar"/>
    <w:uiPriority w:val="99"/>
    <w:unhideWhenUsed/>
    <w:rsid w:val="00C80377"/>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C80377"/>
    <w:rPr>
      <w:rFonts w:ascii="Arial" w:hAnsi="Arial" w:cs="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01838">
      <w:bodyDiv w:val="1"/>
      <w:marLeft w:val="0"/>
      <w:marRight w:val="0"/>
      <w:marTop w:val="0"/>
      <w:marBottom w:val="0"/>
      <w:divBdr>
        <w:top w:val="none" w:sz="0" w:space="0" w:color="auto"/>
        <w:left w:val="none" w:sz="0" w:space="0" w:color="auto"/>
        <w:bottom w:val="none" w:sz="0" w:space="0" w:color="auto"/>
        <w:right w:val="none" w:sz="0" w:space="0" w:color="auto"/>
      </w:divBdr>
    </w:div>
    <w:div w:id="66072764">
      <w:bodyDiv w:val="1"/>
      <w:marLeft w:val="0"/>
      <w:marRight w:val="0"/>
      <w:marTop w:val="0"/>
      <w:marBottom w:val="0"/>
      <w:divBdr>
        <w:top w:val="none" w:sz="0" w:space="0" w:color="auto"/>
        <w:left w:val="none" w:sz="0" w:space="0" w:color="auto"/>
        <w:bottom w:val="none" w:sz="0" w:space="0" w:color="auto"/>
        <w:right w:val="none" w:sz="0" w:space="0" w:color="auto"/>
      </w:divBdr>
    </w:div>
    <w:div w:id="82534058">
      <w:bodyDiv w:val="1"/>
      <w:marLeft w:val="0"/>
      <w:marRight w:val="0"/>
      <w:marTop w:val="0"/>
      <w:marBottom w:val="0"/>
      <w:divBdr>
        <w:top w:val="none" w:sz="0" w:space="0" w:color="auto"/>
        <w:left w:val="none" w:sz="0" w:space="0" w:color="auto"/>
        <w:bottom w:val="none" w:sz="0" w:space="0" w:color="auto"/>
        <w:right w:val="none" w:sz="0" w:space="0" w:color="auto"/>
      </w:divBdr>
    </w:div>
    <w:div w:id="137573250">
      <w:bodyDiv w:val="1"/>
      <w:marLeft w:val="0"/>
      <w:marRight w:val="0"/>
      <w:marTop w:val="0"/>
      <w:marBottom w:val="0"/>
      <w:divBdr>
        <w:top w:val="none" w:sz="0" w:space="0" w:color="auto"/>
        <w:left w:val="none" w:sz="0" w:space="0" w:color="auto"/>
        <w:bottom w:val="none" w:sz="0" w:space="0" w:color="auto"/>
        <w:right w:val="none" w:sz="0" w:space="0" w:color="auto"/>
      </w:divBdr>
    </w:div>
    <w:div w:id="154348836">
      <w:bodyDiv w:val="1"/>
      <w:marLeft w:val="0"/>
      <w:marRight w:val="0"/>
      <w:marTop w:val="0"/>
      <w:marBottom w:val="0"/>
      <w:divBdr>
        <w:top w:val="none" w:sz="0" w:space="0" w:color="auto"/>
        <w:left w:val="none" w:sz="0" w:space="0" w:color="auto"/>
        <w:bottom w:val="none" w:sz="0" w:space="0" w:color="auto"/>
        <w:right w:val="none" w:sz="0" w:space="0" w:color="auto"/>
      </w:divBdr>
    </w:div>
    <w:div w:id="174879098">
      <w:bodyDiv w:val="1"/>
      <w:marLeft w:val="0"/>
      <w:marRight w:val="0"/>
      <w:marTop w:val="0"/>
      <w:marBottom w:val="0"/>
      <w:divBdr>
        <w:top w:val="none" w:sz="0" w:space="0" w:color="auto"/>
        <w:left w:val="none" w:sz="0" w:space="0" w:color="auto"/>
        <w:bottom w:val="none" w:sz="0" w:space="0" w:color="auto"/>
        <w:right w:val="none" w:sz="0" w:space="0" w:color="auto"/>
      </w:divBdr>
      <w:divsChild>
        <w:div w:id="533467746">
          <w:marLeft w:val="0"/>
          <w:marRight w:val="0"/>
          <w:marTop w:val="0"/>
          <w:marBottom w:val="0"/>
          <w:divBdr>
            <w:top w:val="none" w:sz="0" w:space="0" w:color="auto"/>
            <w:left w:val="none" w:sz="0" w:space="0" w:color="auto"/>
            <w:bottom w:val="none" w:sz="0" w:space="0" w:color="auto"/>
            <w:right w:val="none" w:sz="0" w:space="0" w:color="auto"/>
          </w:divBdr>
        </w:div>
        <w:div w:id="1248541387">
          <w:marLeft w:val="0"/>
          <w:marRight w:val="0"/>
          <w:marTop w:val="0"/>
          <w:marBottom w:val="0"/>
          <w:divBdr>
            <w:top w:val="none" w:sz="0" w:space="0" w:color="auto"/>
            <w:left w:val="none" w:sz="0" w:space="0" w:color="auto"/>
            <w:bottom w:val="none" w:sz="0" w:space="0" w:color="auto"/>
            <w:right w:val="none" w:sz="0" w:space="0" w:color="auto"/>
          </w:divBdr>
        </w:div>
        <w:div w:id="233854211">
          <w:marLeft w:val="0"/>
          <w:marRight w:val="0"/>
          <w:marTop w:val="0"/>
          <w:marBottom w:val="0"/>
          <w:divBdr>
            <w:top w:val="none" w:sz="0" w:space="0" w:color="auto"/>
            <w:left w:val="none" w:sz="0" w:space="0" w:color="auto"/>
            <w:bottom w:val="none" w:sz="0" w:space="0" w:color="auto"/>
            <w:right w:val="none" w:sz="0" w:space="0" w:color="auto"/>
          </w:divBdr>
        </w:div>
        <w:div w:id="80835107">
          <w:marLeft w:val="0"/>
          <w:marRight w:val="0"/>
          <w:marTop w:val="0"/>
          <w:marBottom w:val="0"/>
          <w:divBdr>
            <w:top w:val="none" w:sz="0" w:space="0" w:color="auto"/>
            <w:left w:val="none" w:sz="0" w:space="0" w:color="auto"/>
            <w:bottom w:val="none" w:sz="0" w:space="0" w:color="auto"/>
            <w:right w:val="none" w:sz="0" w:space="0" w:color="auto"/>
          </w:divBdr>
        </w:div>
        <w:div w:id="1244874991">
          <w:marLeft w:val="0"/>
          <w:marRight w:val="0"/>
          <w:marTop w:val="0"/>
          <w:marBottom w:val="0"/>
          <w:divBdr>
            <w:top w:val="none" w:sz="0" w:space="0" w:color="auto"/>
            <w:left w:val="none" w:sz="0" w:space="0" w:color="auto"/>
            <w:bottom w:val="none" w:sz="0" w:space="0" w:color="auto"/>
            <w:right w:val="none" w:sz="0" w:space="0" w:color="auto"/>
          </w:divBdr>
        </w:div>
      </w:divsChild>
    </w:div>
    <w:div w:id="190457124">
      <w:bodyDiv w:val="1"/>
      <w:marLeft w:val="0"/>
      <w:marRight w:val="0"/>
      <w:marTop w:val="0"/>
      <w:marBottom w:val="0"/>
      <w:divBdr>
        <w:top w:val="none" w:sz="0" w:space="0" w:color="auto"/>
        <w:left w:val="none" w:sz="0" w:space="0" w:color="auto"/>
        <w:bottom w:val="none" w:sz="0" w:space="0" w:color="auto"/>
        <w:right w:val="none" w:sz="0" w:space="0" w:color="auto"/>
      </w:divBdr>
    </w:div>
    <w:div w:id="200216181">
      <w:bodyDiv w:val="1"/>
      <w:marLeft w:val="0"/>
      <w:marRight w:val="0"/>
      <w:marTop w:val="0"/>
      <w:marBottom w:val="0"/>
      <w:divBdr>
        <w:top w:val="none" w:sz="0" w:space="0" w:color="auto"/>
        <w:left w:val="none" w:sz="0" w:space="0" w:color="auto"/>
        <w:bottom w:val="none" w:sz="0" w:space="0" w:color="auto"/>
        <w:right w:val="none" w:sz="0" w:space="0" w:color="auto"/>
      </w:divBdr>
    </w:div>
    <w:div w:id="210574709">
      <w:bodyDiv w:val="1"/>
      <w:marLeft w:val="0"/>
      <w:marRight w:val="0"/>
      <w:marTop w:val="0"/>
      <w:marBottom w:val="0"/>
      <w:divBdr>
        <w:top w:val="none" w:sz="0" w:space="0" w:color="auto"/>
        <w:left w:val="none" w:sz="0" w:space="0" w:color="auto"/>
        <w:bottom w:val="none" w:sz="0" w:space="0" w:color="auto"/>
        <w:right w:val="none" w:sz="0" w:space="0" w:color="auto"/>
      </w:divBdr>
    </w:div>
    <w:div w:id="236935835">
      <w:bodyDiv w:val="1"/>
      <w:marLeft w:val="0"/>
      <w:marRight w:val="0"/>
      <w:marTop w:val="0"/>
      <w:marBottom w:val="0"/>
      <w:divBdr>
        <w:top w:val="none" w:sz="0" w:space="0" w:color="auto"/>
        <w:left w:val="none" w:sz="0" w:space="0" w:color="auto"/>
        <w:bottom w:val="none" w:sz="0" w:space="0" w:color="auto"/>
        <w:right w:val="none" w:sz="0" w:space="0" w:color="auto"/>
      </w:divBdr>
    </w:div>
    <w:div w:id="266083748">
      <w:bodyDiv w:val="1"/>
      <w:marLeft w:val="0"/>
      <w:marRight w:val="0"/>
      <w:marTop w:val="0"/>
      <w:marBottom w:val="0"/>
      <w:divBdr>
        <w:top w:val="none" w:sz="0" w:space="0" w:color="auto"/>
        <w:left w:val="none" w:sz="0" w:space="0" w:color="auto"/>
        <w:bottom w:val="none" w:sz="0" w:space="0" w:color="auto"/>
        <w:right w:val="none" w:sz="0" w:space="0" w:color="auto"/>
      </w:divBdr>
    </w:div>
    <w:div w:id="323315251">
      <w:bodyDiv w:val="1"/>
      <w:marLeft w:val="0"/>
      <w:marRight w:val="0"/>
      <w:marTop w:val="0"/>
      <w:marBottom w:val="0"/>
      <w:divBdr>
        <w:top w:val="none" w:sz="0" w:space="0" w:color="auto"/>
        <w:left w:val="none" w:sz="0" w:space="0" w:color="auto"/>
        <w:bottom w:val="none" w:sz="0" w:space="0" w:color="auto"/>
        <w:right w:val="none" w:sz="0" w:space="0" w:color="auto"/>
      </w:divBdr>
      <w:divsChild>
        <w:div w:id="511728741">
          <w:marLeft w:val="0"/>
          <w:marRight w:val="0"/>
          <w:marTop w:val="0"/>
          <w:marBottom w:val="0"/>
          <w:divBdr>
            <w:top w:val="none" w:sz="0" w:space="0" w:color="auto"/>
            <w:left w:val="none" w:sz="0" w:space="0" w:color="auto"/>
            <w:bottom w:val="none" w:sz="0" w:space="0" w:color="auto"/>
            <w:right w:val="none" w:sz="0" w:space="0" w:color="auto"/>
          </w:divBdr>
        </w:div>
        <w:div w:id="670835245">
          <w:marLeft w:val="0"/>
          <w:marRight w:val="0"/>
          <w:marTop w:val="0"/>
          <w:marBottom w:val="0"/>
          <w:divBdr>
            <w:top w:val="none" w:sz="0" w:space="0" w:color="auto"/>
            <w:left w:val="none" w:sz="0" w:space="0" w:color="auto"/>
            <w:bottom w:val="none" w:sz="0" w:space="0" w:color="auto"/>
            <w:right w:val="none" w:sz="0" w:space="0" w:color="auto"/>
          </w:divBdr>
        </w:div>
        <w:div w:id="672420759">
          <w:marLeft w:val="0"/>
          <w:marRight w:val="0"/>
          <w:marTop w:val="0"/>
          <w:marBottom w:val="0"/>
          <w:divBdr>
            <w:top w:val="none" w:sz="0" w:space="0" w:color="auto"/>
            <w:left w:val="none" w:sz="0" w:space="0" w:color="auto"/>
            <w:bottom w:val="none" w:sz="0" w:space="0" w:color="auto"/>
            <w:right w:val="none" w:sz="0" w:space="0" w:color="auto"/>
          </w:divBdr>
        </w:div>
        <w:div w:id="2032803749">
          <w:marLeft w:val="0"/>
          <w:marRight w:val="0"/>
          <w:marTop w:val="0"/>
          <w:marBottom w:val="0"/>
          <w:divBdr>
            <w:top w:val="none" w:sz="0" w:space="0" w:color="auto"/>
            <w:left w:val="none" w:sz="0" w:space="0" w:color="auto"/>
            <w:bottom w:val="none" w:sz="0" w:space="0" w:color="auto"/>
            <w:right w:val="none" w:sz="0" w:space="0" w:color="auto"/>
          </w:divBdr>
        </w:div>
        <w:div w:id="284778897">
          <w:marLeft w:val="0"/>
          <w:marRight w:val="0"/>
          <w:marTop w:val="0"/>
          <w:marBottom w:val="0"/>
          <w:divBdr>
            <w:top w:val="none" w:sz="0" w:space="0" w:color="auto"/>
            <w:left w:val="none" w:sz="0" w:space="0" w:color="auto"/>
            <w:bottom w:val="none" w:sz="0" w:space="0" w:color="auto"/>
            <w:right w:val="none" w:sz="0" w:space="0" w:color="auto"/>
          </w:divBdr>
        </w:div>
      </w:divsChild>
    </w:div>
    <w:div w:id="333463251">
      <w:bodyDiv w:val="1"/>
      <w:marLeft w:val="0"/>
      <w:marRight w:val="0"/>
      <w:marTop w:val="0"/>
      <w:marBottom w:val="0"/>
      <w:divBdr>
        <w:top w:val="none" w:sz="0" w:space="0" w:color="auto"/>
        <w:left w:val="none" w:sz="0" w:space="0" w:color="auto"/>
        <w:bottom w:val="none" w:sz="0" w:space="0" w:color="auto"/>
        <w:right w:val="none" w:sz="0" w:space="0" w:color="auto"/>
      </w:divBdr>
    </w:div>
    <w:div w:id="386102994">
      <w:bodyDiv w:val="1"/>
      <w:marLeft w:val="0"/>
      <w:marRight w:val="0"/>
      <w:marTop w:val="0"/>
      <w:marBottom w:val="0"/>
      <w:divBdr>
        <w:top w:val="none" w:sz="0" w:space="0" w:color="auto"/>
        <w:left w:val="none" w:sz="0" w:space="0" w:color="auto"/>
        <w:bottom w:val="none" w:sz="0" w:space="0" w:color="auto"/>
        <w:right w:val="none" w:sz="0" w:space="0" w:color="auto"/>
      </w:divBdr>
      <w:divsChild>
        <w:div w:id="1919747550">
          <w:marLeft w:val="0"/>
          <w:marRight w:val="0"/>
          <w:marTop w:val="0"/>
          <w:marBottom w:val="0"/>
          <w:divBdr>
            <w:top w:val="none" w:sz="0" w:space="0" w:color="auto"/>
            <w:left w:val="none" w:sz="0" w:space="0" w:color="auto"/>
            <w:bottom w:val="none" w:sz="0" w:space="0" w:color="auto"/>
            <w:right w:val="none" w:sz="0" w:space="0" w:color="auto"/>
          </w:divBdr>
          <w:divsChild>
            <w:div w:id="35680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9114270">
      <w:bodyDiv w:val="1"/>
      <w:marLeft w:val="0"/>
      <w:marRight w:val="0"/>
      <w:marTop w:val="0"/>
      <w:marBottom w:val="0"/>
      <w:divBdr>
        <w:top w:val="none" w:sz="0" w:space="0" w:color="auto"/>
        <w:left w:val="none" w:sz="0" w:space="0" w:color="auto"/>
        <w:bottom w:val="none" w:sz="0" w:space="0" w:color="auto"/>
        <w:right w:val="none" w:sz="0" w:space="0" w:color="auto"/>
      </w:divBdr>
    </w:div>
    <w:div w:id="458646431">
      <w:bodyDiv w:val="1"/>
      <w:marLeft w:val="0"/>
      <w:marRight w:val="0"/>
      <w:marTop w:val="0"/>
      <w:marBottom w:val="0"/>
      <w:divBdr>
        <w:top w:val="none" w:sz="0" w:space="0" w:color="auto"/>
        <w:left w:val="none" w:sz="0" w:space="0" w:color="auto"/>
        <w:bottom w:val="none" w:sz="0" w:space="0" w:color="auto"/>
        <w:right w:val="none" w:sz="0" w:space="0" w:color="auto"/>
      </w:divBdr>
    </w:div>
    <w:div w:id="493450193">
      <w:bodyDiv w:val="1"/>
      <w:marLeft w:val="0"/>
      <w:marRight w:val="0"/>
      <w:marTop w:val="0"/>
      <w:marBottom w:val="0"/>
      <w:divBdr>
        <w:top w:val="none" w:sz="0" w:space="0" w:color="auto"/>
        <w:left w:val="none" w:sz="0" w:space="0" w:color="auto"/>
        <w:bottom w:val="none" w:sz="0" w:space="0" w:color="auto"/>
        <w:right w:val="none" w:sz="0" w:space="0" w:color="auto"/>
      </w:divBdr>
    </w:div>
    <w:div w:id="494152945">
      <w:bodyDiv w:val="1"/>
      <w:marLeft w:val="0"/>
      <w:marRight w:val="0"/>
      <w:marTop w:val="0"/>
      <w:marBottom w:val="0"/>
      <w:divBdr>
        <w:top w:val="none" w:sz="0" w:space="0" w:color="auto"/>
        <w:left w:val="none" w:sz="0" w:space="0" w:color="auto"/>
        <w:bottom w:val="none" w:sz="0" w:space="0" w:color="auto"/>
        <w:right w:val="none" w:sz="0" w:space="0" w:color="auto"/>
      </w:divBdr>
      <w:divsChild>
        <w:div w:id="1087312415">
          <w:marLeft w:val="0"/>
          <w:marRight w:val="0"/>
          <w:marTop w:val="0"/>
          <w:marBottom w:val="0"/>
          <w:divBdr>
            <w:top w:val="none" w:sz="0" w:space="0" w:color="auto"/>
            <w:left w:val="none" w:sz="0" w:space="0" w:color="auto"/>
            <w:bottom w:val="none" w:sz="0" w:space="0" w:color="auto"/>
            <w:right w:val="none" w:sz="0" w:space="0" w:color="auto"/>
          </w:divBdr>
        </w:div>
        <w:div w:id="1263682039">
          <w:marLeft w:val="0"/>
          <w:marRight w:val="0"/>
          <w:marTop w:val="0"/>
          <w:marBottom w:val="0"/>
          <w:divBdr>
            <w:top w:val="none" w:sz="0" w:space="0" w:color="auto"/>
            <w:left w:val="none" w:sz="0" w:space="0" w:color="auto"/>
            <w:bottom w:val="none" w:sz="0" w:space="0" w:color="auto"/>
            <w:right w:val="none" w:sz="0" w:space="0" w:color="auto"/>
          </w:divBdr>
        </w:div>
        <w:div w:id="729890223">
          <w:marLeft w:val="0"/>
          <w:marRight w:val="0"/>
          <w:marTop w:val="0"/>
          <w:marBottom w:val="0"/>
          <w:divBdr>
            <w:top w:val="none" w:sz="0" w:space="0" w:color="auto"/>
            <w:left w:val="none" w:sz="0" w:space="0" w:color="auto"/>
            <w:bottom w:val="none" w:sz="0" w:space="0" w:color="auto"/>
            <w:right w:val="none" w:sz="0" w:space="0" w:color="auto"/>
          </w:divBdr>
        </w:div>
        <w:div w:id="28457795">
          <w:marLeft w:val="0"/>
          <w:marRight w:val="0"/>
          <w:marTop w:val="0"/>
          <w:marBottom w:val="0"/>
          <w:divBdr>
            <w:top w:val="none" w:sz="0" w:space="0" w:color="auto"/>
            <w:left w:val="none" w:sz="0" w:space="0" w:color="auto"/>
            <w:bottom w:val="none" w:sz="0" w:space="0" w:color="auto"/>
            <w:right w:val="none" w:sz="0" w:space="0" w:color="auto"/>
          </w:divBdr>
        </w:div>
      </w:divsChild>
    </w:div>
    <w:div w:id="509415610">
      <w:bodyDiv w:val="1"/>
      <w:marLeft w:val="0"/>
      <w:marRight w:val="0"/>
      <w:marTop w:val="0"/>
      <w:marBottom w:val="0"/>
      <w:divBdr>
        <w:top w:val="none" w:sz="0" w:space="0" w:color="auto"/>
        <w:left w:val="none" w:sz="0" w:space="0" w:color="auto"/>
        <w:bottom w:val="none" w:sz="0" w:space="0" w:color="auto"/>
        <w:right w:val="none" w:sz="0" w:space="0" w:color="auto"/>
      </w:divBdr>
    </w:div>
    <w:div w:id="532041634">
      <w:bodyDiv w:val="1"/>
      <w:marLeft w:val="0"/>
      <w:marRight w:val="0"/>
      <w:marTop w:val="0"/>
      <w:marBottom w:val="0"/>
      <w:divBdr>
        <w:top w:val="none" w:sz="0" w:space="0" w:color="auto"/>
        <w:left w:val="none" w:sz="0" w:space="0" w:color="auto"/>
        <w:bottom w:val="none" w:sz="0" w:space="0" w:color="auto"/>
        <w:right w:val="none" w:sz="0" w:space="0" w:color="auto"/>
      </w:divBdr>
    </w:div>
    <w:div w:id="606472386">
      <w:bodyDiv w:val="1"/>
      <w:marLeft w:val="0"/>
      <w:marRight w:val="0"/>
      <w:marTop w:val="0"/>
      <w:marBottom w:val="0"/>
      <w:divBdr>
        <w:top w:val="none" w:sz="0" w:space="0" w:color="auto"/>
        <w:left w:val="none" w:sz="0" w:space="0" w:color="auto"/>
        <w:bottom w:val="none" w:sz="0" w:space="0" w:color="auto"/>
        <w:right w:val="none" w:sz="0" w:space="0" w:color="auto"/>
      </w:divBdr>
    </w:div>
    <w:div w:id="609357133">
      <w:bodyDiv w:val="1"/>
      <w:marLeft w:val="0"/>
      <w:marRight w:val="0"/>
      <w:marTop w:val="0"/>
      <w:marBottom w:val="0"/>
      <w:divBdr>
        <w:top w:val="none" w:sz="0" w:space="0" w:color="auto"/>
        <w:left w:val="none" w:sz="0" w:space="0" w:color="auto"/>
        <w:bottom w:val="none" w:sz="0" w:space="0" w:color="auto"/>
        <w:right w:val="none" w:sz="0" w:space="0" w:color="auto"/>
      </w:divBdr>
      <w:divsChild>
        <w:div w:id="823349861">
          <w:marLeft w:val="0"/>
          <w:marRight w:val="0"/>
          <w:marTop w:val="0"/>
          <w:marBottom w:val="0"/>
          <w:divBdr>
            <w:top w:val="none" w:sz="0" w:space="0" w:color="auto"/>
            <w:left w:val="none" w:sz="0" w:space="0" w:color="auto"/>
            <w:bottom w:val="none" w:sz="0" w:space="0" w:color="auto"/>
            <w:right w:val="none" w:sz="0" w:space="0" w:color="auto"/>
          </w:divBdr>
        </w:div>
        <w:div w:id="2082362282">
          <w:marLeft w:val="0"/>
          <w:marRight w:val="0"/>
          <w:marTop w:val="0"/>
          <w:marBottom w:val="0"/>
          <w:divBdr>
            <w:top w:val="none" w:sz="0" w:space="0" w:color="auto"/>
            <w:left w:val="none" w:sz="0" w:space="0" w:color="auto"/>
            <w:bottom w:val="none" w:sz="0" w:space="0" w:color="auto"/>
            <w:right w:val="none" w:sz="0" w:space="0" w:color="auto"/>
          </w:divBdr>
        </w:div>
        <w:div w:id="918561031">
          <w:marLeft w:val="0"/>
          <w:marRight w:val="0"/>
          <w:marTop w:val="0"/>
          <w:marBottom w:val="0"/>
          <w:divBdr>
            <w:top w:val="none" w:sz="0" w:space="0" w:color="auto"/>
            <w:left w:val="none" w:sz="0" w:space="0" w:color="auto"/>
            <w:bottom w:val="none" w:sz="0" w:space="0" w:color="auto"/>
            <w:right w:val="none" w:sz="0" w:space="0" w:color="auto"/>
          </w:divBdr>
        </w:div>
        <w:div w:id="444621495">
          <w:marLeft w:val="0"/>
          <w:marRight w:val="0"/>
          <w:marTop w:val="0"/>
          <w:marBottom w:val="0"/>
          <w:divBdr>
            <w:top w:val="none" w:sz="0" w:space="0" w:color="auto"/>
            <w:left w:val="none" w:sz="0" w:space="0" w:color="auto"/>
            <w:bottom w:val="none" w:sz="0" w:space="0" w:color="auto"/>
            <w:right w:val="none" w:sz="0" w:space="0" w:color="auto"/>
          </w:divBdr>
        </w:div>
      </w:divsChild>
    </w:div>
    <w:div w:id="697705506">
      <w:bodyDiv w:val="1"/>
      <w:marLeft w:val="0"/>
      <w:marRight w:val="0"/>
      <w:marTop w:val="0"/>
      <w:marBottom w:val="0"/>
      <w:divBdr>
        <w:top w:val="none" w:sz="0" w:space="0" w:color="auto"/>
        <w:left w:val="none" w:sz="0" w:space="0" w:color="auto"/>
        <w:bottom w:val="none" w:sz="0" w:space="0" w:color="auto"/>
        <w:right w:val="none" w:sz="0" w:space="0" w:color="auto"/>
      </w:divBdr>
      <w:divsChild>
        <w:div w:id="1960794466">
          <w:marLeft w:val="0"/>
          <w:marRight w:val="0"/>
          <w:marTop w:val="0"/>
          <w:marBottom w:val="0"/>
          <w:divBdr>
            <w:top w:val="none" w:sz="0" w:space="0" w:color="auto"/>
            <w:left w:val="none" w:sz="0" w:space="0" w:color="auto"/>
            <w:bottom w:val="none" w:sz="0" w:space="0" w:color="auto"/>
            <w:right w:val="none" w:sz="0" w:space="0" w:color="auto"/>
          </w:divBdr>
          <w:divsChild>
            <w:div w:id="1574970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9647834">
      <w:bodyDiv w:val="1"/>
      <w:marLeft w:val="0"/>
      <w:marRight w:val="0"/>
      <w:marTop w:val="0"/>
      <w:marBottom w:val="0"/>
      <w:divBdr>
        <w:top w:val="none" w:sz="0" w:space="0" w:color="auto"/>
        <w:left w:val="none" w:sz="0" w:space="0" w:color="auto"/>
        <w:bottom w:val="none" w:sz="0" w:space="0" w:color="auto"/>
        <w:right w:val="none" w:sz="0" w:space="0" w:color="auto"/>
      </w:divBdr>
      <w:divsChild>
        <w:div w:id="506559091">
          <w:marLeft w:val="0"/>
          <w:marRight w:val="0"/>
          <w:marTop w:val="0"/>
          <w:marBottom w:val="0"/>
          <w:divBdr>
            <w:top w:val="none" w:sz="0" w:space="0" w:color="auto"/>
            <w:left w:val="none" w:sz="0" w:space="0" w:color="auto"/>
            <w:bottom w:val="none" w:sz="0" w:space="0" w:color="auto"/>
            <w:right w:val="none" w:sz="0" w:space="0" w:color="auto"/>
          </w:divBdr>
          <w:divsChild>
            <w:div w:id="1589118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490511">
      <w:bodyDiv w:val="1"/>
      <w:marLeft w:val="0"/>
      <w:marRight w:val="0"/>
      <w:marTop w:val="0"/>
      <w:marBottom w:val="0"/>
      <w:divBdr>
        <w:top w:val="none" w:sz="0" w:space="0" w:color="auto"/>
        <w:left w:val="none" w:sz="0" w:space="0" w:color="auto"/>
        <w:bottom w:val="none" w:sz="0" w:space="0" w:color="auto"/>
        <w:right w:val="none" w:sz="0" w:space="0" w:color="auto"/>
      </w:divBdr>
      <w:divsChild>
        <w:div w:id="1467118471">
          <w:marLeft w:val="0"/>
          <w:marRight w:val="0"/>
          <w:marTop w:val="0"/>
          <w:marBottom w:val="0"/>
          <w:divBdr>
            <w:top w:val="none" w:sz="0" w:space="0" w:color="auto"/>
            <w:left w:val="none" w:sz="0" w:space="0" w:color="auto"/>
            <w:bottom w:val="none" w:sz="0" w:space="0" w:color="auto"/>
            <w:right w:val="none" w:sz="0" w:space="0" w:color="auto"/>
          </w:divBdr>
          <w:divsChild>
            <w:div w:id="59382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966417">
      <w:bodyDiv w:val="1"/>
      <w:marLeft w:val="0"/>
      <w:marRight w:val="0"/>
      <w:marTop w:val="0"/>
      <w:marBottom w:val="0"/>
      <w:divBdr>
        <w:top w:val="none" w:sz="0" w:space="0" w:color="auto"/>
        <w:left w:val="none" w:sz="0" w:space="0" w:color="auto"/>
        <w:bottom w:val="none" w:sz="0" w:space="0" w:color="auto"/>
        <w:right w:val="none" w:sz="0" w:space="0" w:color="auto"/>
      </w:divBdr>
      <w:divsChild>
        <w:div w:id="1160342550">
          <w:marLeft w:val="0"/>
          <w:marRight w:val="0"/>
          <w:marTop w:val="0"/>
          <w:marBottom w:val="0"/>
          <w:divBdr>
            <w:top w:val="none" w:sz="0" w:space="0" w:color="auto"/>
            <w:left w:val="none" w:sz="0" w:space="0" w:color="auto"/>
            <w:bottom w:val="none" w:sz="0" w:space="0" w:color="auto"/>
            <w:right w:val="none" w:sz="0" w:space="0" w:color="auto"/>
          </w:divBdr>
          <w:divsChild>
            <w:div w:id="10684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174108">
      <w:bodyDiv w:val="1"/>
      <w:marLeft w:val="0"/>
      <w:marRight w:val="0"/>
      <w:marTop w:val="0"/>
      <w:marBottom w:val="0"/>
      <w:divBdr>
        <w:top w:val="none" w:sz="0" w:space="0" w:color="auto"/>
        <w:left w:val="none" w:sz="0" w:space="0" w:color="auto"/>
        <w:bottom w:val="none" w:sz="0" w:space="0" w:color="auto"/>
        <w:right w:val="none" w:sz="0" w:space="0" w:color="auto"/>
      </w:divBdr>
    </w:div>
    <w:div w:id="826096463">
      <w:bodyDiv w:val="1"/>
      <w:marLeft w:val="0"/>
      <w:marRight w:val="0"/>
      <w:marTop w:val="0"/>
      <w:marBottom w:val="0"/>
      <w:divBdr>
        <w:top w:val="none" w:sz="0" w:space="0" w:color="auto"/>
        <w:left w:val="none" w:sz="0" w:space="0" w:color="auto"/>
        <w:bottom w:val="none" w:sz="0" w:space="0" w:color="auto"/>
        <w:right w:val="none" w:sz="0" w:space="0" w:color="auto"/>
      </w:divBdr>
      <w:divsChild>
        <w:div w:id="1352994224">
          <w:marLeft w:val="0"/>
          <w:marRight w:val="0"/>
          <w:marTop w:val="0"/>
          <w:marBottom w:val="0"/>
          <w:divBdr>
            <w:top w:val="none" w:sz="0" w:space="0" w:color="auto"/>
            <w:left w:val="none" w:sz="0" w:space="0" w:color="auto"/>
            <w:bottom w:val="none" w:sz="0" w:space="0" w:color="auto"/>
            <w:right w:val="none" w:sz="0" w:space="0" w:color="auto"/>
          </w:divBdr>
        </w:div>
        <w:div w:id="763501021">
          <w:marLeft w:val="0"/>
          <w:marRight w:val="0"/>
          <w:marTop w:val="0"/>
          <w:marBottom w:val="0"/>
          <w:divBdr>
            <w:top w:val="none" w:sz="0" w:space="0" w:color="auto"/>
            <w:left w:val="none" w:sz="0" w:space="0" w:color="auto"/>
            <w:bottom w:val="none" w:sz="0" w:space="0" w:color="auto"/>
            <w:right w:val="none" w:sz="0" w:space="0" w:color="auto"/>
          </w:divBdr>
        </w:div>
        <w:div w:id="1232546615">
          <w:marLeft w:val="0"/>
          <w:marRight w:val="0"/>
          <w:marTop w:val="0"/>
          <w:marBottom w:val="0"/>
          <w:divBdr>
            <w:top w:val="none" w:sz="0" w:space="0" w:color="auto"/>
            <w:left w:val="none" w:sz="0" w:space="0" w:color="auto"/>
            <w:bottom w:val="none" w:sz="0" w:space="0" w:color="auto"/>
            <w:right w:val="none" w:sz="0" w:space="0" w:color="auto"/>
          </w:divBdr>
        </w:div>
        <w:div w:id="2015306195">
          <w:marLeft w:val="0"/>
          <w:marRight w:val="0"/>
          <w:marTop w:val="0"/>
          <w:marBottom w:val="0"/>
          <w:divBdr>
            <w:top w:val="none" w:sz="0" w:space="0" w:color="auto"/>
            <w:left w:val="none" w:sz="0" w:space="0" w:color="auto"/>
            <w:bottom w:val="none" w:sz="0" w:space="0" w:color="auto"/>
            <w:right w:val="none" w:sz="0" w:space="0" w:color="auto"/>
          </w:divBdr>
        </w:div>
      </w:divsChild>
    </w:div>
    <w:div w:id="870073483">
      <w:bodyDiv w:val="1"/>
      <w:marLeft w:val="0"/>
      <w:marRight w:val="0"/>
      <w:marTop w:val="0"/>
      <w:marBottom w:val="0"/>
      <w:divBdr>
        <w:top w:val="none" w:sz="0" w:space="0" w:color="auto"/>
        <w:left w:val="none" w:sz="0" w:space="0" w:color="auto"/>
        <w:bottom w:val="none" w:sz="0" w:space="0" w:color="auto"/>
        <w:right w:val="none" w:sz="0" w:space="0" w:color="auto"/>
      </w:divBdr>
    </w:div>
    <w:div w:id="973951129">
      <w:bodyDiv w:val="1"/>
      <w:marLeft w:val="0"/>
      <w:marRight w:val="0"/>
      <w:marTop w:val="0"/>
      <w:marBottom w:val="0"/>
      <w:divBdr>
        <w:top w:val="none" w:sz="0" w:space="0" w:color="auto"/>
        <w:left w:val="none" w:sz="0" w:space="0" w:color="auto"/>
        <w:bottom w:val="none" w:sz="0" w:space="0" w:color="auto"/>
        <w:right w:val="none" w:sz="0" w:space="0" w:color="auto"/>
      </w:divBdr>
      <w:divsChild>
        <w:div w:id="1267930962">
          <w:marLeft w:val="0"/>
          <w:marRight w:val="0"/>
          <w:marTop w:val="0"/>
          <w:marBottom w:val="0"/>
          <w:divBdr>
            <w:top w:val="none" w:sz="0" w:space="0" w:color="auto"/>
            <w:left w:val="none" w:sz="0" w:space="0" w:color="auto"/>
            <w:bottom w:val="none" w:sz="0" w:space="0" w:color="auto"/>
            <w:right w:val="none" w:sz="0" w:space="0" w:color="auto"/>
          </w:divBdr>
          <w:divsChild>
            <w:div w:id="640892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2491930">
      <w:bodyDiv w:val="1"/>
      <w:marLeft w:val="0"/>
      <w:marRight w:val="0"/>
      <w:marTop w:val="0"/>
      <w:marBottom w:val="0"/>
      <w:divBdr>
        <w:top w:val="none" w:sz="0" w:space="0" w:color="auto"/>
        <w:left w:val="none" w:sz="0" w:space="0" w:color="auto"/>
        <w:bottom w:val="none" w:sz="0" w:space="0" w:color="auto"/>
        <w:right w:val="none" w:sz="0" w:space="0" w:color="auto"/>
      </w:divBdr>
    </w:div>
    <w:div w:id="1046220433">
      <w:bodyDiv w:val="1"/>
      <w:marLeft w:val="0"/>
      <w:marRight w:val="0"/>
      <w:marTop w:val="0"/>
      <w:marBottom w:val="0"/>
      <w:divBdr>
        <w:top w:val="none" w:sz="0" w:space="0" w:color="auto"/>
        <w:left w:val="none" w:sz="0" w:space="0" w:color="auto"/>
        <w:bottom w:val="none" w:sz="0" w:space="0" w:color="auto"/>
        <w:right w:val="none" w:sz="0" w:space="0" w:color="auto"/>
      </w:divBdr>
    </w:div>
    <w:div w:id="1097098757">
      <w:bodyDiv w:val="1"/>
      <w:marLeft w:val="0"/>
      <w:marRight w:val="0"/>
      <w:marTop w:val="0"/>
      <w:marBottom w:val="0"/>
      <w:divBdr>
        <w:top w:val="none" w:sz="0" w:space="0" w:color="auto"/>
        <w:left w:val="none" w:sz="0" w:space="0" w:color="auto"/>
        <w:bottom w:val="none" w:sz="0" w:space="0" w:color="auto"/>
        <w:right w:val="none" w:sz="0" w:space="0" w:color="auto"/>
      </w:divBdr>
    </w:div>
    <w:div w:id="1124036082">
      <w:bodyDiv w:val="1"/>
      <w:marLeft w:val="0"/>
      <w:marRight w:val="0"/>
      <w:marTop w:val="0"/>
      <w:marBottom w:val="0"/>
      <w:divBdr>
        <w:top w:val="none" w:sz="0" w:space="0" w:color="auto"/>
        <w:left w:val="none" w:sz="0" w:space="0" w:color="auto"/>
        <w:bottom w:val="none" w:sz="0" w:space="0" w:color="auto"/>
        <w:right w:val="none" w:sz="0" w:space="0" w:color="auto"/>
      </w:divBdr>
    </w:div>
    <w:div w:id="1189023726">
      <w:bodyDiv w:val="1"/>
      <w:marLeft w:val="0"/>
      <w:marRight w:val="0"/>
      <w:marTop w:val="0"/>
      <w:marBottom w:val="0"/>
      <w:divBdr>
        <w:top w:val="none" w:sz="0" w:space="0" w:color="auto"/>
        <w:left w:val="none" w:sz="0" w:space="0" w:color="auto"/>
        <w:bottom w:val="none" w:sz="0" w:space="0" w:color="auto"/>
        <w:right w:val="none" w:sz="0" w:space="0" w:color="auto"/>
      </w:divBdr>
      <w:divsChild>
        <w:div w:id="1974016577">
          <w:marLeft w:val="0"/>
          <w:marRight w:val="0"/>
          <w:marTop w:val="0"/>
          <w:marBottom w:val="0"/>
          <w:divBdr>
            <w:top w:val="none" w:sz="0" w:space="0" w:color="auto"/>
            <w:left w:val="none" w:sz="0" w:space="0" w:color="auto"/>
            <w:bottom w:val="none" w:sz="0" w:space="0" w:color="auto"/>
            <w:right w:val="none" w:sz="0" w:space="0" w:color="auto"/>
          </w:divBdr>
          <w:divsChild>
            <w:div w:id="1219822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235775">
      <w:bodyDiv w:val="1"/>
      <w:marLeft w:val="0"/>
      <w:marRight w:val="0"/>
      <w:marTop w:val="0"/>
      <w:marBottom w:val="0"/>
      <w:divBdr>
        <w:top w:val="none" w:sz="0" w:space="0" w:color="auto"/>
        <w:left w:val="none" w:sz="0" w:space="0" w:color="auto"/>
        <w:bottom w:val="none" w:sz="0" w:space="0" w:color="auto"/>
        <w:right w:val="none" w:sz="0" w:space="0" w:color="auto"/>
      </w:divBdr>
    </w:div>
    <w:div w:id="1282806246">
      <w:bodyDiv w:val="1"/>
      <w:marLeft w:val="0"/>
      <w:marRight w:val="0"/>
      <w:marTop w:val="0"/>
      <w:marBottom w:val="0"/>
      <w:divBdr>
        <w:top w:val="none" w:sz="0" w:space="0" w:color="auto"/>
        <w:left w:val="none" w:sz="0" w:space="0" w:color="auto"/>
        <w:bottom w:val="none" w:sz="0" w:space="0" w:color="auto"/>
        <w:right w:val="none" w:sz="0" w:space="0" w:color="auto"/>
      </w:divBdr>
    </w:div>
    <w:div w:id="1335304261">
      <w:bodyDiv w:val="1"/>
      <w:marLeft w:val="0"/>
      <w:marRight w:val="0"/>
      <w:marTop w:val="0"/>
      <w:marBottom w:val="0"/>
      <w:divBdr>
        <w:top w:val="none" w:sz="0" w:space="0" w:color="auto"/>
        <w:left w:val="none" w:sz="0" w:space="0" w:color="auto"/>
        <w:bottom w:val="none" w:sz="0" w:space="0" w:color="auto"/>
        <w:right w:val="none" w:sz="0" w:space="0" w:color="auto"/>
      </w:divBdr>
    </w:div>
    <w:div w:id="1339575816">
      <w:bodyDiv w:val="1"/>
      <w:marLeft w:val="0"/>
      <w:marRight w:val="0"/>
      <w:marTop w:val="0"/>
      <w:marBottom w:val="0"/>
      <w:divBdr>
        <w:top w:val="none" w:sz="0" w:space="0" w:color="auto"/>
        <w:left w:val="none" w:sz="0" w:space="0" w:color="auto"/>
        <w:bottom w:val="none" w:sz="0" w:space="0" w:color="auto"/>
        <w:right w:val="none" w:sz="0" w:space="0" w:color="auto"/>
      </w:divBdr>
      <w:divsChild>
        <w:div w:id="916748749">
          <w:marLeft w:val="0"/>
          <w:marRight w:val="0"/>
          <w:marTop w:val="0"/>
          <w:marBottom w:val="0"/>
          <w:divBdr>
            <w:top w:val="none" w:sz="0" w:space="0" w:color="auto"/>
            <w:left w:val="none" w:sz="0" w:space="0" w:color="auto"/>
            <w:bottom w:val="none" w:sz="0" w:space="0" w:color="auto"/>
            <w:right w:val="none" w:sz="0" w:space="0" w:color="auto"/>
          </w:divBdr>
          <w:divsChild>
            <w:div w:id="103399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701490">
      <w:bodyDiv w:val="1"/>
      <w:marLeft w:val="0"/>
      <w:marRight w:val="0"/>
      <w:marTop w:val="0"/>
      <w:marBottom w:val="0"/>
      <w:divBdr>
        <w:top w:val="none" w:sz="0" w:space="0" w:color="auto"/>
        <w:left w:val="none" w:sz="0" w:space="0" w:color="auto"/>
        <w:bottom w:val="none" w:sz="0" w:space="0" w:color="auto"/>
        <w:right w:val="none" w:sz="0" w:space="0" w:color="auto"/>
      </w:divBdr>
      <w:divsChild>
        <w:div w:id="1063021734">
          <w:marLeft w:val="0"/>
          <w:marRight w:val="0"/>
          <w:marTop w:val="0"/>
          <w:marBottom w:val="0"/>
          <w:divBdr>
            <w:top w:val="none" w:sz="0" w:space="0" w:color="auto"/>
            <w:left w:val="none" w:sz="0" w:space="0" w:color="auto"/>
            <w:bottom w:val="none" w:sz="0" w:space="0" w:color="auto"/>
            <w:right w:val="none" w:sz="0" w:space="0" w:color="auto"/>
          </w:divBdr>
          <w:divsChild>
            <w:div w:id="693926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405671">
      <w:bodyDiv w:val="1"/>
      <w:marLeft w:val="0"/>
      <w:marRight w:val="0"/>
      <w:marTop w:val="0"/>
      <w:marBottom w:val="0"/>
      <w:divBdr>
        <w:top w:val="none" w:sz="0" w:space="0" w:color="auto"/>
        <w:left w:val="none" w:sz="0" w:space="0" w:color="auto"/>
        <w:bottom w:val="none" w:sz="0" w:space="0" w:color="auto"/>
        <w:right w:val="none" w:sz="0" w:space="0" w:color="auto"/>
      </w:divBdr>
    </w:div>
    <w:div w:id="1368289418">
      <w:bodyDiv w:val="1"/>
      <w:marLeft w:val="0"/>
      <w:marRight w:val="0"/>
      <w:marTop w:val="0"/>
      <w:marBottom w:val="0"/>
      <w:divBdr>
        <w:top w:val="none" w:sz="0" w:space="0" w:color="auto"/>
        <w:left w:val="none" w:sz="0" w:space="0" w:color="auto"/>
        <w:bottom w:val="none" w:sz="0" w:space="0" w:color="auto"/>
        <w:right w:val="none" w:sz="0" w:space="0" w:color="auto"/>
      </w:divBdr>
    </w:div>
    <w:div w:id="1461919952">
      <w:bodyDiv w:val="1"/>
      <w:marLeft w:val="0"/>
      <w:marRight w:val="0"/>
      <w:marTop w:val="0"/>
      <w:marBottom w:val="0"/>
      <w:divBdr>
        <w:top w:val="none" w:sz="0" w:space="0" w:color="auto"/>
        <w:left w:val="none" w:sz="0" w:space="0" w:color="auto"/>
        <w:bottom w:val="none" w:sz="0" w:space="0" w:color="auto"/>
        <w:right w:val="none" w:sz="0" w:space="0" w:color="auto"/>
      </w:divBdr>
    </w:div>
    <w:div w:id="1481383098">
      <w:bodyDiv w:val="1"/>
      <w:marLeft w:val="0"/>
      <w:marRight w:val="0"/>
      <w:marTop w:val="0"/>
      <w:marBottom w:val="0"/>
      <w:divBdr>
        <w:top w:val="none" w:sz="0" w:space="0" w:color="auto"/>
        <w:left w:val="none" w:sz="0" w:space="0" w:color="auto"/>
        <w:bottom w:val="none" w:sz="0" w:space="0" w:color="auto"/>
        <w:right w:val="none" w:sz="0" w:space="0" w:color="auto"/>
      </w:divBdr>
      <w:divsChild>
        <w:div w:id="30692250">
          <w:marLeft w:val="0"/>
          <w:marRight w:val="0"/>
          <w:marTop w:val="0"/>
          <w:marBottom w:val="0"/>
          <w:divBdr>
            <w:top w:val="none" w:sz="0" w:space="0" w:color="auto"/>
            <w:left w:val="none" w:sz="0" w:space="0" w:color="auto"/>
            <w:bottom w:val="none" w:sz="0" w:space="0" w:color="auto"/>
            <w:right w:val="none" w:sz="0" w:space="0" w:color="auto"/>
          </w:divBdr>
          <w:divsChild>
            <w:div w:id="207916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150842">
      <w:bodyDiv w:val="1"/>
      <w:marLeft w:val="0"/>
      <w:marRight w:val="0"/>
      <w:marTop w:val="0"/>
      <w:marBottom w:val="0"/>
      <w:divBdr>
        <w:top w:val="none" w:sz="0" w:space="0" w:color="auto"/>
        <w:left w:val="none" w:sz="0" w:space="0" w:color="auto"/>
        <w:bottom w:val="none" w:sz="0" w:space="0" w:color="auto"/>
        <w:right w:val="none" w:sz="0" w:space="0" w:color="auto"/>
      </w:divBdr>
    </w:div>
    <w:div w:id="1594431962">
      <w:bodyDiv w:val="1"/>
      <w:marLeft w:val="0"/>
      <w:marRight w:val="0"/>
      <w:marTop w:val="0"/>
      <w:marBottom w:val="0"/>
      <w:divBdr>
        <w:top w:val="none" w:sz="0" w:space="0" w:color="auto"/>
        <w:left w:val="none" w:sz="0" w:space="0" w:color="auto"/>
        <w:bottom w:val="none" w:sz="0" w:space="0" w:color="auto"/>
        <w:right w:val="none" w:sz="0" w:space="0" w:color="auto"/>
      </w:divBdr>
      <w:divsChild>
        <w:div w:id="653025922">
          <w:marLeft w:val="0"/>
          <w:marRight w:val="0"/>
          <w:marTop w:val="0"/>
          <w:marBottom w:val="0"/>
          <w:divBdr>
            <w:top w:val="none" w:sz="0" w:space="0" w:color="auto"/>
            <w:left w:val="none" w:sz="0" w:space="0" w:color="auto"/>
            <w:bottom w:val="none" w:sz="0" w:space="0" w:color="auto"/>
            <w:right w:val="none" w:sz="0" w:space="0" w:color="auto"/>
          </w:divBdr>
        </w:div>
        <w:div w:id="824273601">
          <w:marLeft w:val="0"/>
          <w:marRight w:val="0"/>
          <w:marTop w:val="0"/>
          <w:marBottom w:val="0"/>
          <w:divBdr>
            <w:top w:val="none" w:sz="0" w:space="0" w:color="auto"/>
            <w:left w:val="none" w:sz="0" w:space="0" w:color="auto"/>
            <w:bottom w:val="none" w:sz="0" w:space="0" w:color="auto"/>
            <w:right w:val="none" w:sz="0" w:space="0" w:color="auto"/>
          </w:divBdr>
        </w:div>
        <w:div w:id="220990017">
          <w:marLeft w:val="0"/>
          <w:marRight w:val="0"/>
          <w:marTop w:val="0"/>
          <w:marBottom w:val="0"/>
          <w:divBdr>
            <w:top w:val="none" w:sz="0" w:space="0" w:color="auto"/>
            <w:left w:val="none" w:sz="0" w:space="0" w:color="auto"/>
            <w:bottom w:val="none" w:sz="0" w:space="0" w:color="auto"/>
            <w:right w:val="none" w:sz="0" w:space="0" w:color="auto"/>
          </w:divBdr>
        </w:div>
        <w:div w:id="412314115">
          <w:marLeft w:val="0"/>
          <w:marRight w:val="0"/>
          <w:marTop w:val="0"/>
          <w:marBottom w:val="0"/>
          <w:divBdr>
            <w:top w:val="none" w:sz="0" w:space="0" w:color="auto"/>
            <w:left w:val="none" w:sz="0" w:space="0" w:color="auto"/>
            <w:bottom w:val="none" w:sz="0" w:space="0" w:color="auto"/>
            <w:right w:val="none" w:sz="0" w:space="0" w:color="auto"/>
          </w:divBdr>
        </w:div>
        <w:div w:id="1331832585">
          <w:marLeft w:val="0"/>
          <w:marRight w:val="0"/>
          <w:marTop w:val="0"/>
          <w:marBottom w:val="0"/>
          <w:divBdr>
            <w:top w:val="none" w:sz="0" w:space="0" w:color="auto"/>
            <w:left w:val="none" w:sz="0" w:space="0" w:color="auto"/>
            <w:bottom w:val="none" w:sz="0" w:space="0" w:color="auto"/>
            <w:right w:val="none" w:sz="0" w:space="0" w:color="auto"/>
          </w:divBdr>
        </w:div>
        <w:div w:id="618415472">
          <w:marLeft w:val="0"/>
          <w:marRight w:val="0"/>
          <w:marTop w:val="0"/>
          <w:marBottom w:val="0"/>
          <w:divBdr>
            <w:top w:val="none" w:sz="0" w:space="0" w:color="auto"/>
            <w:left w:val="none" w:sz="0" w:space="0" w:color="auto"/>
            <w:bottom w:val="none" w:sz="0" w:space="0" w:color="auto"/>
            <w:right w:val="none" w:sz="0" w:space="0" w:color="auto"/>
          </w:divBdr>
        </w:div>
        <w:div w:id="152651471">
          <w:marLeft w:val="0"/>
          <w:marRight w:val="0"/>
          <w:marTop w:val="0"/>
          <w:marBottom w:val="0"/>
          <w:divBdr>
            <w:top w:val="none" w:sz="0" w:space="0" w:color="auto"/>
            <w:left w:val="none" w:sz="0" w:space="0" w:color="auto"/>
            <w:bottom w:val="none" w:sz="0" w:space="0" w:color="auto"/>
            <w:right w:val="none" w:sz="0" w:space="0" w:color="auto"/>
          </w:divBdr>
        </w:div>
        <w:div w:id="522329714">
          <w:marLeft w:val="0"/>
          <w:marRight w:val="0"/>
          <w:marTop w:val="0"/>
          <w:marBottom w:val="0"/>
          <w:divBdr>
            <w:top w:val="none" w:sz="0" w:space="0" w:color="auto"/>
            <w:left w:val="none" w:sz="0" w:space="0" w:color="auto"/>
            <w:bottom w:val="none" w:sz="0" w:space="0" w:color="auto"/>
            <w:right w:val="none" w:sz="0" w:space="0" w:color="auto"/>
          </w:divBdr>
        </w:div>
        <w:div w:id="2080012920">
          <w:marLeft w:val="0"/>
          <w:marRight w:val="0"/>
          <w:marTop w:val="0"/>
          <w:marBottom w:val="0"/>
          <w:divBdr>
            <w:top w:val="none" w:sz="0" w:space="0" w:color="auto"/>
            <w:left w:val="none" w:sz="0" w:space="0" w:color="auto"/>
            <w:bottom w:val="none" w:sz="0" w:space="0" w:color="auto"/>
            <w:right w:val="none" w:sz="0" w:space="0" w:color="auto"/>
          </w:divBdr>
        </w:div>
        <w:div w:id="1752851149">
          <w:marLeft w:val="0"/>
          <w:marRight w:val="0"/>
          <w:marTop w:val="0"/>
          <w:marBottom w:val="0"/>
          <w:divBdr>
            <w:top w:val="none" w:sz="0" w:space="0" w:color="auto"/>
            <w:left w:val="none" w:sz="0" w:space="0" w:color="auto"/>
            <w:bottom w:val="none" w:sz="0" w:space="0" w:color="auto"/>
            <w:right w:val="none" w:sz="0" w:space="0" w:color="auto"/>
          </w:divBdr>
        </w:div>
        <w:div w:id="1732651680">
          <w:marLeft w:val="0"/>
          <w:marRight w:val="0"/>
          <w:marTop w:val="0"/>
          <w:marBottom w:val="0"/>
          <w:divBdr>
            <w:top w:val="none" w:sz="0" w:space="0" w:color="auto"/>
            <w:left w:val="none" w:sz="0" w:space="0" w:color="auto"/>
            <w:bottom w:val="none" w:sz="0" w:space="0" w:color="auto"/>
            <w:right w:val="none" w:sz="0" w:space="0" w:color="auto"/>
          </w:divBdr>
        </w:div>
        <w:div w:id="1507089697">
          <w:marLeft w:val="0"/>
          <w:marRight w:val="0"/>
          <w:marTop w:val="0"/>
          <w:marBottom w:val="0"/>
          <w:divBdr>
            <w:top w:val="none" w:sz="0" w:space="0" w:color="auto"/>
            <w:left w:val="none" w:sz="0" w:space="0" w:color="auto"/>
            <w:bottom w:val="none" w:sz="0" w:space="0" w:color="auto"/>
            <w:right w:val="none" w:sz="0" w:space="0" w:color="auto"/>
          </w:divBdr>
        </w:div>
      </w:divsChild>
    </w:div>
    <w:div w:id="1609507291">
      <w:bodyDiv w:val="1"/>
      <w:marLeft w:val="0"/>
      <w:marRight w:val="0"/>
      <w:marTop w:val="0"/>
      <w:marBottom w:val="0"/>
      <w:divBdr>
        <w:top w:val="none" w:sz="0" w:space="0" w:color="auto"/>
        <w:left w:val="none" w:sz="0" w:space="0" w:color="auto"/>
        <w:bottom w:val="none" w:sz="0" w:space="0" w:color="auto"/>
        <w:right w:val="none" w:sz="0" w:space="0" w:color="auto"/>
      </w:divBdr>
    </w:div>
    <w:div w:id="1621644659">
      <w:bodyDiv w:val="1"/>
      <w:marLeft w:val="0"/>
      <w:marRight w:val="0"/>
      <w:marTop w:val="0"/>
      <w:marBottom w:val="0"/>
      <w:divBdr>
        <w:top w:val="none" w:sz="0" w:space="0" w:color="auto"/>
        <w:left w:val="none" w:sz="0" w:space="0" w:color="auto"/>
        <w:bottom w:val="none" w:sz="0" w:space="0" w:color="auto"/>
        <w:right w:val="none" w:sz="0" w:space="0" w:color="auto"/>
      </w:divBdr>
    </w:div>
    <w:div w:id="1627160170">
      <w:bodyDiv w:val="1"/>
      <w:marLeft w:val="0"/>
      <w:marRight w:val="0"/>
      <w:marTop w:val="0"/>
      <w:marBottom w:val="0"/>
      <w:divBdr>
        <w:top w:val="none" w:sz="0" w:space="0" w:color="auto"/>
        <w:left w:val="none" w:sz="0" w:space="0" w:color="auto"/>
        <w:bottom w:val="none" w:sz="0" w:space="0" w:color="auto"/>
        <w:right w:val="none" w:sz="0" w:space="0" w:color="auto"/>
      </w:divBdr>
    </w:div>
    <w:div w:id="1629124355">
      <w:bodyDiv w:val="1"/>
      <w:marLeft w:val="0"/>
      <w:marRight w:val="0"/>
      <w:marTop w:val="0"/>
      <w:marBottom w:val="0"/>
      <w:divBdr>
        <w:top w:val="none" w:sz="0" w:space="0" w:color="auto"/>
        <w:left w:val="none" w:sz="0" w:space="0" w:color="auto"/>
        <w:bottom w:val="none" w:sz="0" w:space="0" w:color="auto"/>
        <w:right w:val="none" w:sz="0" w:space="0" w:color="auto"/>
      </w:divBdr>
    </w:div>
    <w:div w:id="1677491418">
      <w:bodyDiv w:val="1"/>
      <w:marLeft w:val="0"/>
      <w:marRight w:val="0"/>
      <w:marTop w:val="0"/>
      <w:marBottom w:val="0"/>
      <w:divBdr>
        <w:top w:val="none" w:sz="0" w:space="0" w:color="auto"/>
        <w:left w:val="none" w:sz="0" w:space="0" w:color="auto"/>
        <w:bottom w:val="none" w:sz="0" w:space="0" w:color="auto"/>
        <w:right w:val="none" w:sz="0" w:space="0" w:color="auto"/>
      </w:divBdr>
    </w:div>
    <w:div w:id="1745179568">
      <w:bodyDiv w:val="1"/>
      <w:marLeft w:val="0"/>
      <w:marRight w:val="0"/>
      <w:marTop w:val="0"/>
      <w:marBottom w:val="0"/>
      <w:divBdr>
        <w:top w:val="none" w:sz="0" w:space="0" w:color="auto"/>
        <w:left w:val="none" w:sz="0" w:space="0" w:color="auto"/>
        <w:bottom w:val="none" w:sz="0" w:space="0" w:color="auto"/>
        <w:right w:val="none" w:sz="0" w:space="0" w:color="auto"/>
      </w:divBdr>
    </w:div>
    <w:div w:id="1783526579">
      <w:bodyDiv w:val="1"/>
      <w:marLeft w:val="0"/>
      <w:marRight w:val="0"/>
      <w:marTop w:val="0"/>
      <w:marBottom w:val="0"/>
      <w:divBdr>
        <w:top w:val="none" w:sz="0" w:space="0" w:color="auto"/>
        <w:left w:val="none" w:sz="0" w:space="0" w:color="auto"/>
        <w:bottom w:val="none" w:sz="0" w:space="0" w:color="auto"/>
        <w:right w:val="none" w:sz="0" w:space="0" w:color="auto"/>
      </w:divBdr>
      <w:divsChild>
        <w:div w:id="295526695">
          <w:marLeft w:val="0"/>
          <w:marRight w:val="0"/>
          <w:marTop w:val="0"/>
          <w:marBottom w:val="0"/>
          <w:divBdr>
            <w:top w:val="none" w:sz="0" w:space="0" w:color="auto"/>
            <w:left w:val="none" w:sz="0" w:space="0" w:color="auto"/>
            <w:bottom w:val="none" w:sz="0" w:space="0" w:color="auto"/>
            <w:right w:val="none" w:sz="0" w:space="0" w:color="auto"/>
          </w:divBdr>
        </w:div>
        <w:div w:id="709844960">
          <w:marLeft w:val="0"/>
          <w:marRight w:val="0"/>
          <w:marTop w:val="0"/>
          <w:marBottom w:val="0"/>
          <w:divBdr>
            <w:top w:val="none" w:sz="0" w:space="0" w:color="auto"/>
            <w:left w:val="none" w:sz="0" w:space="0" w:color="auto"/>
            <w:bottom w:val="none" w:sz="0" w:space="0" w:color="auto"/>
            <w:right w:val="none" w:sz="0" w:space="0" w:color="auto"/>
          </w:divBdr>
        </w:div>
        <w:div w:id="1235511050">
          <w:marLeft w:val="0"/>
          <w:marRight w:val="0"/>
          <w:marTop w:val="0"/>
          <w:marBottom w:val="0"/>
          <w:divBdr>
            <w:top w:val="none" w:sz="0" w:space="0" w:color="auto"/>
            <w:left w:val="none" w:sz="0" w:space="0" w:color="auto"/>
            <w:bottom w:val="none" w:sz="0" w:space="0" w:color="auto"/>
            <w:right w:val="none" w:sz="0" w:space="0" w:color="auto"/>
          </w:divBdr>
        </w:div>
        <w:div w:id="430199453">
          <w:marLeft w:val="0"/>
          <w:marRight w:val="0"/>
          <w:marTop w:val="0"/>
          <w:marBottom w:val="0"/>
          <w:divBdr>
            <w:top w:val="none" w:sz="0" w:space="0" w:color="auto"/>
            <w:left w:val="none" w:sz="0" w:space="0" w:color="auto"/>
            <w:bottom w:val="none" w:sz="0" w:space="0" w:color="auto"/>
            <w:right w:val="none" w:sz="0" w:space="0" w:color="auto"/>
          </w:divBdr>
        </w:div>
      </w:divsChild>
    </w:div>
    <w:div w:id="1891720224">
      <w:bodyDiv w:val="1"/>
      <w:marLeft w:val="0"/>
      <w:marRight w:val="0"/>
      <w:marTop w:val="0"/>
      <w:marBottom w:val="0"/>
      <w:divBdr>
        <w:top w:val="none" w:sz="0" w:space="0" w:color="auto"/>
        <w:left w:val="none" w:sz="0" w:space="0" w:color="auto"/>
        <w:bottom w:val="none" w:sz="0" w:space="0" w:color="auto"/>
        <w:right w:val="none" w:sz="0" w:space="0" w:color="auto"/>
      </w:divBdr>
    </w:div>
    <w:div w:id="1914700395">
      <w:bodyDiv w:val="1"/>
      <w:marLeft w:val="0"/>
      <w:marRight w:val="0"/>
      <w:marTop w:val="0"/>
      <w:marBottom w:val="0"/>
      <w:divBdr>
        <w:top w:val="none" w:sz="0" w:space="0" w:color="auto"/>
        <w:left w:val="none" w:sz="0" w:space="0" w:color="auto"/>
        <w:bottom w:val="none" w:sz="0" w:space="0" w:color="auto"/>
        <w:right w:val="none" w:sz="0" w:space="0" w:color="auto"/>
      </w:divBdr>
    </w:div>
    <w:div w:id="2027444390">
      <w:bodyDiv w:val="1"/>
      <w:marLeft w:val="0"/>
      <w:marRight w:val="0"/>
      <w:marTop w:val="0"/>
      <w:marBottom w:val="0"/>
      <w:divBdr>
        <w:top w:val="none" w:sz="0" w:space="0" w:color="auto"/>
        <w:left w:val="none" w:sz="0" w:space="0" w:color="auto"/>
        <w:bottom w:val="none" w:sz="0" w:space="0" w:color="auto"/>
        <w:right w:val="none" w:sz="0" w:space="0" w:color="auto"/>
      </w:divBdr>
    </w:div>
    <w:div w:id="2057655275">
      <w:bodyDiv w:val="1"/>
      <w:marLeft w:val="0"/>
      <w:marRight w:val="0"/>
      <w:marTop w:val="0"/>
      <w:marBottom w:val="0"/>
      <w:divBdr>
        <w:top w:val="none" w:sz="0" w:space="0" w:color="auto"/>
        <w:left w:val="none" w:sz="0" w:space="0" w:color="auto"/>
        <w:bottom w:val="none" w:sz="0" w:space="0" w:color="auto"/>
        <w:right w:val="none" w:sz="0" w:space="0" w:color="auto"/>
      </w:divBdr>
    </w:div>
    <w:div w:id="2070414658">
      <w:bodyDiv w:val="1"/>
      <w:marLeft w:val="0"/>
      <w:marRight w:val="0"/>
      <w:marTop w:val="0"/>
      <w:marBottom w:val="0"/>
      <w:divBdr>
        <w:top w:val="none" w:sz="0" w:space="0" w:color="auto"/>
        <w:left w:val="none" w:sz="0" w:space="0" w:color="auto"/>
        <w:bottom w:val="none" w:sz="0" w:space="0" w:color="auto"/>
        <w:right w:val="none" w:sz="0" w:space="0" w:color="auto"/>
      </w:divBdr>
      <w:divsChild>
        <w:div w:id="522868056">
          <w:marLeft w:val="0"/>
          <w:marRight w:val="0"/>
          <w:marTop w:val="0"/>
          <w:marBottom w:val="0"/>
          <w:divBdr>
            <w:top w:val="none" w:sz="0" w:space="0" w:color="auto"/>
            <w:left w:val="none" w:sz="0" w:space="0" w:color="auto"/>
            <w:bottom w:val="none" w:sz="0" w:space="0" w:color="auto"/>
            <w:right w:val="none" w:sz="0" w:space="0" w:color="auto"/>
          </w:divBdr>
        </w:div>
        <w:div w:id="903105851">
          <w:marLeft w:val="0"/>
          <w:marRight w:val="0"/>
          <w:marTop w:val="0"/>
          <w:marBottom w:val="0"/>
          <w:divBdr>
            <w:top w:val="none" w:sz="0" w:space="0" w:color="auto"/>
            <w:left w:val="none" w:sz="0" w:space="0" w:color="auto"/>
            <w:bottom w:val="none" w:sz="0" w:space="0" w:color="auto"/>
            <w:right w:val="none" w:sz="0" w:space="0" w:color="auto"/>
          </w:divBdr>
        </w:div>
        <w:div w:id="1004671893">
          <w:marLeft w:val="0"/>
          <w:marRight w:val="0"/>
          <w:marTop w:val="0"/>
          <w:marBottom w:val="0"/>
          <w:divBdr>
            <w:top w:val="none" w:sz="0" w:space="0" w:color="auto"/>
            <w:left w:val="none" w:sz="0" w:space="0" w:color="auto"/>
            <w:bottom w:val="none" w:sz="0" w:space="0" w:color="auto"/>
            <w:right w:val="none" w:sz="0" w:space="0" w:color="auto"/>
          </w:divBdr>
        </w:div>
        <w:div w:id="664430869">
          <w:marLeft w:val="0"/>
          <w:marRight w:val="0"/>
          <w:marTop w:val="0"/>
          <w:marBottom w:val="0"/>
          <w:divBdr>
            <w:top w:val="none" w:sz="0" w:space="0" w:color="auto"/>
            <w:left w:val="none" w:sz="0" w:space="0" w:color="auto"/>
            <w:bottom w:val="none" w:sz="0" w:space="0" w:color="auto"/>
            <w:right w:val="none" w:sz="0" w:space="0" w:color="auto"/>
          </w:divBdr>
        </w:div>
        <w:div w:id="1581020470">
          <w:marLeft w:val="0"/>
          <w:marRight w:val="0"/>
          <w:marTop w:val="0"/>
          <w:marBottom w:val="0"/>
          <w:divBdr>
            <w:top w:val="none" w:sz="0" w:space="0" w:color="auto"/>
            <w:left w:val="none" w:sz="0" w:space="0" w:color="auto"/>
            <w:bottom w:val="none" w:sz="0" w:space="0" w:color="auto"/>
            <w:right w:val="none" w:sz="0" w:space="0" w:color="auto"/>
          </w:divBdr>
        </w:div>
        <w:div w:id="1408305701">
          <w:marLeft w:val="0"/>
          <w:marRight w:val="0"/>
          <w:marTop w:val="0"/>
          <w:marBottom w:val="0"/>
          <w:divBdr>
            <w:top w:val="none" w:sz="0" w:space="0" w:color="auto"/>
            <w:left w:val="none" w:sz="0" w:space="0" w:color="auto"/>
            <w:bottom w:val="none" w:sz="0" w:space="0" w:color="auto"/>
            <w:right w:val="none" w:sz="0" w:space="0" w:color="auto"/>
          </w:divBdr>
        </w:div>
        <w:div w:id="750128883">
          <w:marLeft w:val="0"/>
          <w:marRight w:val="0"/>
          <w:marTop w:val="0"/>
          <w:marBottom w:val="0"/>
          <w:divBdr>
            <w:top w:val="none" w:sz="0" w:space="0" w:color="auto"/>
            <w:left w:val="none" w:sz="0" w:space="0" w:color="auto"/>
            <w:bottom w:val="none" w:sz="0" w:space="0" w:color="auto"/>
            <w:right w:val="none" w:sz="0" w:space="0" w:color="auto"/>
          </w:divBdr>
        </w:div>
        <w:div w:id="154030591">
          <w:marLeft w:val="0"/>
          <w:marRight w:val="0"/>
          <w:marTop w:val="0"/>
          <w:marBottom w:val="0"/>
          <w:divBdr>
            <w:top w:val="none" w:sz="0" w:space="0" w:color="auto"/>
            <w:left w:val="none" w:sz="0" w:space="0" w:color="auto"/>
            <w:bottom w:val="none" w:sz="0" w:space="0" w:color="auto"/>
            <w:right w:val="none" w:sz="0" w:space="0" w:color="auto"/>
          </w:divBdr>
        </w:div>
        <w:div w:id="1448508081">
          <w:marLeft w:val="0"/>
          <w:marRight w:val="0"/>
          <w:marTop w:val="0"/>
          <w:marBottom w:val="0"/>
          <w:divBdr>
            <w:top w:val="none" w:sz="0" w:space="0" w:color="auto"/>
            <w:left w:val="none" w:sz="0" w:space="0" w:color="auto"/>
            <w:bottom w:val="none" w:sz="0" w:space="0" w:color="auto"/>
            <w:right w:val="none" w:sz="0" w:space="0" w:color="auto"/>
          </w:divBdr>
        </w:div>
        <w:div w:id="1938362958">
          <w:marLeft w:val="0"/>
          <w:marRight w:val="0"/>
          <w:marTop w:val="0"/>
          <w:marBottom w:val="0"/>
          <w:divBdr>
            <w:top w:val="none" w:sz="0" w:space="0" w:color="auto"/>
            <w:left w:val="none" w:sz="0" w:space="0" w:color="auto"/>
            <w:bottom w:val="none" w:sz="0" w:space="0" w:color="auto"/>
            <w:right w:val="none" w:sz="0" w:space="0" w:color="auto"/>
          </w:divBdr>
        </w:div>
        <w:div w:id="1300763205">
          <w:marLeft w:val="0"/>
          <w:marRight w:val="0"/>
          <w:marTop w:val="0"/>
          <w:marBottom w:val="0"/>
          <w:divBdr>
            <w:top w:val="none" w:sz="0" w:space="0" w:color="auto"/>
            <w:left w:val="none" w:sz="0" w:space="0" w:color="auto"/>
            <w:bottom w:val="none" w:sz="0" w:space="0" w:color="auto"/>
            <w:right w:val="none" w:sz="0" w:space="0" w:color="auto"/>
          </w:divBdr>
        </w:div>
        <w:div w:id="1949192194">
          <w:marLeft w:val="0"/>
          <w:marRight w:val="0"/>
          <w:marTop w:val="0"/>
          <w:marBottom w:val="0"/>
          <w:divBdr>
            <w:top w:val="none" w:sz="0" w:space="0" w:color="auto"/>
            <w:left w:val="none" w:sz="0" w:space="0" w:color="auto"/>
            <w:bottom w:val="none" w:sz="0" w:space="0" w:color="auto"/>
            <w:right w:val="none" w:sz="0" w:space="0" w:color="auto"/>
          </w:divBdr>
        </w:div>
      </w:divsChild>
    </w:div>
    <w:div w:id="2093040877">
      <w:bodyDiv w:val="1"/>
      <w:marLeft w:val="0"/>
      <w:marRight w:val="0"/>
      <w:marTop w:val="0"/>
      <w:marBottom w:val="0"/>
      <w:divBdr>
        <w:top w:val="none" w:sz="0" w:space="0" w:color="auto"/>
        <w:left w:val="none" w:sz="0" w:space="0" w:color="auto"/>
        <w:bottom w:val="none" w:sz="0" w:space="0" w:color="auto"/>
        <w:right w:val="none" w:sz="0" w:space="0" w:color="auto"/>
      </w:divBdr>
    </w:div>
    <w:div w:id="2135518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flexible-working" TargetMode="External"/><Relationship Id="rId18" Type="http://schemas.openxmlformats.org/officeDocument/2006/relationships/hyperlink" Target="https://www.cipd.org/uk/knowledge/guides/tupe-guide/" TargetMode="External"/><Relationship Id="rId26" Type="http://schemas.openxmlformats.org/officeDocument/2006/relationships/hyperlink" Target="https://www.equalityhumanrights.com/equality/equality-act-2010/codes-practice/employment-code-practice-0" TargetMode="External"/><Relationship Id="rId39" Type="http://schemas.openxmlformats.org/officeDocument/2006/relationships/hyperlink" Target="https://www.peoplemanagement.co.uk/article/1741282/avoiding-discrimination-during-recruitment-process" TargetMode="External"/><Relationship Id="rId21" Type="http://schemas.openxmlformats.org/officeDocument/2006/relationships/hyperlink" Target="https://www.cipd.org/uk/knowledge/factsheets/terms-conditions-contracts-factsheet/" TargetMode="External"/><Relationship Id="rId34" Type="http://schemas.openxmlformats.org/officeDocument/2006/relationships/hyperlink" Target="https://www.nhs.uk/pregnancy/finding-out/maternity-and-paternity-benefits-and-leave/" TargetMode="External"/><Relationship Id="rId42" Type="http://schemas.openxmlformats.org/officeDocument/2006/relationships/hyperlink" Target="https://www.legislation.gov.uk/ukpga/2010/15/contents" TargetMode="External"/><Relationship Id="rId47" Type="http://schemas.openxmlformats.org/officeDocument/2006/relationships/hyperlink" Target="https://www.peoplemanagement.co.uk/article/1745650/right-wrong-sides-law"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cipd.org/uk/knowledge/employment-law/employees/" TargetMode="External"/><Relationship Id="rId29" Type="http://schemas.openxmlformats.org/officeDocument/2006/relationships/hyperlink" Target="https://www.hcrlaw.com/news-and-insights/dont-haycocks-it-up-the-implications-of-failing-to-follow-a-fair-redundancy-consultation-process/" TargetMode="External"/><Relationship Id="rId11" Type="http://schemas.openxmlformats.org/officeDocument/2006/relationships/hyperlink" Target="https://www.acas.org.uk/equal-pay/equal-pay-law" TargetMode="External"/><Relationship Id="rId24" Type="http://schemas.openxmlformats.org/officeDocument/2006/relationships/hyperlink" Target="https://www.port.ac.uk/news-events-and-blogs/blogs/law/brexit-and-employment-law" TargetMode="External"/><Relationship Id="rId32" Type="http://schemas.openxmlformats.org/officeDocument/2006/relationships/hyperlink" Target="https://www.clough-willis.co.uk/news-events/what-aspects-of-employment-are-covered-by-law" TargetMode="External"/><Relationship Id="rId37" Type="http://schemas.openxmlformats.org/officeDocument/2006/relationships/hyperlink" Target="https://www.peoplehr.com/en-gb/resources/blog/rolled-up-holiday-pay/" TargetMode="External"/><Relationship Id="rId40" Type="http://schemas.openxmlformats.org/officeDocument/2006/relationships/hyperlink" Target="https://factorialhr.co.uk/blog/uk-employment-laws/" TargetMode="External"/><Relationship Id="rId45" Type="http://schemas.openxmlformats.org/officeDocument/2006/relationships/hyperlink" Target="https://www.traverssmith.com/knowledge/knowledge-container/retained-eu-law-10-key-questions" TargetMode="External"/><Relationship Id="rId53" Type="http://schemas.openxmlformats.org/officeDocument/2006/relationships/footer" Target="footer3.xml"/><Relationship Id="rId5" Type="http://schemas.openxmlformats.org/officeDocument/2006/relationships/styles" Target="styles.xml"/><Relationship Id="rId10" Type="http://schemas.openxmlformats.org/officeDocument/2006/relationships/hyperlink" Target="https://www.acas.org.uk/recruitment/using-protected-characteristics" TargetMode="External"/><Relationship Id="rId19" Type="http://schemas.openxmlformats.org/officeDocument/2006/relationships/hyperlink" Target="https://www.cipd.org/uk/views-and-insights/thought-leadership/insight/employment-law-changes-june-2024/" TargetMode="External"/><Relationship Id="rId31" Type="http://schemas.openxmlformats.org/officeDocument/2006/relationships/hyperlink" Target="https://www.peoplemanagement.co.uk/article/1743377/constructive-dismissal-guide" TargetMode="External"/><Relationship Id="rId44" Type="http://schemas.openxmlformats.org/officeDocument/2006/relationships/hyperlink" Target="https://www.legislation.gov.uk/ukpga/2010/15/contents" TargetMode="External"/><Relationship Id="rId52"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acas.org.uk/discrimination-and-the-law" TargetMode="External"/><Relationship Id="rId22" Type="http://schemas.openxmlformats.org/officeDocument/2006/relationships/hyperlink" Target="https://www.cipd.org/uk/knowledge/employment-law/proposed-changes-under-labour-government" TargetMode="External"/><Relationship Id="rId27" Type="http://schemas.openxmlformats.org/officeDocument/2006/relationships/hyperlink" Target="https://www.gov.uk/guidance/equality-act-2010-guidance" TargetMode="External"/><Relationship Id="rId30" Type="http://schemas.openxmlformats.org/officeDocument/2006/relationships/hyperlink" Target="https://www.hrsolutions-uk.com/insights/employment-law-developments-in-2024/" TargetMode="External"/><Relationship Id="rId35" Type="http://schemas.openxmlformats.org/officeDocument/2006/relationships/hyperlink" Target="https://www.nhsemployers.org/publications/nhs-job-evaluation-handbook" TargetMode="External"/><Relationship Id="rId43" Type="http://schemas.openxmlformats.org/officeDocument/2006/relationships/hyperlink" Target="https://www.legislation.gov.uk/ukpga/2010/15/contents" TargetMode="External"/><Relationship Id="rId48" Type="http://schemas.openxmlformats.org/officeDocument/2006/relationships/header" Target="header1.xml"/><Relationship Id="rId8" Type="http://schemas.openxmlformats.org/officeDocument/2006/relationships/footnotes" Target="footnote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hyperlink" Target="https://www.acas.org.uk/dismissals/constructive-dismissal" TargetMode="External"/><Relationship Id="rId17" Type="http://schemas.openxmlformats.org/officeDocument/2006/relationships/hyperlink" Target="https://www.cipd.org/uk/knowledge/employment-law/redundancy/" TargetMode="External"/><Relationship Id="rId25" Type="http://schemas.openxmlformats.org/officeDocument/2006/relationships/hyperlink" Target="https://www.gov.uk/government/publications/calculating-holiday-pay-for-workers-without-fixed-hours-or-pay/calculating-holiday-pay-for-workers-without-fixed-hours-or-pay--2" TargetMode="External"/><Relationship Id="rId33" Type="http://schemas.openxmlformats.org/officeDocument/2006/relationships/hyperlink" Target="https://maternityaction.org.uk/advice/shared-parental-leave-and-pay/" TargetMode="External"/><Relationship Id="rId38" Type="http://schemas.openxmlformats.org/officeDocument/2006/relationships/hyperlink" Target="https://www.peoplemanagement.co.uk/article/1901051/employment-law-expect-2025" TargetMode="External"/><Relationship Id="rId46" Type="http://schemas.openxmlformats.org/officeDocument/2006/relationships/hyperlink" Target="https://realbusiness.co.uk/difference-between-maternity-paternity-and-shared-parental-leave" TargetMode="External"/><Relationship Id="rId20" Type="http://schemas.openxmlformats.org/officeDocument/2006/relationships/hyperlink" Target="https://www.cipd.org/uk/knowledge/employment-law/tupe/" TargetMode="External"/><Relationship Id="rId41" Type="http://schemas.openxmlformats.org/officeDocument/2006/relationships/hyperlink" Target="https://www.legislation.gov.uk/ukpga/2010/15/content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cipd.org/uk/views-and-insights/cipd-viewpoint/employment-status-rights/" TargetMode="External"/><Relationship Id="rId23" Type="http://schemas.openxmlformats.org/officeDocument/2006/relationships/hyperlink" Target="https://www.cipd.org/uk/knowledge/factsheets/maternity-paternity-rights-factsheet/" TargetMode="External"/><Relationship Id="rId28" Type="http://schemas.openxmlformats.org/officeDocument/2006/relationships/hyperlink" Target="https://www.gov.uk/flexible-working" TargetMode="External"/><Relationship Id="rId36" Type="http://schemas.openxmlformats.org/officeDocument/2006/relationships/hyperlink" Target="https://doi.org/10.1111/irj.12239" TargetMode="External"/><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b0da114-0538-4a78-995a-f0bd1390352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3EB58D5E805447A67E6E3AC2AA098F" ma:contentTypeVersion="12" ma:contentTypeDescription="Create a new document." ma:contentTypeScope="" ma:versionID="ee4fbff60de288256a84cc4683e0c649">
  <xsd:schema xmlns:xsd="http://www.w3.org/2001/XMLSchema" xmlns:xs="http://www.w3.org/2001/XMLSchema" xmlns:p="http://schemas.microsoft.com/office/2006/metadata/properties" xmlns:ns3="5b0da114-0538-4a78-995a-f0bd13903525" xmlns:ns4="076a45e5-8aef-46c2-8bf0-bde5428c276d" targetNamespace="http://schemas.microsoft.com/office/2006/metadata/properties" ma:root="true" ma:fieldsID="21c71f05a414f80b97b8bcf6816834e1" ns3:_="" ns4:_="">
    <xsd:import namespace="5b0da114-0538-4a78-995a-f0bd13903525"/>
    <xsd:import namespace="076a45e5-8aef-46c2-8bf0-bde5428c276d"/>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0da114-0538-4a78-995a-f0bd1390352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76a45e5-8aef-46c2-8bf0-bde5428c276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C67D21D-37C5-41A8-B94F-AC6286463355}">
  <ds:schemaRefs>
    <ds:schemaRef ds:uri="http://schemas.microsoft.com/sharepoint/v3/contenttype/forms"/>
  </ds:schemaRefs>
</ds:datastoreItem>
</file>

<file path=customXml/itemProps2.xml><?xml version="1.0" encoding="utf-8"?>
<ds:datastoreItem xmlns:ds="http://schemas.openxmlformats.org/officeDocument/2006/customXml" ds:itemID="{4D9AC2F0-5855-44C2-BBB7-C8F33E2E02E1}">
  <ds:schemaRefs>
    <ds:schemaRef ds:uri="http://schemas.microsoft.com/office/2006/metadata/properties"/>
    <ds:schemaRef ds:uri="http://schemas.microsoft.com/office/infopath/2007/PartnerControls"/>
    <ds:schemaRef ds:uri="5b0da114-0538-4a78-995a-f0bd13903525"/>
  </ds:schemaRefs>
</ds:datastoreItem>
</file>

<file path=customXml/itemProps3.xml><?xml version="1.0" encoding="utf-8"?>
<ds:datastoreItem xmlns:ds="http://schemas.openxmlformats.org/officeDocument/2006/customXml" ds:itemID="{2E6ADCB9-D999-4755-9B68-3B7831BBC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0da114-0538-4a78-995a-f0bd13903525"/>
    <ds:schemaRef ds:uri="076a45e5-8aef-46c2-8bf0-bde5428c27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11</Pages>
  <Words>5694</Words>
  <Characters>32457</Characters>
  <Application>Microsoft Office Word</Application>
  <DocSecurity>0</DocSecurity>
  <Lines>270</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smith</dc:creator>
  <cp:keywords/>
  <dc:description/>
  <cp:lastModifiedBy>claire smith</cp:lastModifiedBy>
  <cp:revision>206</cp:revision>
  <dcterms:created xsi:type="dcterms:W3CDTF">2025-10-07T07:31:00Z</dcterms:created>
  <dcterms:modified xsi:type="dcterms:W3CDTF">2025-10-07T12:48:00Z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0x0101008D3EB58D5E805447A67E6E3AC2AA098F</vt:lpwstr>
  </property>
</Properties>
</file>