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55EC" w:rsidRDefault="00A13D42" w:rsidP="00A13D42">
      <w:pPr>
        <w:jc w:val="center"/>
        <w:rPr>
          <w:u w:val="single"/>
        </w:rPr>
      </w:pPr>
      <w:r w:rsidRPr="00A13D42">
        <w:rPr>
          <w:u w:val="single"/>
        </w:rPr>
        <w:t>Reflective Essay</w:t>
      </w:r>
    </w:p>
    <w:p w:rsidR="00A13D42" w:rsidRDefault="00A13D42" w:rsidP="00A13D42">
      <w:pPr>
        <w:rPr>
          <w:u w:val="single"/>
        </w:rPr>
      </w:pPr>
    </w:p>
    <w:p w:rsidR="00601E1C" w:rsidRDefault="00A13D42" w:rsidP="00BE02DC">
      <w:pPr>
        <w:jc w:val="both"/>
        <w:rPr>
          <w:u w:val="single"/>
        </w:rPr>
      </w:pPr>
      <w:r>
        <w:rPr>
          <w:u w:val="single"/>
        </w:rPr>
        <w:br w:type="page"/>
      </w:r>
    </w:p>
    <w:p w:rsidR="00601E1C" w:rsidRDefault="00601E1C" w:rsidP="00601E1C">
      <w:pPr>
        <w:jc w:val="center"/>
        <w:rPr>
          <w:u w:val="single"/>
        </w:rPr>
      </w:pPr>
      <w:r w:rsidRPr="00A13D42">
        <w:rPr>
          <w:u w:val="single"/>
        </w:rPr>
        <w:lastRenderedPageBreak/>
        <w:t>Reflective Essay</w:t>
      </w:r>
    </w:p>
    <w:p w:rsidR="00601E1C" w:rsidRDefault="00601E1C" w:rsidP="00BE02DC">
      <w:pPr>
        <w:jc w:val="both"/>
        <w:rPr>
          <w:u w:val="single"/>
        </w:rPr>
      </w:pPr>
    </w:p>
    <w:p w:rsidR="004A39F8" w:rsidRDefault="00601E1C" w:rsidP="00BE02DC">
      <w:pPr>
        <w:jc w:val="both"/>
      </w:pPr>
      <w:r>
        <w:rPr>
          <w:noProof/>
          <w:lang w:eastAsia="en-GB"/>
        </w:rPr>
        <w:drawing>
          <wp:anchor distT="0" distB="0" distL="114300" distR="114300" simplePos="0" relativeHeight="251659264" behindDoc="0" locked="0" layoutInCell="1" allowOverlap="1" wp14:anchorId="5AA032DC" wp14:editId="4ECC14DC">
            <wp:simplePos x="0" y="0"/>
            <wp:positionH relativeFrom="margin">
              <wp:align>center</wp:align>
            </wp:positionH>
            <wp:positionV relativeFrom="page">
              <wp:posOffset>4339142</wp:posOffset>
            </wp:positionV>
            <wp:extent cx="5583555" cy="405638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rotWithShape="1">
                    <a:blip r:embed="rId6">
                      <a:extLst>
                        <a:ext uri="{28A0092B-C50C-407E-A947-70E740481C1C}">
                          <a14:useLocalDpi xmlns:a14="http://schemas.microsoft.com/office/drawing/2010/main" val="0"/>
                        </a:ext>
                      </a:extLst>
                    </a:blip>
                    <a:srcRect b="7551"/>
                    <a:stretch/>
                  </pic:blipFill>
                  <pic:spPr bwMode="auto">
                    <a:xfrm>
                      <a:off x="0" y="0"/>
                      <a:ext cx="5583555" cy="405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776B">
        <w:t xml:space="preserve">Reflection is the process of exploring our actions and examining ourselves, so that we can improve for the future. </w:t>
      </w:r>
      <w:sdt>
        <w:sdtPr>
          <w:id w:val="1673452258"/>
          <w:citation/>
        </w:sdtPr>
        <w:sdtEndPr/>
        <w:sdtContent>
          <w:r w:rsidR="00D1776B">
            <w:fldChar w:fldCharType="begin"/>
          </w:r>
          <w:r w:rsidR="00D1776B">
            <w:instrText xml:space="preserve"> CITATION Ref \l 2057 </w:instrText>
          </w:r>
          <w:r w:rsidR="00D1776B">
            <w:fldChar w:fldCharType="separate"/>
          </w:r>
          <w:r w:rsidR="00D1776B">
            <w:rPr>
              <w:noProof/>
            </w:rPr>
            <w:t>(Reflection: What is it and why is it useful? , n.d.)</w:t>
          </w:r>
          <w:r w:rsidR="00D1776B">
            <w:fldChar w:fldCharType="end"/>
          </w:r>
        </w:sdtContent>
      </w:sdt>
      <w:r w:rsidR="009E1BD4">
        <w:t xml:space="preserve"> Reflection is the main key factor for moving forward because evaluating what you have done well and what you need to improve on can make a major difference to your work. </w:t>
      </w:r>
      <w:r w:rsidR="008B160F">
        <w:t xml:space="preserve">Research also indicates that reflecting on work can improve performance. Direct experience and self-reflection are more effective as this is an intentional attempt to synthesise </w:t>
      </w:r>
      <w:r w:rsidR="00BE02DC">
        <w:t xml:space="preserve">out four distinct learning styles which are based on the four stage learning cycle. This is where “concreate experience” creates a basis for “reflective observation”. These observations are the distilled into “abstract concepts” which could create a new method that can be “actively experimented on”. </w:t>
      </w:r>
      <w:proofErr w:type="gramStart"/>
      <w:r w:rsidR="008B160F">
        <w:t>and</w:t>
      </w:r>
      <w:proofErr w:type="gramEnd"/>
      <w:r w:rsidR="008B160F">
        <w:t xml:space="preserve"> assimilate the key </w:t>
      </w:r>
      <w:r w:rsidR="00C4405D">
        <w:t>learning points from the experi</w:t>
      </w:r>
      <w:r w:rsidR="000E5B4B">
        <w:t>ence. Furthermore, reflection of</w:t>
      </w:r>
      <w:r w:rsidR="00C4405D">
        <w:t xml:space="preserve"> learning can build self – efficacy, where confidence is gained to achieve the goal or objective. </w:t>
      </w:r>
      <w:sdt>
        <w:sdtPr>
          <w:id w:val="1501315855"/>
          <w:citation/>
        </w:sdtPr>
        <w:sdtEndPr/>
        <w:sdtContent>
          <w:r w:rsidR="00C4405D">
            <w:fldChar w:fldCharType="begin"/>
          </w:r>
          <w:r w:rsidR="00C4405D">
            <w:instrText xml:space="preserve"> CITATION Ste141 \l 2057 </w:instrText>
          </w:r>
          <w:r w:rsidR="00C4405D">
            <w:fldChar w:fldCharType="separate"/>
          </w:r>
          <w:r w:rsidR="00C4405D">
            <w:rPr>
              <w:noProof/>
            </w:rPr>
            <w:t>(Stefano, Gino, Pisano, &amp; Staats, 2014)</w:t>
          </w:r>
          <w:r w:rsidR="00C4405D">
            <w:fldChar w:fldCharType="end"/>
          </w:r>
        </w:sdtContent>
      </w:sdt>
      <w:r w:rsidR="00C4405D">
        <w:t xml:space="preserve"> </w:t>
      </w:r>
      <w:r w:rsidR="00A25796">
        <w:t xml:space="preserve">Assessments and performance enable us to see our cognitive learning ability, but what is lacked is our social and emotional judgement that are other aspects of learning. </w:t>
      </w:r>
      <w:sdt>
        <w:sdtPr>
          <w:id w:val="-1459880293"/>
          <w:citation/>
        </w:sdtPr>
        <w:sdtEndPr/>
        <w:sdtContent>
          <w:r w:rsidR="00630A84">
            <w:fldChar w:fldCharType="begin"/>
          </w:r>
          <w:r w:rsidR="00630A84">
            <w:instrText xml:space="preserve"> CITATION Mac13 \l 2057 </w:instrText>
          </w:r>
          <w:r w:rsidR="00630A84">
            <w:fldChar w:fldCharType="separate"/>
          </w:r>
          <w:r w:rsidR="00630A84">
            <w:rPr>
              <w:noProof/>
            </w:rPr>
            <w:t xml:space="preserve"> (Mackie &amp; Jayatilleke, Reflection as part of continuous professional development for public health professionals: a literature review , 2013)</w:t>
          </w:r>
          <w:r w:rsidR="00630A84">
            <w:fldChar w:fldCharType="end"/>
          </w:r>
        </w:sdtContent>
      </w:sdt>
      <w:r w:rsidR="00630A84">
        <w:t xml:space="preserve"> </w:t>
      </w:r>
      <w:r w:rsidR="004A39F8">
        <w:t xml:space="preserve">The ‘Kolb Model’ helps us to learn </w:t>
      </w:r>
      <w:r w:rsidR="00B523B6">
        <w:t>from ou</w:t>
      </w:r>
      <w:r w:rsidR="00BE02DC">
        <w:t>r experiences. This theory is:</w:t>
      </w:r>
    </w:p>
    <w:p w:rsidR="006A0838" w:rsidRDefault="006A0838" w:rsidP="00005711"/>
    <w:p w:rsidR="00BB2D35" w:rsidRDefault="00D211E9" w:rsidP="00005711">
      <w:r>
        <w:t xml:space="preserve">The four stage cycle: </w:t>
      </w:r>
    </w:p>
    <w:p w:rsidR="00D211E9" w:rsidRDefault="00D211E9" w:rsidP="00005711">
      <w:pPr>
        <w:pStyle w:val="ListParagraph"/>
        <w:numPr>
          <w:ilvl w:val="0"/>
          <w:numId w:val="1"/>
        </w:numPr>
        <w:jc w:val="both"/>
      </w:pPr>
      <w:r>
        <w:t>Concrete Experience</w:t>
      </w:r>
      <w:r w:rsidR="00CC6F9F">
        <w:t xml:space="preserve">- this is where active learning is involved, as work may assign a task to be completed. In order to learn effectively, </w:t>
      </w:r>
      <w:r w:rsidR="00732782">
        <w:t xml:space="preserve">the individual or group must actually engage and do. </w:t>
      </w:r>
    </w:p>
    <w:p w:rsidR="00732782" w:rsidRDefault="00732782" w:rsidP="00005711">
      <w:pPr>
        <w:pStyle w:val="ListParagraph"/>
        <w:numPr>
          <w:ilvl w:val="0"/>
          <w:numId w:val="1"/>
        </w:numPr>
        <w:jc w:val="both"/>
      </w:pPr>
      <w:r>
        <w:lastRenderedPageBreak/>
        <w:t xml:space="preserve">Reflective observation- this is the seconds stage of the cycle, where time is taken to reflect on what you have “doing” and review what has been done. Many questions should be asked in this stage. </w:t>
      </w:r>
    </w:p>
    <w:p w:rsidR="00732782" w:rsidRDefault="00732782" w:rsidP="00005711">
      <w:pPr>
        <w:pStyle w:val="ListParagraph"/>
        <w:numPr>
          <w:ilvl w:val="0"/>
          <w:numId w:val="1"/>
        </w:numPr>
        <w:jc w:val="both"/>
      </w:pPr>
      <w:r>
        <w:t xml:space="preserve">Abstract conceptualisation- this is interpreting the events so you can comprehend what has happened. Using theory and evidence, comparisons are made between what has been done and the models researched. </w:t>
      </w:r>
    </w:p>
    <w:p w:rsidR="00CE192C" w:rsidRDefault="00732782" w:rsidP="00005711">
      <w:pPr>
        <w:pStyle w:val="ListParagraph"/>
        <w:numPr>
          <w:ilvl w:val="0"/>
          <w:numId w:val="1"/>
        </w:numPr>
        <w:jc w:val="both"/>
      </w:pPr>
      <w:r>
        <w:t xml:space="preserve">Active experimentation- the final stage of the cycle is when you consider how you are going to practise what you have learnt. This step of planning means that predictions should be made for what will happen next. Learning is mostly useful if you put it into context that is relevant to you. </w:t>
      </w:r>
    </w:p>
    <w:p w:rsidR="00CE192C" w:rsidRDefault="00CE192C" w:rsidP="00005711">
      <w:pPr>
        <w:ind w:left="360"/>
        <w:jc w:val="both"/>
      </w:pPr>
      <w:r>
        <w:t xml:space="preserve">These are the four styles of learning that are applied for each stage. </w:t>
      </w:r>
    </w:p>
    <w:p w:rsidR="00732782" w:rsidRDefault="00CE192C" w:rsidP="00005711">
      <w:pPr>
        <w:pStyle w:val="ListParagraph"/>
        <w:numPr>
          <w:ilvl w:val="0"/>
          <w:numId w:val="2"/>
        </w:numPr>
        <w:jc w:val="both"/>
      </w:pPr>
      <w:r>
        <w:t xml:space="preserve">Diverging- this is for emotional and imaginative that enjoy and feel style of learning. These types of learners generate many ideas and think deeply about situations. </w:t>
      </w:r>
    </w:p>
    <w:p w:rsidR="00CE192C" w:rsidRDefault="00A55D59" w:rsidP="00005711">
      <w:pPr>
        <w:pStyle w:val="ListParagraph"/>
        <w:numPr>
          <w:ilvl w:val="0"/>
          <w:numId w:val="2"/>
        </w:numPr>
        <w:jc w:val="both"/>
      </w:pPr>
      <w:r>
        <w:t>Assimilating- this approach is for those who value conciseness and logic. Learners will prefer a clear explanation over practicality.</w:t>
      </w:r>
    </w:p>
    <w:p w:rsidR="00A55D59" w:rsidRDefault="00A55D59" w:rsidP="00005711">
      <w:pPr>
        <w:pStyle w:val="ListParagraph"/>
        <w:numPr>
          <w:ilvl w:val="0"/>
          <w:numId w:val="2"/>
        </w:numPr>
        <w:jc w:val="both"/>
      </w:pPr>
      <w:r>
        <w:t>Converging- this learning style is leant more towards technical minded people, as it requires the think and do aspect of learning. Learners will rely on their learning and are open to new ideas.</w:t>
      </w:r>
    </w:p>
    <w:p w:rsidR="00A55D59" w:rsidRDefault="00A55D59" w:rsidP="00005711">
      <w:pPr>
        <w:pStyle w:val="ListParagraph"/>
        <w:numPr>
          <w:ilvl w:val="0"/>
          <w:numId w:val="2"/>
        </w:numPr>
        <w:jc w:val="both"/>
      </w:pPr>
      <w:r>
        <w:t xml:space="preserve">Accommodating- these types of learners are proactive and eager to try new things. This feel and do style caters to those who use others analysis and are more intuitive than logical. </w:t>
      </w:r>
    </w:p>
    <w:p w:rsidR="00467355" w:rsidRDefault="00A55D59" w:rsidP="00005711">
      <w:pPr>
        <w:ind w:left="360"/>
        <w:jc w:val="both"/>
      </w:pPr>
      <w:r>
        <w:t>The K</w:t>
      </w:r>
      <w:r w:rsidR="00467355">
        <w:t xml:space="preserve">olb model is beneficial because </w:t>
      </w:r>
      <w:r w:rsidR="00D6585B">
        <w:t xml:space="preserve">it is far more effective to reflect on things that can be improved and take time to understand what well and what hasn’t, so that you can apply to other scenarios you will face. </w:t>
      </w:r>
      <w:r w:rsidR="00A1071E">
        <w:t xml:space="preserve">It also helps us to gain a more in-depth and honest picture of ourselves. We become more aware </w:t>
      </w:r>
      <w:r w:rsidR="00005711">
        <w:t xml:space="preserve">of our strengths and helps us visualise a picture for the next step. </w:t>
      </w:r>
      <w:sdt>
        <w:sdtPr>
          <w:id w:val="419456479"/>
          <w:citation/>
        </w:sdtPr>
        <w:sdtContent>
          <w:r w:rsidR="00810BF9">
            <w:fldChar w:fldCharType="begin"/>
          </w:r>
          <w:r w:rsidR="00810BF9">
            <w:instrText xml:space="preserve"> CITATION Ste151 \l 2057 </w:instrText>
          </w:r>
          <w:r w:rsidR="00810BF9">
            <w:fldChar w:fldCharType="separate"/>
          </w:r>
          <w:r w:rsidR="00810BF9">
            <w:rPr>
              <w:noProof/>
            </w:rPr>
            <w:t>(Cotrell, 2015)</w:t>
          </w:r>
          <w:r w:rsidR="00810BF9">
            <w:fldChar w:fldCharType="end"/>
          </w:r>
        </w:sdtContent>
      </w:sdt>
      <w:r w:rsidR="00810BF9">
        <w:t>.</w:t>
      </w:r>
    </w:p>
    <w:p w:rsidR="00810BF9" w:rsidRDefault="00810BF9" w:rsidP="00005711">
      <w:pPr>
        <w:ind w:left="360"/>
        <w:jc w:val="both"/>
      </w:pPr>
    </w:p>
    <w:p w:rsidR="0049407D" w:rsidRDefault="00A01C6F" w:rsidP="0049407D">
      <w:pPr>
        <w:ind w:left="360"/>
        <w:jc w:val="both"/>
      </w:pPr>
      <w:r>
        <w:t>Secondary research is the gathering of existing information that has already been produced. For example, newspaper, the internet and books. A major aspect when producing my work is research. Through this process, I found it extremely difficult to extract the most relevant and the least biased points from these methods of secondary research. This is because I wanted</w:t>
      </w:r>
      <w:r w:rsidR="00BE02DC">
        <w:t xml:space="preserve"> the data to support my point so it would make more sense. </w:t>
      </w:r>
      <w:r w:rsidR="0049407D">
        <w:t xml:space="preserve">I think it is important to understand how to utilise secondary methods because it can strengthen your argument and create a hypothesis for what you are trying to justify. It can also ensure that you are on track with the right knowledge and know you are not misinterpreting things. I have to be careful in the future of where I get my sources from, so to ensure that I am finding the most useful sources, I am going to use Google Scholar and other accurate findings. </w:t>
      </w:r>
    </w:p>
    <w:p w:rsidR="006F5581" w:rsidRDefault="0049407D" w:rsidP="006F5581">
      <w:pPr>
        <w:ind w:left="360"/>
        <w:jc w:val="both"/>
      </w:pPr>
      <w:r>
        <w:t xml:space="preserve">Referencing my work was one way to collect all my sources and views, which made it much easier to see where I got that specific point from. Giving credit to the author is also essential. However, it links into my first point about finding the right source to reference. I find that books are very useful and provide lots of information for me to help my knowledge expand. I am more sceptical of finding research online because most people can have access to the internet and they could supply incorrect or inaccurate information. </w:t>
      </w:r>
      <w:r w:rsidR="006F5581">
        <w:t xml:space="preserve">To prevent this, I will only use reliable sources with a date and author. Paraphrasing is very useful to me as a learner. By rephrasing something, it helps me to understand it better because I can discuss it in different ways and can apply it to all related </w:t>
      </w:r>
      <w:r w:rsidR="006F5581">
        <w:lastRenderedPageBreak/>
        <w:t xml:space="preserve">scenarios. Additionally, writing in third person was another aspect of academic writing that challenged me. It was difficult to not include personal pronouns when I was talking about myself, but eventually the rhythm became easier and I was able to understand my work clearly. </w:t>
      </w:r>
    </w:p>
    <w:p w:rsidR="00715AC2" w:rsidRDefault="00715AC2" w:rsidP="00715AC2">
      <w:pPr>
        <w:ind w:left="360"/>
        <w:jc w:val="both"/>
      </w:pPr>
      <w:r>
        <w:t>Teamwork is a new skill which I had never experienced before. I had not been familiar with any of the members in my team but we quickly engaged with one another and worked effectively to produce a presentation. We were very efficient and made sure everyone was included and we supported one another where help was needed. We were very time effective as well, as we managed to meet up a few times before our presentation to practise and talk about anything that needed to be adjusted. I learnt many skills within working with a team and that’s listening to others and their opinions, taking leadership where I felt there was more harmony needed, and also being confident in putting in my own ideas and letting people understand my points without being forceful.</w:t>
      </w:r>
    </w:p>
    <w:p w:rsidR="006F5581" w:rsidRDefault="006F5581" w:rsidP="006F5581">
      <w:pPr>
        <w:ind w:left="360"/>
        <w:jc w:val="both"/>
      </w:pPr>
      <w:r>
        <w:t>While working in a team for a group presentation, I had faced many challenges. I was not very confident in myself and struggl</w:t>
      </w:r>
      <w:r w:rsidR="00601E1C">
        <w:t>ed to let my speech flow cohesiv</w:t>
      </w:r>
      <w:r>
        <w:t>ely.</w:t>
      </w:r>
      <w:r w:rsidR="00715AC2">
        <w:t xml:space="preserve"> I also was conscious about being too quiet or not clear in what I was saying.</w:t>
      </w:r>
      <w:r>
        <w:t xml:space="preserve"> </w:t>
      </w:r>
      <w:r w:rsidR="00715AC2">
        <w:t xml:space="preserve">Nonetheless, I managed to deliver a clear presentation along with my team members and the review from my peers and tutor was </w:t>
      </w:r>
      <w:r w:rsidR="00601E1C">
        <w:t xml:space="preserve">mostly positive. I had to improve on engaging with the audience more, such as by making eye contact and being direct. I must also practise the pronunciation of words, then my speaking will become clearer. Lastly, I must try to be more assertive, so my points are more effective. </w:t>
      </w:r>
    </w:p>
    <w:p w:rsidR="00640C3C" w:rsidRDefault="00601E1C" w:rsidP="006F5581">
      <w:pPr>
        <w:ind w:left="360"/>
        <w:jc w:val="both"/>
      </w:pPr>
      <w:r>
        <w:t>In conclusion, I have evolved many skills throughout the module and I now know my str</w:t>
      </w:r>
      <w:r w:rsidR="00DD7183">
        <w:t>engths and weaknesses among these areas. To improve on identifying and using secondary methods, I will use Google Scholar to make sure my information is accurate and up to date. To improve my academic writing, I am going to ensure my writing level matches the audience. I am also going to provide supporting evidence to strengthen my points and also ensure my points are informative. Once I am more capable of writing effectively, I will then focus on improving the style of my writing so it engages the reader more. I believe that my team and I had worked hard, but what I hope to do better next time is to highlight the objective and always go back and link to it so everyone is aware of what direction they are going in. Additionally, we should acknowledge hard work and encourage others to try their best when fulfilling their role. To improve my delivery of presentation, I am going to practise much more next time. This would mean that I am more confident and will also remember the main points that I am discussing. I will also engage with the audience more by smiling and making eye contact.</w:t>
      </w:r>
      <w:r w:rsidR="001C7EF3">
        <w:t xml:space="preserve"> Overall, reflection has made me understand that there is also room for improvement and that not everything goes right the first time. Practising and acting on those improvements will lead to success in the future. </w:t>
      </w: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pPr>
    </w:p>
    <w:p w:rsidR="00640C3C" w:rsidRDefault="00640C3C" w:rsidP="00640C3C">
      <w:pPr>
        <w:pStyle w:val="Bibliography"/>
        <w:ind w:left="720" w:hanging="720"/>
        <w:rPr>
          <w:noProof/>
          <w:sz w:val="24"/>
          <w:szCs w:val="24"/>
        </w:rPr>
      </w:pPr>
      <w:r>
        <w:lastRenderedPageBreak/>
        <w:fldChar w:fldCharType="begin"/>
      </w:r>
      <w:r>
        <w:instrText xml:space="preserve"> BIBLIOGRAPHY  \l 2057 </w:instrText>
      </w:r>
      <w:r>
        <w:fldChar w:fldCharType="separate"/>
      </w:r>
      <w:r>
        <w:rPr>
          <w:noProof/>
        </w:rPr>
        <w:t xml:space="preserve">Cotrell, S. (2015). </w:t>
      </w:r>
      <w:r>
        <w:rPr>
          <w:i/>
          <w:iCs/>
          <w:noProof/>
        </w:rPr>
        <w:t>Skills for Success: Devlopment and Employability.</w:t>
      </w:r>
      <w:r>
        <w:rPr>
          <w:noProof/>
        </w:rPr>
        <w:t xml:space="preserve"> PALGRAVE.</w:t>
      </w:r>
    </w:p>
    <w:p w:rsidR="00640C3C" w:rsidRDefault="00640C3C" w:rsidP="00640C3C">
      <w:pPr>
        <w:pStyle w:val="Bibliography"/>
        <w:ind w:left="720" w:hanging="720"/>
        <w:rPr>
          <w:noProof/>
        </w:rPr>
      </w:pPr>
      <w:r>
        <w:rPr>
          <w:noProof/>
        </w:rPr>
        <w:t xml:space="preserve">Mackie, A., &amp; Jayatilleke, N. (2013). Reflection as part of continuous professional development for public health professionals: a literature review . </w:t>
      </w:r>
      <w:r>
        <w:rPr>
          <w:i/>
          <w:iCs/>
          <w:noProof/>
        </w:rPr>
        <w:t>Journal of Public Health</w:t>
      </w:r>
      <w:r>
        <w:rPr>
          <w:noProof/>
        </w:rPr>
        <w:t>, 308-312.</w:t>
      </w:r>
    </w:p>
    <w:p w:rsidR="00640C3C" w:rsidRDefault="00640C3C" w:rsidP="00640C3C">
      <w:pPr>
        <w:pStyle w:val="Bibliography"/>
        <w:ind w:left="720" w:hanging="720"/>
        <w:rPr>
          <w:noProof/>
        </w:rPr>
      </w:pPr>
      <w:r>
        <w:rPr>
          <w:noProof/>
        </w:rPr>
        <w:t xml:space="preserve">Mackie, A., &amp; Nishamali, J. (2012, October 17). </w:t>
      </w:r>
      <w:r>
        <w:rPr>
          <w:i/>
          <w:iCs/>
          <w:noProof/>
        </w:rPr>
        <w:t>Reflection as part of continuous professional development for public health professionals: a literature review</w:t>
      </w:r>
      <w:r>
        <w:rPr>
          <w:noProof/>
        </w:rPr>
        <w:t>. Retrieved from Oxford Academic : https://academic.oup.com/jpubhealth/article/35/2/308/1543818</w:t>
      </w:r>
    </w:p>
    <w:p w:rsidR="00640C3C" w:rsidRDefault="00640C3C" w:rsidP="00640C3C">
      <w:pPr>
        <w:pStyle w:val="Bibliography"/>
        <w:ind w:left="720" w:hanging="720"/>
        <w:rPr>
          <w:noProof/>
        </w:rPr>
      </w:pPr>
      <w:r>
        <w:rPr>
          <w:i/>
          <w:iCs/>
          <w:noProof/>
        </w:rPr>
        <w:t xml:space="preserve">Reflection: What is it and why is it useful? </w:t>
      </w:r>
      <w:r>
        <w:rPr>
          <w:noProof/>
        </w:rPr>
        <w:t>. (n.d.). Retrieved from The University of Edinborough : http://www.docs.hss.ed.ac.uk/iad/Learning_teaching/Academic_pastoral/Reflect/Reflection_explanation_HO.pdf</w:t>
      </w:r>
    </w:p>
    <w:p w:rsidR="00640C3C" w:rsidRDefault="00640C3C" w:rsidP="00640C3C">
      <w:pPr>
        <w:pStyle w:val="Bibliography"/>
        <w:ind w:left="720" w:hanging="720"/>
        <w:rPr>
          <w:noProof/>
        </w:rPr>
      </w:pPr>
      <w:r>
        <w:rPr>
          <w:noProof/>
        </w:rPr>
        <w:t xml:space="preserve">Stefano, G. D., Gino, F., Pisano, G., &amp; Staats, B. (2014, April 11). </w:t>
      </w:r>
      <w:r>
        <w:rPr>
          <w:i/>
          <w:iCs/>
          <w:noProof/>
        </w:rPr>
        <w:t>Learning By Thinking: How Reflection Improves Performance</w:t>
      </w:r>
      <w:r>
        <w:rPr>
          <w:noProof/>
        </w:rPr>
        <w:t>. Retrieved from Havard Business School Working Knowledge: https://hbswk.hbs.edu/item/learning-by-thinking-how-reflection-improves-performance</w:t>
      </w:r>
    </w:p>
    <w:p w:rsidR="00601E1C" w:rsidRDefault="00640C3C" w:rsidP="00640C3C">
      <w:pPr>
        <w:ind w:left="360"/>
        <w:jc w:val="both"/>
      </w:pPr>
      <w:r>
        <w:fldChar w:fldCharType="end"/>
      </w:r>
    </w:p>
    <w:p w:rsidR="00601E1C" w:rsidRDefault="00601E1C" w:rsidP="006F5581">
      <w:pPr>
        <w:ind w:left="360"/>
        <w:jc w:val="both"/>
      </w:pPr>
    </w:p>
    <w:p w:rsidR="0049407D" w:rsidRDefault="0049407D" w:rsidP="0049407D">
      <w:pPr>
        <w:ind w:left="360"/>
        <w:jc w:val="both"/>
      </w:pPr>
    </w:p>
    <w:p w:rsidR="0049407D" w:rsidRDefault="0049407D" w:rsidP="0049407D">
      <w:pPr>
        <w:ind w:left="360"/>
        <w:jc w:val="both"/>
      </w:pPr>
    </w:p>
    <w:p w:rsidR="0049407D" w:rsidRPr="00A13D42" w:rsidRDefault="0049407D" w:rsidP="0049407D">
      <w:pPr>
        <w:ind w:left="360"/>
        <w:jc w:val="both"/>
      </w:pPr>
      <w:bookmarkStart w:id="0" w:name="_GoBack"/>
      <w:bookmarkEnd w:id="0"/>
    </w:p>
    <w:sectPr w:rsidR="0049407D" w:rsidRPr="00A13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917ACC"/>
    <w:multiLevelType w:val="hybridMultilevel"/>
    <w:tmpl w:val="4A121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86A1B"/>
    <w:multiLevelType w:val="hybridMultilevel"/>
    <w:tmpl w:val="F8BCD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D42"/>
    <w:rsid w:val="00005711"/>
    <w:rsid w:val="000E5B4B"/>
    <w:rsid w:val="00187DED"/>
    <w:rsid w:val="0019522B"/>
    <w:rsid w:val="001C7EF3"/>
    <w:rsid w:val="003902C8"/>
    <w:rsid w:val="003B2265"/>
    <w:rsid w:val="00467355"/>
    <w:rsid w:val="0049407D"/>
    <w:rsid w:val="004A39F8"/>
    <w:rsid w:val="00504C89"/>
    <w:rsid w:val="005B46F3"/>
    <w:rsid w:val="00601E1C"/>
    <w:rsid w:val="0063032E"/>
    <w:rsid w:val="00630A84"/>
    <w:rsid w:val="00640C3C"/>
    <w:rsid w:val="00680CCC"/>
    <w:rsid w:val="006A0838"/>
    <w:rsid w:val="006B6E31"/>
    <w:rsid w:val="006F5581"/>
    <w:rsid w:val="00706C31"/>
    <w:rsid w:val="00715AC2"/>
    <w:rsid w:val="00732782"/>
    <w:rsid w:val="007406E9"/>
    <w:rsid w:val="0074747C"/>
    <w:rsid w:val="007D1ABE"/>
    <w:rsid w:val="00810BF9"/>
    <w:rsid w:val="008219C2"/>
    <w:rsid w:val="008B160F"/>
    <w:rsid w:val="008D2E77"/>
    <w:rsid w:val="009E1BD4"/>
    <w:rsid w:val="00A01C6F"/>
    <w:rsid w:val="00A1071E"/>
    <w:rsid w:val="00A13D42"/>
    <w:rsid w:val="00A25796"/>
    <w:rsid w:val="00A555EC"/>
    <w:rsid w:val="00A55D59"/>
    <w:rsid w:val="00AF353D"/>
    <w:rsid w:val="00B523B6"/>
    <w:rsid w:val="00B969C9"/>
    <w:rsid w:val="00BB2D35"/>
    <w:rsid w:val="00BE02DC"/>
    <w:rsid w:val="00C4405D"/>
    <w:rsid w:val="00C53186"/>
    <w:rsid w:val="00CC6F9F"/>
    <w:rsid w:val="00CE192C"/>
    <w:rsid w:val="00D1776B"/>
    <w:rsid w:val="00D211E9"/>
    <w:rsid w:val="00D6585B"/>
    <w:rsid w:val="00DD7183"/>
    <w:rsid w:val="00FD7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7D38A0-4AB1-41B3-A114-949FBF12D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11E9"/>
    <w:pPr>
      <w:ind w:left="720"/>
      <w:contextualSpacing/>
    </w:pPr>
  </w:style>
  <w:style w:type="paragraph" w:styleId="Bibliography">
    <w:name w:val="Bibliography"/>
    <w:basedOn w:val="Normal"/>
    <w:next w:val="Normal"/>
    <w:uiPriority w:val="37"/>
    <w:unhideWhenUsed/>
    <w:rsid w:val="00640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9177834">
      <w:bodyDiv w:val="1"/>
      <w:marLeft w:val="0"/>
      <w:marRight w:val="0"/>
      <w:marTop w:val="0"/>
      <w:marBottom w:val="0"/>
      <w:divBdr>
        <w:top w:val="none" w:sz="0" w:space="0" w:color="auto"/>
        <w:left w:val="none" w:sz="0" w:space="0" w:color="auto"/>
        <w:bottom w:val="none" w:sz="0" w:space="0" w:color="auto"/>
        <w:right w:val="none" w:sz="0" w:space="0" w:color="auto"/>
      </w:divBdr>
    </w:div>
    <w:div w:id="605968725">
      <w:bodyDiv w:val="1"/>
      <w:marLeft w:val="0"/>
      <w:marRight w:val="0"/>
      <w:marTop w:val="0"/>
      <w:marBottom w:val="0"/>
      <w:divBdr>
        <w:top w:val="none" w:sz="0" w:space="0" w:color="auto"/>
        <w:left w:val="none" w:sz="0" w:space="0" w:color="auto"/>
        <w:bottom w:val="none" w:sz="0" w:space="0" w:color="auto"/>
        <w:right w:val="none" w:sz="0" w:space="0" w:color="auto"/>
      </w:divBdr>
    </w:div>
    <w:div w:id="691615844">
      <w:bodyDiv w:val="1"/>
      <w:marLeft w:val="0"/>
      <w:marRight w:val="0"/>
      <w:marTop w:val="0"/>
      <w:marBottom w:val="0"/>
      <w:divBdr>
        <w:top w:val="none" w:sz="0" w:space="0" w:color="auto"/>
        <w:left w:val="none" w:sz="0" w:space="0" w:color="auto"/>
        <w:bottom w:val="none" w:sz="0" w:space="0" w:color="auto"/>
        <w:right w:val="none" w:sz="0" w:space="0" w:color="auto"/>
      </w:divBdr>
    </w:div>
    <w:div w:id="731930744">
      <w:bodyDiv w:val="1"/>
      <w:marLeft w:val="0"/>
      <w:marRight w:val="0"/>
      <w:marTop w:val="0"/>
      <w:marBottom w:val="0"/>
      <w:divBdr>
        <w:top w:val="none" w:sz="0" w:space="0" w:color="auto"/>
        <w:left w:val="none" w:sz="0" w:space="0" w:color="auto"/>
        <w:bottom w:val="none" w:sz="0" w:space="0" w:color="auto"/>
        <w:right w:val="none" w:sz="0" w:space="0" w:color="auto"/>
      </w:divBdr>
    </w:div>
    <w:div w:id="1091389264">
      <w:bodyDiv w:val="1"/>
      <w:marLeft w:val="0"/>
      <w:marRight w:val="0"/>
      <w:marTop w:val="0"/>
      <w:marBottom w:val="0"/>
      <w:divBdr>
        <w:top w:val="none" w:sz="0" w:space="0" w:color="auto"/>
        <w:left w:val="none" w:sz="0" w:space="0" w:color="auto"/>
        <w:bottom w:val="none" w:sz="0" w:space="0" w:color="auto"/>
        <w:right w:val="none" w:sz="0" w:space="0" w:color="auto"/>
      </w:divBdr>
    </w:div>
    <w:div w:id="1132677706">
      <w:bodyDiv w:val="1"/>
      <w:marLeft w:val="0"/>
      <w:marRight w:val="0"/>
      <w:marTop w:val="0"/>
      <w:marBottom w:val="0"/>
      <w:divBdr>
        <w:top w:val="none" w:sz="0" w:space="0" w:color="auto"/>
        <w:left w:val="none" w:sz="0" w:space="0" w:color="auto"/>
        <w:bottom w:val="none" w:sz="0" w:space="0" w:color="auto"/>
        <w:right w:val="none" w:sz="0" w:space="0" w:color="auto"/>
      </w:divBdr>
    </w:div>
    <w:div w:id="1753117757">
      <w:bodyDiv w:val="1"/>
      <w:marLeft w:val="0"/>
      <w:marRight w:val="0"/>
      <w:marTop w:val="0"/>
      <w:marBottom w:val="0"/>
      <w:divBdr>
        <w:top w:val="none" w:sz="0" w:space="0" w:color="auto"/>
        <w:left w:val="none" w:sz="0" w:space="0" w:color="auto"/>
        <w:bottom w:val="none" w:sz="0" w:space="0" w:color="auto"/>
        <w:right w:val="none" w:sz="0" w:space="0" w:color="auto"/>
      </w:divBdr>
    </w:div>
    <w:div w:id="1877500292">
      <w:bodyDiv w:val="1"/>
      <w:marLeft w:val="0"/>
      <w:marRight w:val="0"/>
      <w:marTop w:val="0"/>
      <w:marBottom w:val="0"/>
      <w:divBdr>
        <w:top w:val="none" w:sz="0" w:space="0" w:color="auto"/>
        <w:left w:val="none" w:sz="0" w:space="0" w:color="auto"/>
        <w:bottom w:val="none" w:sz="0" w:space="0" w:color="auto"/>
        <w:right w:val="none" w:sz="0" w:space="0" w:color="auto"/>
      </w:divBdr>
    </w:div>
    <w:div w:id="1888182129">
      <w:bodyDiv w:val="1"/>
      <w:marLeft w:val="0"/>
      <w:marRight w:val="0"/>
      <w:marTop w:val="0"/>
      <w:marBottom w:val="0"/>
      <w:divBdr>
        <w:top w:val="none" w:sz="0" w:space="0" w:color="auto"/>
        <w:left w:val="none" w:sz="0" w:space="0" w:color="auto"/>
        <w:bottom w:val="none" w:sz="0" w:space="0" w:color="auto"/>
        <w:right w:val="none" w:sz="0" w:space="0" w:color="auto"/>
      </w:divBdr>
    </w:div>
    <w:div w:id="2011518496">
      <w:bodyDiv w:val="1"/>
      <w:marLeft w:val="0"/>
      <w:marRight w:val="0"/>
      <w:marTop w:val="0"/>
      <w:marBottom w:val="0"/>
      <w:divBdr>
        <w:top w:val="none" w:sz="0" w:space="0" w:color="auto"/>
        <w:left w:val="none" w:sz="0" w:space="0" w:color="auto"/>
        <w:bottom w:val="none" w:sz="0" w:space="0" w:color="auto"/>
        <w:right w:val="none" w:sz="0" w:space="0" w:color="auto"/>
      </w:divBdr>
    </w:div>
    <w:div w:id="203653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Ref</b:Tag>
    <b:SourceType>InternetSite</b:SourceType>
    <b:Guid>{7F950F2F-6ED7-4EF6-8B65-C0381DFFB926}</b:Guid>
    <b:Title>Reflection: What is it and why is it useful? </b:Title>
    <b:InternetSiteTitle>The University of Edinborough </b:InternetSiteTitle>
    <b:URL>http://www.docs.hss.ed.ac.uk/iad/Learning_teaching/Academic_pastoral/Reflect/Reflection_explanation_HO.pdf</b:URL>
    <b:RefOrder>1</b:RefOrder>
  </b:Source>
  <b:Source>
    <b:Tag>Ste141</b:Tag>
    <b:SourceType>InternetSite</b:SourceType>
    <b:Guid>{062CCBE5-2749-456B-BBE2-E475B6BA1B43}</b:Guid>
    <b:Author>
      <b:Author>
        <b:NameList>
          <b:Person>
            <b:Last>Stefano</b:Last>
            <b:First>Giada</b:First>
            <b:Middle>Di</b:Middle>
          </b:Person>
          <b:Person>
            <b:Last>Gino</b:Last>
            <b:Middle>Francesca</b:Middle>
          </b:Person>
          <b:Person>
            <b:Last>Pisano</b:Last>
            <b:Middle>Gary</b:Middle>
          </b:Person>
          <b:Person>
            <b:Last>Staats</b:Last>
            <b:Middle>Bradley</b:Middle>
          </b:Person>
        </b:NameList>
      </b:Author>
    </b:Author>
    <b:Title>Learning By Thinking: How Reflection Improves Performance</b:Title>
    <b:InternetSiteTitle>Havard Business School Working Knowledge</b:InternetSiteTitle>
    <b:Year>2014</b:Year>
    <b:Month>April</b:Month>
    <b:Day>11</b:Day>
    <b:URL>https://hbswk.hbs.edu/item/learning-by-thinking-how-reflection-improves-performance</b:URL>
    <b:RefOrder>2</b:RefOrder>
  </b:Source>
  <b:Source>
    <b:Tag>Mac12</b:Tag>
    <b:SourceType>InternetSite</b:SourceType>
    <b:Guid>{821FD669-1DF7-4A5B-AF1F-CA815165BE65}</b:Guid>
    <b:Author>
      <b:Author>
        <b:NameList>
          <b:Person>
            <b:Last>Mackie</b:Last>
            <b:First>Annie</b:First>
          </b:Person>
          <b:Person>
            <b:Last>Nishamali</b:Last>
            <b:Middle>Jayatilleke </b:Middle>
          </b:Person>
        </b:NameList>
      </b:Author>
    </b:Author>
    <b:Title>Reflection as part of continuous professional development for public health professionals: a literature review</b:Title>
    <b:InternetSiteTitle>Oxford Academic </b:InternetSiteTitle>
    <b:Year>2012</b:Year>
    <b:Month>October</b:Month>
    <b:Day>17</b:Day>
    <b:URL>https://academic.oup.com/jpubhealth/article/35/2/308/1543818</b:URL>
    <b:RefOrder>5</b:RefOrder>
  </b:Source>
  <b:Source>
    <b:Tag>Mac13</b:Tag>
    <b:SourceType>JournalArticle</b:SourceType>
    <b:Guid>{E00E9B87-3955-46AB-87B9-9EE29AFBC62D}</b:Guid>
    <b:Author>
      <b:Author>
        <b:NameList>
          <b:Person>
            <b:Last>Mackie</b:Last>
            <b:First>Annie</b:First>
          </b:Person>
          <b:Person>
            <b:Last>Jayatilleke</b:Last>
            <b:Middle>Nishamali</b:Middle>
          </b:Person>
        </b:NameList>
      </b:Author>
    </b:Author>
    <b:Title>Reflection as part of continuous professional development for public health professionals: a literature review </b:Title>
    <b:JournalName>Journal of Public Health</b:JournalName>
    <b:Year>2013</b:Year>
    <b:Pages>308-312</b:Pages>
    <b:RefOrder>3</b:RefOrder>
  </b:Source>
  <b:Source>
    <b:Tag>Ste151</b:Tag>
    <b:SourceType>Book</b:SourceType>
    <b:Guid>{E6DC4DF8-FAD0-426D-91B8-1E01620A4311}</b:Guid>
    <b:Title>Skills for Success: Devlopment and Employability</b:Title>
    <b:Year>2015</b:Year>
    <b:Author>
      <b:Author>
        <b:NameList>
          <b:Person>
            <b:Last>Cotrell</b:Last>
            <b:First>Stella</b:First>
          </b:Person>
        </b:NameList>
      </b:Author>
    </b:Author>
    <b:Publisher>PALGRAVE</b:Publisher>
    <b:RefOrder>4</b:RefOrder>
  </b:Source>
</b:Sources>
</file>

<file path=customXml/itemProps1.xml><?xml version="1.0" encoding="utf-8"?>
<ds:datastoreItem xmlns:ds="http://schemas.openxmlformats.org/officeDocument/2006/customXml" ds:itemID="{F91B23F6-35D4-4093-AE72-A5C97F0C6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3076</TotalTime>
  <Pages>5</Pages>
  <Words>1409</Words>
  <Characters>8036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dc:creator>
  <cp:keywords/>
  <dc:description/>
  <cp:lastModifiedBy>Mostafa</cp:lastModifiedBy>
  <cp:revision>37</cp:revision>
  <dcterms:created xsi:type="dcterms:W3CDTF">2018-04-21T10:10:00Z</dcterms:created>
  <dcterms:modified xsi:type="dcterms:W3CDTF">2018-05-03T22:07:00Z</dcterms:modified>
</cp:coreProperties>
</file>