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6E1870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02041">
              <w:rPr>
                <w:rFonts w:ascii="Times New Roman" w:hAnsi="Times New Roman" w:cs="Times New Roman"/>
                <w:b/>
                <w:color w:val="auto"/>
                <w:sz w:val="48"/>
              </w:rPr>
              <w:t>Maeve Owens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9DD162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02041">
              <w:rPr>
                <w:rFonts w:ascii="Times New Roman" w:hAnsi="Times New Roman" w:cs="Times New Roman"/>
                <w:b/>
                <w:color w:val="auto"/>
                <w:sz w:val="48"/>
              </w:rPr>
              <w:t xml:space="preserve"> maeve.owens@pembrokeshire.gov.uk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BD10E53" w14:textId="2C886A70" w:rsidR="00F02041" w:rsidRDefault="00F02041"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6479721B" w14:textId="2A2D1047" w:rsidR="005C27FC" w:rsidRPr="001648F0" w:rsidRDefault="005C27FC"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 xml:space="preserve">Alzheimer’s Society. (2024). Understanding and supporting a person with dementia. Retrieved from: </w:t>
      </w:r>
      <w:hyperlink r:id="rId11" w:history="1">
        <w:r w:rsidR="000D5541" w:rsidRPr="001648F0">
          <w:rPr>
            <w:rStyle w:val="Hyperlink"/>
            <w:rFonts w:asciiTheme="minorHAnsi" w:eastAsiaTheme="minorHAnsi" w:hAnsiTheme="minorHAnsi" w:cstheme="minorHAnsi"/>
            <w:iCs/>
            <w:sz w:val="24"/>
            <w:szCs w:val="24"/>
            <w:lang w:eastAsia="en-US"/>
          </w:rPr>
          <w:t>https://www.alzheimers.org.uk/get-support/help-dementia-care/understanding-supporting-person-dementia</w:t>
        </w:r>
      </w:hyperlink>
    </w:p>
    <w:p w14:paraId="3B8B0C11" w14:textId="77777777" w:rsidR="000D5541" w:rsidRPr="001648F0" w:rsidRDefault="000D55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72620CC0" w14:textId="29FE2496" w:rsidR="000D5541" w:rsidRPr="001648F0" w:rsidRDefault="000D5541" w:rsidP="001648F0">
      <w:pPr>
        <w:overflowPunct/>
        <w:autoSpaceDE/>
        <w:autoSpaceDN/>
        <w:adjustRightInd/>
        <w:spacing w:line="480" w:lineRule="auto"/>
        <w:jc w:val="both"/>
        <w:textAlignment w:val="auto"/>
        <w:rPr>
          <w:rStyle w:val="Hyperlink"/>
          <w:rFonts w:asciiTheme="minorHAnsi" w:eastAsiaTheme="minorHAnsi" w:hAnsiTheme="minorHAnsi" w:cstheme="minorHAnsi"/>
          <w:iCs/>
          <w:sz w:val="24"/>
          <w:szCs w:val="24"/>
          <w:lang w:eastAsia="en-US"/>
        </w:rPr>
      </w:pPr>
      <w:proofErr w:type="spellStart"/>
      <w:r w:rsidRPr="001648F0">
        <w:rPr>
          <w:rFonts w:asciiTheme="minorHAnsi" w:eastAsiaTheme="minorHAnsi" w:hAnsiTheme="minorHAnsi" w:cstheme="minorHAnsi"/>
          <w:iCs/>
          <w:color w:val="auto"/>
          <w:sz w:val="24"/>
          <w:szCs w:val="24"/>
          <w:lang w:eastAsia="en-US"/>
        </w:rPr>
        <w:t>Baginsky</w:t>
      </w:r>
      <w:proofErr w:type="spellEnd"/>
      <w:r w:rsidRPr="001648F0">
        <w:rPr>
          <w:rFonts w:asciiTheme="minorHAnsi" w:eastAsiaTheme="minorHAnsi" w:hAnsiTheme="minorHAnsi" w:cstheme="minorHAnsi"/>
          <w:iCs/>
          <w:color w:val="auto"/>
          <w:sz w:val="24"/>
          <w:szCs w:val="24"/>
          <w:lang w:eastAsia="en-US"/>
        </w:rPr>
        <w:t xml:space="preserve">, M. and Baran, L. (2017). Signs of Safety: quick guide. Retrieved from: </w:t>
      </w:r>
      <w:hyperlink r:id="rId12" w:history="1">
        <w:r w:rsidRPr="001648F0">
          <w:rPr>
            <w:rStyle w:val="Hyperlink"/>
            <w:rFonts w:asciiTheme="minorHAnsi" w:eastAsiaTheme="minorHAnsi" w:hAnsiTheme="minorHAnsi" w:cstheme="minorHAnsi"/>
            <w:iCs/>
            <w:sz w:val="24"/>
            <w:szCs w:val="24"/>
            <w:lang w:eastAsia="en-US"/>
          </w:rPr>
          <w:t>https://adults.ccinform.co.uk/practice-guidance/signs-of-safety-quick-guide/</w:t>
        </w:r>
      </w:hyperlink>
    </w:p>
    <w:p w14:paraId="15CE462B" w14:textId="07650985" w:rsidR="001B559E" w:rsidRPr="001648F0" w:rsidRDefault="001B559E" w:rsidP="001648F0">
      <w:pPr>
        <w:overflowPunct/>
        <w:autoSpaceDE/>
        <w:autoSpaceDN/>
        <w:adjustRightInd/>
        <w:spacing w:line="480" w:lineRule="auto"/>
        <w:jc w:val="both"/>
        <w:textAlignment w:val="auto"/>
        <w:rPr>
          <w:rStyle w:val="Hyperlink"/>
          <w:rFonts w:asciiTheme="minorHAnsi" w:eastAsiaTheme="minorHAnsi" w:hAnsiTheme="minorHAnsi" w:cstheme="minorHAnsi"/>
          <w:iCs/>
          <w:sz w:val="24"/>
          <w:szCs w:val="24"/>
          <w:lang w:eastAsia="en-US"/>
        </w:rPr>
      </w:pPr>
    </w:p>
    <w:p w14:paraId="4A2AF5C7" w14:textId="53B17229" w:rsidR="001B559E" w:rsidRPr="001648F0" w:rsidRDefault="001B559E"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Bailey, C. et al. (2022) “The Experiences of Informal Carers during the COVID-19 Pandemic: A Qualitative Systematic Review,” International journal of environmental research and public health, 19(20), pp. 13455-. Available at: https://doi.org/10.3390/ijerph192013455.</w:t>
      </w:r>
    </w:p>
    <w:p w14:paraId="4B5F825B" w14:textId="3407F176" w:rsidR="005C27FC" w:rsidRPr="001648F0" w:rsidRDefault="005C27FC"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08680729" w14:textId="37EE487C" w:rsidR="005C27FC" w:rsidRPr="001648F0" w:rsidRDefault="005C27FC"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Bassot, B. (2020) The reflective journal. 3rd edition. London: Red Globe Press.</w:t>
      </w:r>
    </w:p>
    <w:p w14:paraId="2FB6CBB6" w14:textId="77777777" w:rsidR="005C27FC" w:rsidRPr="001648F0" w:rsidRDefault="005C27FC"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7E1F5BF1"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Beresford, P.  and Carr, S. (2012) Social care, service users and user involvement. London ; Jessica Kingsley Publishers.</w:t>
      </w:r>
    </w:p>
    <w:p w14:paraId="14172BEF" w14:textId="1F31FF29"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5C1683C3" w14:textId="77B66F86" w:rsidR="00104C12" w:rsidRPr="001648F0" w:rsidRDefault="00104C12"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Brammer, A. (2007) Social Work Law. Pearson Education Limited.</w:t>
      </w:r>
    </w:p>
    <w:p w14:paraId="48929A8C" w14:textId="77777777" w:rsidR="00104C12" w:rsidRPr="001648F0" w:rsidRDefault="00104C12"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69AFA59B" w14:textId="5C2C8A99" w:rsidR="00914911" w:rsidRDefault="0091491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lastRenderedPageBreak/>
        <w:t>Brammer, A. and Pritchard-Jones, L. (2019). Safeguarding Adults, 2nd edition - Series: Focus on Social Work Law. London: Red Globe Press</w:t>
      </w:r>
    </w:p>
    <w:p w14:paraId="2D8BC718" w14:textId="77777777" w:rsidR="00B16058" w:rsidRDefault="00B16058"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4D7896B8" w14:textId="4355B341" w:rsidR="00B16058" w:rsidRPr="001648F0" w:rsidRDefault="00B16058"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B16058">
        <w:rPr>
          <w:rFonts w:asciiTheme="minorHAnsi" w:eastAsiaTheme="minorHAnsi" w:hAnsiTheme="minorHAnsi" w:cstheme="minorHAnsi"/>
          <w:iCs/>
          <w:color w:val="auto"/>
          <w:sz w:val="24"/>
          <w:szCs w:val="24"/>
          <w:lang w:eastAsia="en-US"/>
        </w:rPr>
        <w:t>Braye, S., Preston-Shoot, M. and Wigley, V. (2013) ‘Deciding to use the law in social work practice’, </w:t>
      </w:r>
      <w:r w:rsidRPr="00B16058">
        <w:rPr>
          <w:rFonts w:asciiTheme="minorHAnsi" w:eastAsiaTheme="minorHAnsi" w:hAnsiTheme="minorHAnsi" w:cstheme="minorHAnsi"/>
          <w:i/>
          <w:iCs/>
          <w:color w:val="auto"/>
          <w:sz w:val="24"/>
          <w:szCs w:val="24"/>
          <w:lang w:eastAsia="en-US"/>
        </w:rPr>
        <w:t>Journal of social work : JSW</w:t>
      </w:r>
      <w:r w:rsidRPr="00B16058">
        <w:rPr>
          <w:rFonts w:asciiTheme="minorHAnsi" w:eastAsiaTheme="minorHAnsi" w:hAnsiTheme="minorHAnsi" w:cstheme="minorHAnsi"/>
          <w:iCs/>
          <w:color w:val="auto"/>
          <w:sz w:val="24"/>
          <w:szCs w:val="24"/>
          <w:lang w:eastAsia="en-US"/>
        </w:rPr>
        <w:t>, 13(1), pp. 75–95. Available at: https://doi.org/10.1177/1468017311431476.</w:t>
      </w:r>
    </w:p>
    <w:p w14:paraId="7C18AB84" w14:textId="2A8AAB80" w:rsidR="00914911" w:rsidRPr="001648F0" w:rsidRDefault="0091491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57FD1B35"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British Association of Social Workers. (2021). The BASW code of ethics for social work. </w:t>
      </w:r>
      <w:hyperlink r:id="rId13" w:tgtFrame="_blank" w:history="1">
        <w:r w:rsidRPr="001648F0">
          <w:rPr>
            <w:rFonts w:asciiTheme="minorHAnsi" w:eastAsiaTheme="minorHAnsi" w:hAnsiTheme="minorHAnsi" w:cstheme="minorHAnsi"/>
            <w:iCs/>
            <w:color w:val="0563C1" w:themeColor="hyperlink"/>
            <w:sz w:val="24"/>
            <w:szCs w:val="24"/>
            <w:u w:val="single"/>
            <w:lang w:eastAsia="en-US"/>
          </w:rPr>
          <w:t>https://www.basw.co.uk/system/files/resources/basw_code_of_ethics_-_2021.pdf</w:t>
        </w:r>
      </w:hyperlink>
    </w:p>
    <w:p w14:paraId="2409A09D"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20637124" w14:textId="0FCC2B3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 xml:space="preserve">Carr, H. and </w:t>
      </w:r>
      <w:proofErr w:type="spellStart"/>
      <w:r w:rsidRPr="001648F0">
        <w:rPr>
          <w:rFonts w:asciiTheme="minorHAnsi" w:eastAsiaTheme="minorHAnsi" w:hAnsiTheme="minorHAnsi" w:cstheme="minorHAnsi"/>
          <w:iCs/>
          <w:color w:val="auto"/>
          <w:sz w:val="24"/>
          <w:szCs w:val="24"/>
          <w:lang w:eastAsia="en-US"/>
        </w:rPr>
        <w:t>Goosey</w:t>
      </w:r>
      <w:proofErr w:type="spellEnd"/>
      <w:r w:rsidRPr="001648F0">
        <w:rPr>
          <w:rFonts w:asciiTheme="minorHAnsi" w:eastAsiaTheme="minorHAnsi" w:hAnsiTheme="minorHAnsi" w:cstheme="minorHAnsi"/>
          <w:iCs/>
          <w:color w:val="auto"/>
          <w:sz w:val="24"/>
          <w:szCs w:val="24"/>
          <w:lang w:eastAsia="en-US"/>
        </w:rPr>
        <w:t xml:space="preserve">, D. (2019) Law for Social Workers. Oxford; Oxford University Press. </w:t>
      </w:r>
    </w:p>
    <w:p w14:paraId="26A2A67D" w14:textId="63655125"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40E6EBE8" w14:textId="2B411563"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Dementia UK. (2023). Tips for communicating with a person with dementia. Retrieved from: https://www.dementiauk.org/information-and-support/living-with-dementia/tips-for-communication</w:t>
      </w:r>
    </w:p>
    <w:p w14:paraId="1BC0A50D" w14:textId="6FDDC7EE"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2A4BEDCC" w14:textId="5252C5D5"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Di Rosa, R. T. (2022). “Without social there is no health”: Social work perspectives in multidisciplinary healthcare. Frontiers in Sociology, 7. https://doi.org/10.3389/fsoc.2022.1017077</w:t>
      </w:r>
    </w:p>
    <w:p w14:paraId="21F83E35"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4B773FB6" w14:textId="5FF2B218"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 xml:space="preserve">Driscoll, J. (2007) Practising clinical supervision: a reflective approach for healthcare professionals. 2nd </w:t>
      </w:r>
      <w:proofErr w:type="spellStart"/>
      <w:r w:rsidRPr="001648F0">
        <w:rPr>
          <w:rFonts w:asciiTheme="minorHAnsi" w:eastAsiaTheme="minorHAnsi" w:hAnsiTheme="minorHAnsi" w:cstheme="minorHAnsi"/>
          <w:iCs/>
          <w:color w:val="auto"/>
          <w:sz w:val="24"/>
          <w:szCs w:val="24"/>
          <w:lang w:eastAsia="en-US"/>
        </w:rPr>
        <w:t>edn</w:t>
      </w:r>
      <w:proofErr w:type="spellEnd"/>
      <w:r w:rsidRPr="001648F0">
        <w:rPr>
          <w:rFonts w:asciiTheme="minorHAnsi" w:eastAsiaTheme="minorHAnsi" w:hAnsiTheme="minorHAnsi" w:cstheme="minorHAnsi"/>
          <w:iCs/>
          <w:color w:val="auto"/>
          <w:sz w:val="24"/>
          <w:szCs w:val="24"/>
          <w:lang w:eastAsia="en-US"/>
        </w:rPr>
        <w:t>. Edinburgh: Bailliere Tindall Elsevier.</w:t>
      </w:r>
    </w:p>
    <w:p w14:paraId="38D3F565" w14:textId="0AB9E2CF"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2F99543B" w14:textId="3FD4EF79" w:rsidR="00A8319B" w:rsidRPr="001648F0" w:rsidRDefault="00A8319B"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lastRenderedPageBreak/>
        <w:t xml:space="preserve">Equality and Human Rights Commission. (2010). The United Nations Convention on the Rights of People with disabilities: What does it mean for you? Retrieved from: </w:t>
      </w:r>
    </w:p>
    <w:p w14:paraId="5EA2D9E3" w14:textId="4C11C580" w:rsidR="00A8319B" w:rsidRPr="001648F0" w:rsidRDefault="0000000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hyperlink r:id="rId14" w:history="1">
        <w:r w:rsidR="00A8319B" w:rsidRPr="001648F0">
          <w:rPr>
            <w:rStyle w:val="Hyperlink"/>
            <w:rFonts w:asciiTheme="minorHAnsi" w:eastAsiaTheme="minorHAnsi" w:hAnsiTheme="minorHAnsi" w:cstheme="minorHAnsi"/>
            <w:iCs/>
            <w:sz w:val="24"/>
            <w:szCs w:val="24"/>
            <w:lang w:eastAsia="en-US"/>
          </w:rPr>
          <w:t>https://www.equalityhumanrights.com/sites/default/files/uncrpd_guide_easyread.pdf</w:t>
        </w:r>
      </w:hyperlink>
    </w:p>
    <w:p w14:paraId="60D28B40" w14:textId="43859D00" w:rsidR="00BF19FB" w:rsidRPr="001648F0" w:rsidRDefault="00BF19FB"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77E4DA25" w14:textId="5718403B" w:rsidR="00BF19FB" w:rsidRPr="001648F0" w:rsidRDefault="00BF19FB"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 xml:space="preserve">Goldsworthy, K.K. (2005) “Grief and loss theory in social work practice: All changes involve loss, just as all losses require change,” Australian social work, 58(2), pp. 167–178. Available at: </w:t>
      </w:r>
      <w:hyperlink r:id="rId15" w:history="1">
        <w:r w:rsidRPr="001648F0">
          <w:rPr>
            <w:rStyle w:val="Hyperlink"/>
            <w:rFonts w:asciiTheme="minorHAnsi" w:eastAsiaTheme="minorHAnsi" w:hAnsiTheme="minorHAnsi" w:cstheme="minorHAnsi"/>
            <w:iCs/>
            <w:sz w:val="24"/>
            <w:szCs w:val="24"/>
            <w:lang w:eastAsia="en-US"/>
          </w:rPr>
          <w:t>https://doi.org/10.1111/j.1447-0748.2005.00201.x</w:t>
        </w:r>
      </w:hyperlink>
      <w:r w:rsidRPr="001648F0">
        <w:rPr>
          <w:rFonts w:asciiTheme="minorHAnsi" w:eastAsiaTheme="minorHAnsi" w:hAnsiTheme="minorHAnsi" w:cstheme="minorHAnsi"/>
          <w:iCs/>
          <w:color w:val="auto"/>
          <w:sz w:val="24"/>
          <w:szCs w:val="24"/>
          <w:lang w:eastAsia="en-US"/>
        </w:rPr>
        <w:t>.</w:t>
      </w:r>
    </w:p>
    <w:p w14:paraId="4CE7C07C" w14:textId="77777777" w:rsidR="00BF19FB" w:rsidRPr="001648F0" w:rsidRDefault="00BF19FB"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64C814A3" w14:textId="77777777"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Harris, T. (1970). I’m OK – You’re OK. London: Pan.</w:t>
      </w:r>
    </w:p>
    <w:p w14:paraId="6ACC9C49" w14:textId="77777777"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16655989" w14:textId="46948C03" w:rsidR="00A8319B"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Horwath, J. and Platt, D. (2019) The child’s world the essential guide to assessing vulnerable children, young people and their families. 3rd ed. London: Jessica Kingsley Publishers.</w:t>
      </w:r>
    </w:p>
    <w:p w14:paraId="31BEE0AC" w14:textId="77777777" w:rsidR="00A8319B" w:rsidRPr="001648F0" w:rsidRDefault="00A8319B"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3679FA16" w14:textId="3AFE9FE3"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Jones, C. (2021). The impact of the COVID-19 pandemic on the third sector and carers in the UK. International Journal of Care and Caring 5, 3, 529-534, available from: &lt;</w:t>
      </w:r>
      <w:hyperlink r:id="rId16" w:tgtFrame="_blank" w:history="1">
        <w:r w:rsidRPr="001648F0">
          <w:rPr>
            <w:rFonts w:asciiTheme="minorHAnsi" w:eastAsiaTheme="minorHAnsi" w:hAnsiTheme="minorHAnsi" w:cstheme="minorHAnsi"/>
            <w:iCs/>
            <w:color w:val="0563C1" w:themeColor="hyperlink"/>
            <w:sz w:val="24"/>
            <w:szCs w:val="24"/>
            <w:u w:val="single"/>
            <w:lang w:eastAsia="en-US"/>
          </w:rPr>
          <w:t>https://doi.org/10.1332/239788221X16171137895838</w:t>
        </w:r>
      </w:hyperlink>
      <w:r w:rsidRPr="001648F0">
        <w:rPr>
          <w:rFonts w:asciiTheme="minorHAnsi" w:eastAsiaTheme="minorHAnsi" w:hAnsiTheme="minorHAnsi" w:cstheme="minorHAnsi"/>
          <w:iCs/>
          <w:color w:val="auto"/>
          <w:sz w:val="24"/>
          <w:szCs w:val="24"/>
          <w:lang w:eastAsia="en-US"/>
        </w:rPr>
        <w:t>&gt; [Accessed 29 November 2023]</w:t>
      </w:r>
    </w:p>
    <w:p w14:paraId="5F223703" w14:textId="3A4B73F6" w:rsidR="00BD15C8" w:rsidRPr="001648F0" w:rsidRDefault="00BD15C8"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0984895E" w14:textId="7FC738A3" w:rsidR="00E54C7F" w:rsidRPr="001648F0" w:rsidRDefault="00E54C7F"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u w:val="single"/>
          <w:lang w:eastAsia="en-US"/>
        </w:rPr>
      </w:pPr>
      <w:r w:rsidRPr="001648F0">
        <w:rPr>
          <w:rFonts w:asciiTheme="minorHAnsi" w:eastAsiaTheme="minorHAnsi" w:hAnsiTheme="minorHAnsi" w:cstheme="minorHAnsi"/>
          <w:iCs/>
          <w:color w:val="auto"/>
          <w:sz w:val="24"/>
          <w:szCs w:val="24"/>
          <w:lang w:eastAsia="en-US"/>
        </w:rPr>
        <w:t>Karim, S. (2023). “Power-informed practice in social work”. Journal of social work: JSW, 23 (6</w:t>
      </w:r>
      <w:r w:rsidRPr="001648F0">
        <w:rPr>
          <w:rFonts w:asciiTheme="minorHAnsi" w:eastAsiaTheme="minorHAnsi" w:hAnsiTheme="minorHAnsi" w:cstheme="minorHAnsi"/>
          <w:iCs/>
          <w:color w:val="auto"/>
          <w:sz w:val="24"/>
          <w:szCs w:val="24"/>
          <w:u w:val="single"/>
          <w:lang w:eastAsia="en-US"/>
        </w:rPr>
        <w:t>), pp. 1062-1079. Available at DOI: 10.1177/14680173231180307</w:t>
      </w:r>
    </w:p>
    <w:p w14:paraId="18D4C0A0" w14:textId="1BF9E943"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u w:val="single"/>
          <w:lang w:eastAsia="en-US"/>
        </w:rPr>
      </w:pPr>
    </w:p>
    <w:p w14:paraId="246AF39A" w14:textId="77777777" w:rsidR="001648F0" w:rsidRPr="001648F0" w:rsidRDefault="001648F0"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Maclean, S., &amp; Harrison, R. (2015). </w:t>
      </w:r>
      <w:r w:rsidRPr="001648F0">
        <w:rPr>
          <w:rFonts w:asciiTheme="minorHAnsi" w:hAnsiTheme="minorHAnsi" w:cstheme="minorHAnsi"/>
          <w:iCs/>
          <w:color w:val="000000" w:themeColor="text1"/>
          <w:sz w:val="24"/>
          <w:szCs w:val="24"/>
          <w:lang w:eastAsia="en-US"/>
        </w:rPr>
        <w:t>Theory and practice : a straightforward guide for social work students</w:t>
      </w:r>
      <w:r w:rsidRPr="001648F0">
        <w:rPr>
          <w:rFonts w:asciiTheme="minorHAnsi" w:hAnsiTheme="minorHAnsi" w:cstheme="minorHAnsi"/>
          <w:color w:val="000000" w:themeColor="text1"/>
          <w:sz w:val="24"/>
          <w:szCs w:val="24"/>
          <w:shd w:val="clear" w:color="auto" w:fill="FFFFFF"/>
          <w:lang w:eastAsia="en-US"/>
        </w:rPr>
        <w:t> (3rd ed.). Lichfield: Kirwin Maclean Associates.</w:t>
      </w:r>
    </w:p>
    <w:p w14:paraId="361014B7" w14:textId="77777777" w:rsidR="001648F0" w:rsidRPr="001648F0" w:rsidRDefault="001648F0"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21F78C0C" w14:textId="77777777" w:rsidR="001648F0" w:rsidRPr="001648F0" w:rsidRDefault="001648F0"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Murray, J.A. (2001) “LOSS AS A UNIVERSAL CONCEPT: A REVIEW OF THE LITERATURE TO IDENTIFY COMMON ASPECTS OF LOSS IN DIVERSE SITUATIONS,” Journal of loss &amp; trauma, 6(3), pp. 219–241. Available at: https://doi.org/10.1080/108114401753201679.</w:t>
      </w:r>
    </w:p>
    <w:p w14:paraId="30C45A7D" w14:textId="77777777" w:rsidR="001648F0" w:rsidRPr="001648F0" w:rsidRDefault="001648F0"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77D034BD" w14:textId="77777777" w:rsidR="001648F0" w:rsidRPr="001648F0" w:rsidRDefault="001648F0"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 xml:space="preserve">NSPCC. (2022). Half a million children suffer abuse in the UK every year. Retrieved from: </w:t>
      </w:r>
      <w:hyperlink r:id="rId17" w:history="1">
        <w:r w:rsidRPr="001648F0">
          <w:rPr>
            <w:rStyle w:val="Hyperlink"/>
            <w:rFonts w:asciiTheme="minorHAnsi" w:hAnsiTheme="minorHAnsi" w:cstheme="minorHAnsi"/>
            <w:sz w:val="24"/>
            <w:szCs w:val="24"/>
            <w:shd w:val="clear" w:color="auto" w:fill="FFFFFF"/>
            <w:lang w:eastAsia="en-US"/>
          </w:rPr>
          <w:t>https://www.nspcc.org.uk/about-us/news-opinion/2022/childhood-day/</w:t>
        </w:r>
      </w:hyperlink>
    </w:p>
    <w:p w14:paraId="098433DE" w14:textId="77777777" w:rsidR="001648F0" w:rsidRPr="001648F0" w:rsidRDefault="001648F0"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2FC69335" w14:textId="77777777" w:rsidR="001648F0" w:rsidRPr="001648F0" w:rsidRDefault="001648F0"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NSPCC learning. (2022). Gillick competency and Fraser guidelines. Retrieved from: https://learning.nspcc.org.uk/child-protection-system/gillick-competence-fraser-guidelines</w:t>
      </w:r>
    </w:p>
    <w:p w14:paraId="3C47C049" w14:textId="27D0A4E4" w:rsidR="00CB5C25" w:rsidRPr="001648F0" w:rsidRDefault="00CB5C25"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u w:val="single"/>
          <w:lang w:eastAsia="en-US"/>
        </w:rPr>
      </w:pPr>
    </w:p>
    <w:p w14:paraId="2AD4964B" w14:textId="7A2D120E" w:rsidR="00CB5C25" w:rsidRPr="001648F0" w:rsidRDefault="00CB5C25"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 xml:space="preserve">Parrish, M. (2014). Social Work Perspectives on Human Behaviour, 2nd Edition. Maidenhead: Open University Press. </w:t>
      </w:r>
    </w:p>
    <w:p w14:paraId="007BE208" w14:textId="2138E53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4E0DC360" w14:textId="77777777"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 xml:space="preserve">Rogers, M. Whitaker, D. Edmondson, D. and Peach, D. (2017). Developing skills for social work practice. </w:t>
      </w:r>
    </w:p>
    <w:p w14:paraId="010D11C5" w14:textId="77777777"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London: SAGE Publications LTD</w:t>
      </w:r>
    </w:p>
    <w:p w14:paraId="26ED0E51" w14:textId="6D554178" w:rsidR="001648F0" w:rsidRPr="001648F0" w:rsidRDefault="001648F0"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2B9AFDB0" w14:textId="67C16FB0"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Ruben</w:t>
      </w:r>
      <w:r w:rsidR="00B22377" w:rsidRPr="001648F0">
        <w:rPr>
          <w:rFonts w:asciiTheme="minorHAnsi" w:eastAsiaTheme="minorHAnsi" w:hAnsiTheme="minorHAnsi" w:cstheme="minorHAnsi"/>
          <w:iCs/>
          <w:color w:val="auto"/>
          <w:sz w:val="24"/>
          <w:szCs w:val="24"/>
          <w:lang w:eastAsia="en-US"/>
        </w:rPr>
        <w:t>, M</w:t>
      </w:r>
      <w:r w:rsidRPr="001648F0">
        <w:rPr>
          <w:rFonts w:asciiTheme="minorHAnsi" w:eastAsiaTheme="minorHAnsi" w:hAnsiTheme="minorHAnsi" w:cstheme="minorHAnsi"/>
          <w:iCs/>
          <w:color w:val="auto"/>
          <w:sz w:val="24"/>
          <w:szCs w:val="24"/>
          <w:lang w:eastAsia="en-US"/>
        </w:rPr>
        <w:t>. (2010) Social work assessment [electronic resource] . Exeter :, Learning Matters.</w:t>
      </w:r>
    </w:p>
    <w:p w14:paraId="740305ED"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33075B42"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Scragg, T.  &amp; Knott, C. (eds.) (2010) Reflective practice in social work [electronic resource] . Second edition. Exeter :, Learning Matters.</w:t>
      </w:r>
    </w:p>
    <w:p w14:paraId="3C44C27A"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6609950F" w14:textId="77777777"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17668A25" w14:textId="090F09AE" w:rsidR="00B22377" w:rsidRPr="001648F0" w:rsidRDefault="00E54C7F" w:rsidP="001648F0">
      <w:pPr>
        <w:overflowPunct/>
        <w:autoSpaceDE/>
        <w:autoSpaceDN/>
        <w:adjustRightInd/>
        <w:spacing w:line="480" w:lineRule="auto"/>
        <w:textAlignment w:val="auto"/>
        <w:rPr>
          <w:rFonts w:asciiTheme="minorHAnsi" w:hAnsiTheme="minorHAnsi" w:cstheme="minorHAnsi"/>
          <w:color w:val="000000" w:themeColor="text1"/>
          <w:sz w:val="24"/>
          <w:szCs w:val="24"/>
          <w:lang w:eastAsia="en-US"/>
        </w:rPr>
      </w:pPr>
      <w:r w:rsidRPr="001648F0">
        <w:rPr>
          <w:rFonts w:asciiTheme="minorHAnsi" w:hAnsiTheme="minorHAnsi" w:cstheme="minorHAnsi"/>
          <w:color w:val="000000" w:themeColor="text1"/>
          <w:sz w:val="24"/>
          <w:szCs w:val="24"/>
          <w:shd w:val="clear" w:color="auto" w:fill="FFFFFF"/>
          <w:lang w:eastAsia="en-US"/>
        </w:rPr>
        <w:t>Scales, T. L., Streeter, C. L., Cooper, H. S., Scales, T. L., &amp; Cooper, H. S. (2013). </w:t>
      </w:r>
      <w:r w:rsidRPr="001648F0">
        <w:rPr>
          <w:rFonts w:asciiTheme="minorHAnsi" w:hAnsiTheme="minorHAnsi" w:cstheme="minorHAnsi"/>
          <w:iCs/>
          <w:color w:val="000000" w:themeColor="text1"/>
          <w:sz w:val="24"/>
          <w:szCs w:val="24"/>
          <w:lang w:eastAsia="en-US"/>
        </w:rPr>
        <w:t>Rural Social Work: Building and Sustaining Community Capacity</w:t>
      </w:r>
      <w:r w:rsidRPr="001648F0">
        <w:rPr>
          <w:rFonts w:asciiTheme="minorHAnsi" w:hAnsiTheme="minorHAnsi" w:cstheme="minorHAnsi"/>
          <w:color w:val="000000" w:themeColor="text1"/>
          <w:sz w:val="24"/>
          <w:szCs w:val="24"/>
          <w:shd w:val="clear" w:color="auto" w:fill="FFFFFF"/>
          <w:lang w:eastAsia="en-US"/>
        </w:rPr>
        <w:t>. New York: John Wiley &amp; Sons, Incorporated.</w:t>
      </w:r>
    </w:p>
    <w:p w14:paraId="794F1832" w14:textId="77777777" w:rsidR="001A5554" w:rsidRDefault="001A5554" w:rsidP="001648F0">
      <w:pPr>
        <w:overflowPunct/>
        <w:autoSpaceDE/>
        <w:autoSpaceDN/>
        <w:adjustRightInd/>
        <w:spacing w:line="480" w:lineRule="auto"/>
        <w:textAlignment w:val="auto"/>
        <w:rPr>
          <w:rFonts w:asciiTheme="minorHAnsi" w:hAnsiTheme="minorHAnsi" w:cstheme="minorHAnsi"/>
          <w:color w:val="000000" w:themeColor="text1"/>
          <w:sz w:val="24"/>
          <w:szCs w:val="24"/>
          <w:lang w:eastAsia="en-US"/>
        </w:rPr>
      </w:pPr>
    </w:p>
    <w:p w14:paraId="20F2FF07" w14:textId="2C84AF8A" w:rsidR="001648F0" w:rsidRDefault="00806FAD" w:rsidP="001648F0">
      <w:pPr>
        <w:overflowPunct/>
        <w:autoSpaceDE/>
        <w:autoSpaceDN/>
        <w:adjustRightInd/>
        <w:spacing w:line="480" w:lineRule="auto"/>
        <w:textAlignment w:val="auto"/>
        <w:rPr>
          <w:rFonts w:asciiTheme="minorHAnsi" w:hAnsiTheme="minorHAnsi" w:cstheme="minorHAnsi"/>
          <w:color w:val="000000" w:themeColor="text1"/>
          <w:sz w:val="24"/>
          <w:szCs w:val="24"/>
          <w:lang w:eastAsia="en-US"/>
        </w:rPr>
      </w:pPr>
      <w:r>
        <w:rPr>
          <w:rFonts w:asciiTheme="minorHAnsi" w:hAnsiTheme="minorHAnsi" w:cstheme="minorHAnsi"/>
          <w:color w:val="000000" w:themeColor="text1"/>
          <w:sz w:val="24"/>
          <w:szCs w:val="24"/>
          <w:lang w:eastAsia="en-US"/>
        </w:rPr>
        <w:t xml:space="preserve">Social Care Institute for excellence. (2024). Retrieved from: </w:t>
      </w:r>
      <w:r w:rsidRPr="00806FAD">
        <w:rPr>
          <w:rFonts w:asciiTheme="minorHAnsi" w:hAnsiTheme="minorHAnsi" w:cstheme="minorHAnsi"/>
          <w:color w:val="000000" w:themeColor="text1"/>
          <w:sz w:val="24"/>
          <w:szCs w:val="24"/>
          <w:lang w:eastAsia="en-US"/>
        </w:rPr>
        <w:t>https://www.scie.org.uk/integrated-care/research-practice/activities/multidisciplinary-teams/#:~:text=What%20are%20multidisciplinary%20teams?%20A%20common%20approach%20is%20the</w:t>
      </w:r>
    </w:p>
    <w:p w14:paraId="1749511F" w14:textId="77777777" w:rsidR="00806FAD" w:rsidRDefault="00806FAD"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32714AB1" w14:textId="79ED14F1" w:rsidR="00E54C7F" w:rsidRPr="001648F0" w:rsidRDefault="00E54C7F" w:rsidP="001648F0">
      <w:pPr>
        <w:overflowPunct/>
        <w:autoSpaceDE/>
        <w:autoSpaceDN/>
        <w:adjustRightInd/>
        <w:spacing w:line="480" w:lineRule="auto"/>
        <w:textAlignment w:val="auto"/>
        <w:rPr>
          <w:rFonts w:asciiTheme="minorHAnsi" w:hAnsiTheme="minorHAnsi" w:cstheme="minorHAnsi"/>
          <w:color w:val="000000" w:themeColor="text1"/>
          <w:sz w:val="24"/>
          <w:szCs w:val="24"/>
          <w:u w:val="single"/>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Social Care Wales. (2017). </w:t>
      </w:r>
      <w:r w:rsidRPr="001648F0">
        <w:rPr>
          <w:rFonts w:asciiTheme="minorHAnsi" w:hAnsiTheme="minorHAnsi" w:cstheme="minorHAnsi"/>
          <w:iCs/>
          <w:color w:val="000000" w:themeColor="text1"/>
          <w:sz w:val="24"/>
          <w:szCs w:val="24"/>
          <w:lang w:eastAsia="en-US"/>
        </w:rPr>
        <w:t>Code of professional practice for social care</w:t>
      </w:r>
      <w:r w:rsidRPr="001648F0">
        <w:rPr>
          <w:rFonts w:asciiTheme="minorHAnsi" w:hAnsiTheme="minorHAnsi" w:cstheme="minorHAnsi"/>
          <w:color w:val="000000" w:themeColor="text1"/>
          <w:sz w:val="24"/>
          <w:szCs w:val="24"/>
          <w:shd w:val="clear" w:color="auto" w:fill="FFFFFF"/>
          <w:lang w:eastAsia="en-US"/>
        </w:rPr>
        <w:t xml:space="preserve">. Retrieved from </w:t>
      </w:r>
      <w:hyperlink r:id="rId18" w:history="1">
        <w:r w:rsidRPr="001648F0">
          <w:rPr>
            <w:rFonts w:asciiTheme="minorHAnsi" w:hAnsiTheme="minorHAnsi" w:cstheme="minorHAnsi"/>
            <w:color w:val="000000" w:themeColor="text1"/>
            <w:sz w:val="24"/>
            <w:szCs w:val="24"/>
            <w:u w:val="single"/>
            <w:shd w:val="clear" w:color="auto" w:fill="FFFFFF"/>
            <w:lang w:eastAsia="en-US"/>
          </w:rPr>
          <w:t>https://socialcare.wales/cms_assets/file-uploads/Code-of-Professional-Practice-for-Social-Care.pdf</w:t>
        </w:r>
      </w:hyperlink>
    </w:p>
    <w:p w14:paraId="3F4B46F0" w14:textId="77777777" w:rsidR="00E54C7F" w:rsidRPr="001648F0" w:rsidRDefault="00E54C7F" w:rsidP="001648F0">
      <w:pPr>
        <w:overflowPunct/>
        <w:autoSpaceDE/>
        <w:autoSpaceDN/>
        <w:adjustRightInd/>
        <w:spacing w:line="480" w:lineRule="auto"/>
        <w:textAlignment w:val="auto"/>
        <w:rPr>
          <w:rFonts w:asciiTheme="minorHAnsi" w:hAnsiTheme="minorHAnsi" w:cstheme="minorHAnsi"/>
          <w:color w:val="auto"/>
          <w:sz w:val="24"/>
          <w:szCs w:val="24"/>
          <w:lang w:eastAsia="en-US"/>
        </w:rPr>
      </w:pPr>
    </w:p>
    <w:p w14:paraId="45ED2879" w14:textId="75D1D389" w:rsidR="00E54C7F" w:rsidRPr="001648F0" w:rsidRDefault="00E54C7F" w:rsidP="001648F0">
      <w:pPr>
        <w:overflowPunct/>
        <w:autoSpaceDE/>
        <w:autoSpaceDN/>
        <w:adjustRightInd/>
        <w:spacing w:line="480" w:lineRule="auto"/>
        <w:textAlignment w:val="auto"/>
        <w:rPr>
          <w:rFonts w:asciiTheme="minorHAnsi" w:hAnsiTheme="minorHAnsi" w:cstheme="minorHAnsi"/>
          <w:color w:val="000000" w:themeColor="text1"/>
          <w:sz w:val="24"/>
          <w:szCs w:val="24"/>
          <w:u w:val="single"/>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Social Care Wales. (2011). </w:t>
      </w:r>
      <w:r w:rsidRPr="001648F0">
        <w:rPr>
          <w:rFonts w:asciiTheme="minorHAnsi" w:hAnsiTheme="minorHAnsi" w:cstheme="minorHAnsi"/>
          <w:iCs/>
          <w:color w:val="000000" w:themeColor="text1"/>
          <w:sz w:val="24"/>
          <w:szCs w:val="24"/>
          <w:lang w:eastAsia="en-US"/>
        </w:rPr>
        <w:t>National occupational standards for social work</w:t>
      </w:r>
      <w:r w:rsidRPr="001648F0">
        <w:rPr>
          <w:rFonts w:asciiTheme="minorHAnsi" w:hAnsiTheme="minorHAnsi" w:cstheme="minorHAnsi"/>
          <w:color w:val="000000" w:themeColor="text1"/>
          <w:sz w:val="24"/>
          <w:szCs w:val="24"/>
          <w:shd w:val="clear" w:color="auto" w:fill="FFFFFF"/>
          <w:lang w:eastAsia="en-US"/>
        </w:rPr>
        <w:t xml:space="preserve">. Retrieved from </w:t>
      </w:r>
      <w:hyperlink r:id="rId19" w:history="1">
        <w:r w:rsidRPr="001648F0">
          <w:rPr>
            <w:rFonts w:asciiTheme="minorHAnsi" w:hAnsiTheme="minorHAnsi" w:cstheme="minorHAnsi"/>
            <w:color w:val="000000" w:themeColor="text1"/>
            <w:sz w:val="24"/>
            <w:szCs w:val="24"/>
            <w:u w:val="single"/>
            <w:shd w:val="clear" w:color="auto" w:fill="FFFFFF"/>
            <w:lang w:eastAsia="en-US"/>
          </w:rPr>
          <w:t>https://socialcare.wales/nos-areas/social-work</w:t>
        </w:r>
      </w:hyperlink>
    </w:p>
    <w:p w14:paraId="0DAD217D" w14:textId="5FEE0021" w:rsidR="00D95E55" w:rsidRPr="001648F0" w:rsidRDefault="00D95E55"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4887D259" w14:textId="446FAFE8" w:rsidR="00D95E55" w:rsidRPr="001648F0" w:rsidRDefault="00D95E55"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Social Care Wales. (2017). The Social Worker. Retrieved from: https://socialcare.wales/cms-assets/documents/The-social-worker-April-2017.pdf</w:t>
      </w:r>
    </w:p>
    <w:p w14:paraId="18A847B4" w14:textId="6171A84E" w:rsidR="00F02041" w:rsidRPr="001648F0" w:rsidRDefault="00F02041"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p>
    <w:p w14:paraId="6052A68E" w14:textId="40A1C4A8" w:rsidR="006019FC" w:rsidRPr="001648F0" w:rsidRDefault="006019FC" w:rsidP="001648F0">
      <w:pPr>
        <w:overflowPunct/>
        <w:autoSpaceDE/>
        <w:autoSpaceDN/>
        <w:adjustRightInd/>
        <w:spacing w:line="480" w:lineRule="auto"/>
        <w:jc w:val="both"/>
        <w:textAlignment w:val="auto"/>
        <w:rPr>
          <w:rFonts w:asciiTheme="minorHAnsi" w:eastAsiaTheme="minorHAnsi" w:hAnsiTheme="minorHAnsi" w:cstheme="minorHAnsi"/>
          <w:iCs/>
          <w:color w:val="auto"/>
          <w:sz w:val="24"/>
          <w:szCs w:val="24"/>
          <w:lang w:eastAsia="en-US"/>
        </w:rPr>
      </w:pPr>
      <w:r w:rsidRPr="001648F0">
        <w:rPr>
          <w:rFonts w:asciiTheme="minorHAnsi" w:eastAsiaTheme="minorHAnsi" w:hAnsiTheme="minorHAnsi" w:cstheme="minorHAnsi"/>
          <w:iCs/>
          <w:color w:val="auto"/>
          <w:sz w:val="24"/>
          <w:szCs w:val="24"/>
          <w:lang w:eastAsia="en-US"/>
        </w:rPr>
        <w:t xml:space="preserve">Social Care Wales. (2024). Wales Safeguarding Procedures. Retrieved from: </w:t>
      </w:r>
      <w:hyperlink r:id="rId20" w:history="1">
        <w:r w:rsidRPr="001648F0">
          <w:rPr>
            <w:rStyle w:val="Hyperlink"/>
            <w:rFonts w:asciiTheme="minorHAnsi" w:eastAsiaTheme="minorHAnsi" w:hAnsiTheme="minorHAnsi" w:cstheme="minorHAnsi"/>
            <w:iCs/>
            <w:sz w:val="24"/>
            <w:szCs w:val="24"/>
            <w:lang w:eastAsia="en-US"/>
          </w:rPr>
          <w:t>Safeguarding Wales</w:t>
        </w:r>
      </w:hyperlink>
    </w:p>
    <w:p w14:paraId="2C5896F7" w14:textId="77777777" w:rsidR="00AE3BEC" w:rsidRDefault="00AE3BEC"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7707D19E" w14:textId="648A652F" w:rsidR="005C27FC" w:rsidRPr="001648F0" w:rsidRDefault="00AE3BEC"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AE3BEC">
        <w:rPr>
          <w:rFonts w:asciiTheme="minorHAnsi" w:hAnsiTheme="minorHAnsi" w:cstheme="minorHAnsi"/>
          <w:color w:val="000000" w:themeColor="text1"/>
          <w:sz w:val="24"/>
          <w:szCs w:val="24"/>
          <w:shd w:val="clear" w:color="auto" w:fill="FFFFFF"/>
          <w:lang w:eastAsia="en-US"/>
        </w:rPr>
        <w:lastRenderedPageBreak/>
        <w:t>Stevens, M. (2008) ‘Workload Management in Social Work Services: What, Why and How?’, </w:t>
      </w:r>
      <w:r w:rsidRPr="00AE3BEC">
        <w:rPr>
          <w:rFonts w:asciiTheme="minorHAnsi" w:hAnsiTheme="minorHAnsi" w:cstheme="minorHAnsi"/>
          <w:i/>
          <w:iCs/>
          <w:color w:val="000000" w:themeColor="text1"/>
          <w:sz w:val="24"/>
          <w:szCs w:val="24"/>
          <w:shd w:val="clear" w:color="auto" w:fill="FFFFFF"/>
          <w:lang w:eastAsia="en-US"/>
        </w:rPr>
        <w:t>Practice (Birmingham, England)</w:t>
      </w:r>
      <w:r w:rsidRPr="00AE3BEC">
        <w:rPr>
          <w:rFonts w:asciiTheme="minorHAnsi" w:hAnsiTheme="minorHAnsi" w:cstheme="minorHAnsi"/>
          <w:color w:val="000000" w:themeColor="text1"/>
          <w:sz w:val="24"/>
          <w:szCs w:val="24"/>
          <w:shd w:val="clear" w:color="auto" w:fill="FFFFFF"/>
          <w:lang w:eastAsia="en-US"/>
        </w:rPr>
        <w:t>, 20(4), pp. 207–221. Available at: https://doi.org/10.1080/09503150802601860.</w:t>
      </w:r>
    </w:p>
    <w:p w14:paraId="08744180" w14:textId="77777777" w:rsidR="001A5554" w:rsidRDefault="001A5554"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391474B8" w14:textId="6A6038E9" w:rsidR="005C27FC" w:rsidRPr="001648F0" w:rsidRDefault="005C27FC"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 xml:space="preserve">Westlake, D. and Jones, R.K. (2018) “Breaking Down Language Barriers: A Practice-Near Study of Social Work Using Interpreters,” The British journal of social work, 48(5), pp. 1388–1408. Available at: </w:t>
      </w:r>
      <w:hyperlink r:id="rId21" w:history="1">
        <w:r w:rsidRPr="001648F0">
          <w:rPr>
            <w:rStyle w:val="Hyperlink"/>
            <w:rFonts w:asciiTheme="minorHAnsi" w:hAnsiTheme="minorHAnsi" w:cstheme="minorHAnsi"/>
            <w:sz w:val="24"/>
            <w:szCs w:val="24"/>
            <w:shd w:val="clear" w:color="auto" w:fill="FFFFFF"/>
            <w:lang w:eastAsia="en-US"/>
          </w:rPr>
          <w:t>https://doi.org/10.1093/bjsw/bcx073</w:t>
        </w:r>
      </w:hyperlink>
      <w:r w:rsidRPr="001648F0">
        <w:rPr>
          <w:rFonts w:asciiTheme="minorHAnsi" w:hAnsiTheme="minorHAnsi" w:cstheme="minorHAnsi"/>
          <w:color w:val="000000" w:themeColor="text1"/>
          <w:sz w:val="24"/>
          <w:szCs w:val="24"/>
          <w:shd w:val="clear" w:color="auto" w:fill="FFFFFF"/>
          <w:lang w:eastAsia="en-US"/>
        </w:rPr>
        <w:t>.</w:t>
      </w:r>
    </w:p>
    <w:p w14:paraId="638BD127" w14:textId="71B31FE6" w:rsidR="001B559E" w:rsidRPr="001648F0" w:rsidRDefault="001B559E"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02AF7119" w14:textId="0FA24E12" w:rsidR="001B559E" w:rsidRPr="001648F0" w:rsidRDefault="001B559E"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Warren, J. (2007) Service user and carer participation in social work [electronic resource] . Exeter :, Learning Matters.</w:t>
      </w:r>
    </w:p>
    <w:p w14:paraId="12F13BE7" w14:textId="585F5D8E" w:rsidR="005C27FC" w:rsidRPr="001648F0" w:rsidRDefault="005C27FC"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5D94F8BC" w14:textId="1DEE0BAD" w:rsidR="005C27FC" w:rsidRPr="001648F0" w:rsidRDefault="005C27FC"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 xml:space="preserve">Welsh Government. (2015). More than just words. Retrieved from: </w:t>
      </w:r>
      <w:hyperlink r:id="rId22" w:anchor=":~:text=An%20%E2%80%98Active%20Offer%E2%80%99%20simply%20means%20providing%20a%20service,for%20a%20service%20through%20the%20medium%20of%20Welsh" w:history="1">
        <w:r w:rsidR="00D95E55" w:rsidRPr="001648F0">
          <w:rPr>
            <w:rStyle w:val="Hyperlink"/>
            <w:rFonts w:asciiTheme="minorHAnsi" w:hAnsiTheme="minorHAnsi" w:cstheme="minorHAnsi"/>
            <w:sz w:val="24"/>
            <w:szCs w:val="24"/>
            <w:shd w:val="clear" w:color="auto" w:fill="FFFFFF"/>
            <w:lang w:eastAsia="en-US"/>
          </w:rPr>
          <w:t>https://www.gov.wales/sites/default/files/publications/2019-04/delivering-the-active-offer-information-pack-social-services-and-social-care.pdf#:~:text=An%20%E2%80%98Active%20Offer%E2%80%99%20simply%20means%20providing%20a%20service,for%20a%20service%20through%20the%20medium%20of%20Welsh</w:t>
        </w:r>
      </w:hyperlink>
      <w:r w:rsidRPr="001648F0">
        <w:rPr>
          <w:rFonts w:asciiTheme="minorHAnsi" w:hAnsiTheme="minorHAnsi" w:cstheme="minorHAnsi"/>
          <w:color w:val="000000" w:themeColor="text1"/>
          <w:sz w:val="24"/>
          <w:szCs w:val="24"/>
          <w:shd w:val="clear" w:color="auto" w:fill="FFFFFF"/>
          <w:lang w:eastAsia="en-US"/>
        </w:rPr>
        <w:t>.</w:t>
      </w:r>
    </w:p>
    <w:p w14:paraId="5E0652A9" w14:textId="4C7BECFC" w:rsidR="00D95E55" w:rsidRPr="001648F0" w:rsidRDefault="00D95E55"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493F4E85" w14:textId="6D7BB3E2" w:rsidR="00D95E55" w:rsidRPr="001648F0" w:rsidRDefault="00D95E55" w:rsidP="001648F0">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sidRPr="001648F0">
        <w:rPr>
          <w:rFonts w:asciiTheme="minorHAnsi" w:hAnsiTheme="minorHAnsi" w:cstheme="minorHAnsi"/>
          <w:color w:val="000000" w:themeColor="text1"/>
          <w:sz w:val="24"/>
          <w:szCs w:val="24"/>
          <w:shd w:val="clear" w:color="auto" w:fill="FFFFFF"/>
          <w:lang w:eastAsia="en-US"/>
        </w:rPr>
        <w:t xml:space="preserve">Welsh Government. (2021). Safeguarding. Retrieved from: </w:t>
      </w:r>
      <w:hyperlink r:id="rId23" w:anchor=":~:text=The%20protection%20and%20well-being%20of%20children%20is%20a,ordinarily%20resident%20in%20Wales%20and%20their%20families%2C%20and" w:history="1">
        <w:r w:rsidR="00BD15C8" w:rsidRPr="001648F0">
          <w:rPr>
            <w:rStyle w:val="Hyperlink"/>
            <w:rFonts w:asciiTheme="minorHAnsi" w:hAnsiTheme="minorHAnsi" w:cstheme="minorHAnsi"/>
            <w:sz w:val="24"/>
            <w:szCs w:val="24"/>
            <w:shd w:val="clear" w:color="auto" w:fill="FFFFFF"/>
            <w:lang w:eastAsia="en-US"/>
          </w:rPr>
          <w:t>https://law.gov.wales/safeguarding#:~:text=The%20protection%20and%20well-being%20of%20children%20is%20a,ordinarily%20resident%20in%20Wales%20and%20their%20families%2C%20and</w:t>
        </w:r>
      </w:hyperlink>
    </w:p>
    <w:p w14:paraId="511225CD" w14:textId="4214B68E" w:rsidR="00BD15C8" w:rsidRDefault="00BD15C8" w:rsidP="00E54C7F">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p>
    <w:p w14:paraId="2FAC4126" w14:textId="5FA49C92" w:rsidR="00BD15C8" w:rsidRPr="00E54C7F" w:rsidRDefault="00BD15C8" w:rsidP="00BD15C8">
      <w:pPr>
        <w:overflowPunct/>
        <w:autoSpaceDE/>
        <w:autoSpaceDN/>
        <w:adjustRightInd/>
        <w:spacing w:line="480" w:lineRule="auto"/>
        <w:textAlignment w:val="auto"/>
        <w:rPr>
          <w:rFonts w:asciiTheme="minorHAnsi" w:hAnsiTheme="minorHAnsi" w:cstheme="minorHAnsi"/>
          <w:color w:val="000000" w:themeColor="text1"/>
          <w:sz w:val="24"/>
          <w:szCs w:val="24"/>
          <w:shd w:val="clear" w:color="auto" w:fill="FFFFFF"/>
          <w:lang w:eastAsia="en-US"/>
        </w:rPr>
      </w:pPr>
      <w:r>
        <w:rPr>
          <w:rFonts w:asciiTheme="minorHAnsi" w:hAnsiTheme="minorHAnsi" w:cstheme="minorHAnsi"/>
          <w:color w:val="000000" w:themeColor="text1"/>
          <w:sz w:val="24"/>
          <w:szCs w:val="24"/>
          <w:shd w:val="clear" w:color="auto" w:fill="FFFFFF"/>
          <w:lang w:eastAsia="en-US"/>
        </w:rPr>
        <w:lastRenderedPageBreak/>
        <w:t>Welsh Government. (2019).</w:t>
      </w:r>
      <w:r w:rsidRPr="00BD15C8">
        <w:t xml:space="preserve"> </w:t>
      </w:r>
      <w:r>
        <w:t>S</w:t>
      </w:r>
      <w:r>
        <w:rPr>
          <w:rFonts w:asciiTheme="minorHAnsi" w:hAnsiTheme="minorHAnsi" w:cstheme="minorHAnsi"/>
          <w:color w:val="000000" w:themeColor="text1"/>
          <w:sz w:val="24"/>
          <w:szCs w:val="24"/>
          <w:shd w:val="clear" w:color="auto" w:fill="FFFFFF"/>
          <w:lang w:eastAsia="en-US"/>
        </w:rPr>
        <w:t xml:space="preserve">ocial Services and </w:t>
      </w:r>
      <w:r w:rsidRPr="00BD15C8">
        <w:rPr>
          <w:rFonts w:asciiTheme="minorHAnsi" w:hAnsiTheme="minorHAnsi" w:cstheme="minorHAnsi"/>
          <w:color w:val="000000" w:themeColor="text1"/>
          <w:sz w:val="24"/>
          <w:szCs w:val="24"/>
          <w:shd w:val="clear" w:color="auto" w:fill="FFFFFF"/>
          <w:lang w:eastAsia="en-US"/>
        </w:rPr>
        <w:t>Well-being (Wales) Act 2014</w:t>
      </w:r>
      <w:r>
        <w:rPr>
          <w:rFonts w:asciiTheme="minorHAnsi" w:hAnsiTheme="minorHAnsi" w:cstheme="minorHAnsi"/>
          <w:color w:val="000000" w:themeColor="text1"/>
          <w:sz w:val="24"/>
          <w:szCs w:val="24"/>
          <w:shd w:val="clear" w:color="auto" w:fill="FFFFFF"/>
          <w:lang w:eastAsia="en-US"/>
        </w:rPr>
        <w:t>: W</w:t>
      </w:r>
      <w:r w:rsidRPr="00BD15C8">
        <w:rPr>
          <w:rFonts w:asciiTheme="minorHAnsi" w:hAnsiTheme="minorHAnsi" w:cstheme="minorHAnsi"/>
          <w:color w:val="000000" w:themeColor="text1"/>
          <w:sz w:val="24"/>
          <w:szCs w:val="24"/>
          <w:shd w:val="clear" w:color="auto" w:fill="FFFFFF"/>
          <w:lang w:eastAsia="en-US"/>
        </w:rPr>
        <w:t>orkin</w:t>
      </w:r>
      <w:r>
        <w:rPr>
          <w:rFonts w:asciiTheme="minorHAnsi" w:hAnsiTheme="minorHAnsi" w:cstheme="minorHAnsi"/>
          <w:color w:val="000000" w:themeColor="text1"/>
          <w:sz w:val="24"/>
          <w:szCs w:val="24"/>
          <w:shd w:val="clear" w:color="auto" w:fill="FFFFFF"/>
          <w:lang w:eastAsia="en-US"/>
        </w:rPr>
        <w:t xml:space="preserve">g Together to Safeguard People. Retrieved from: </w:t>
      </w:r>
      <w:r w:rsidRPr="00BD15C8">
        <w:rPr>
          <w:rFonts w:asciiTheme="minorHAnsi" w:hAnsiTheme="minorHAnsi" w:cstheme="minorHAnsi"/>
          <w:color w:val="000000" w:themeColor="text1"/>
          <w:sz w:val="24"/>
          <w:szCs w:val="24"/>
          <w:shd w:val="clear" w:color="auto" w:fill="FFFFFF"/>
          <w:lang w:eastAsia="en-US"/>
        </w:rPr>
        <w:t>https://www.gov.wales/sites/default/files/publications/2019-07/working-together-to-safeguard-people-information-sharing-to-safeguard-children.pdf</w:t>
      </w:r>
    </w:p>
    <w:p w14:paraId="59EF1DB8" w14:textId="77777777" w:rsidR="00E54C7F" w:rsidRPr="00B22377" w:rsidRDefault="00E54C7F"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0AD38369" w14:textId="77777777" w:rsidR="00F02041" w:rsidRPr="00B22377" w:rsidRDefault="00F02041"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6F64FD67" w14:textId="77777777" w:rsidR="00F02041" w:rsidRPr="00B22377" w:rsidRDefault="00F02041"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105A4358" w14:textId="77777777" w:rsidR="00F02041" w:rsidRPr="00B22377" w:rsidRDefault="00F02041"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71D6423C" w14:textId="77777777" w:rsidR="00F02041" w:rsidRPr="00B22377" w:rsidRDefault="00F02041"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43B7EBA3" w14:textId="77777777" w:rsidR="00F02041" w:rsidRPr="00B22377" w:rsidRDefault="00F02041"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01D79F2A" w14:textId="77777777" w:rsidR="00F02041" w:rsidRPr="00B22377" w:rsidRDefault="00F02041" w:rsidP="00F02041">
      <w:pPr>
        <w:overflowPunct/>
        <w:autoSpaceDE/>
        <w:autoSpaceDN/>
        <w:adjustRightInd/>
        <w:jc w:val="both"/>
        <w:textAlignment w:val="auto"/>
        <w:rPr>
          <w:rFonts w:asciiTheme="minorHAnsi" w:eastAsiaTheme="minorHAnsi" w:hAnsiTheme="minorHAnsi" w:cstheme="minorBidi"/>
          <w:iCs/>
          <w:color w:val="auto"/>
          <w:sz w:val="24"/>
          <w:szCs w:val="24"/>
          <w:lang w:eastAsia="en-US"/>
        </w:rPr>
      </w:pPr>
    </w:p>
    <w:p w14:paraId="1F5463DC" w14:textId="77777777" w:rsidR="00EB695F" w:rsidRPr="00B22377"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047BA81" w14:textId="77777777" w:rsidR="002A1A44" w:rsidRPr="00EE5BC3" w:rsidRDefault="002A1A44" w:rsidP="00546079">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69814E6" w:rsidR="00E559CE" w:rsidRPr="00B17FA0" w:rsidRDefault="00546079" w:rsidP="00B94443">
            <w:pPr>
              <w:jc w:val="both"/>
              <w:rPr>
                <w:sz w:val="24"/>
                <w:szCs w:val="24"/>
              </w:rPr>
            </w:pPr>
            <w:r>
              <w:rPr>
                <w:sz w:val="24"/>
                <w:szCs w:val="24"/>
              </w:rPr>
              <w:t>14/11/2024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A7B6BF8" w:rsidR="00E559CE" w:rsidRPr="00B17FA0" w:rsidRDefault="00546079" w:rsidP="00B94443">
            <w:pPr>
              <w:jc w:val="both"/>
              <w:rPr>
                <w:sz w:val="24"/>
                <w:szCs w:val="24"/>
              </w:rPr>
            </w:pPr>
            <w:r>
              <w:rPr>
                <w:sz w:val="24"/>
                <w:szCs w:val="24"/>
              </w:rPr>
              <w:t>23/01/2024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9D528C5" w:rsidR="00E559CE" w:rsidRPr="00B17FA0" w:rsidRDefault="00546079" w:rsidP="00B94443">
            <w:pPr>
              <w:jc w:val="both"/>
              <w:rPr>
                <w:sz w:val="24"/>
                <w:szCs w:val="24"/>
              </w:rPr>
            </w:pPr>
            <w:r>
              <w:rPr>
                <w:sz w:val="24"/>
                <w:szCs w:val="24"/>
              </w:rPr>
              <w:t>26/03/2024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53808EC" w:rsidR="00E559CE" w:rsidRPr="00B17FA0" w:rsidRDefault="00546079" w:rsidP="00B94443">
            <w:pPr>
              <w:jc w:val="both"/>
              <w:rPr>
                <w:sz w:val="24"/>
                <w:szCs w:val="24"/>
              </w:rPr>
            </w:pPr>
            <w:r>
              <w:rPr>
                <w:sz w:val="24"/>
                <w:szCs w:val="24"/>
              </w:rPr>
              <w:t>04/06/2024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31772FEE" w:rsidR="00FC0334" w:rsidRDefault="007B3C72" w:rsidP="005D4F72">
            <w:pPr>
              <w:jc w:val="both"/>
              <w:rPr>
                <w:color w:val="auto"/>
                <w:sz w:val="24"/>
                <w:szCs w:val="24"/>
              </w:rPr>
            </w:pPr>
            <w:r>
              <w:rPr>
                <w:color w:val="auto"/>
                <w:sz w:val="24"/>
                <w:szCs w:val="24"/>
              </w:rPr>
              <w:t xml:space="preserve">The student, in her first year in practice, has been particularly challenged with cases and situations that became far more complex than had been initially planned.  This is the nature of Social Work in that family situations and dynamics are fluid and life changes rapidly.  The student understandably found some of the situations difficult to manage.  However, the student is emotionally intelligent and has a solid understanding of the purpose of supervision, always seeking support and advice appropriately.  The student has benefited from peer support and is always open to having her thoughts and views constructively challenged which has helped her to find solutions to the more difficult ethical </w:t>
            </w:r>
            <w:proofErr w:type="spellStart"/>
            <w:r>
              <w:rPr>
                <w:color w:val="auto"/>
                <w:sz w:val="24"/>
                <w:szCs w:val="24"/>
              </w:rPr>
              <w:t>dilemma’s</w:t>
            </w:r>
            <w:proofErr w:type="spellEnd"/>
            <w:r>
              <w:rPr>
                <w:color w:val="auto"/>
                <w:sz w:val="24"/>
                <w:szCs w:val="24"/>
              </w:rPr>
              <w:t xml:space="preserve"> she has faced.</w:t>
            </w:r>
          </w:p>
          <w:p w14:paraId="14FEB1FE" w14:textId="77777777" w:rsidR="007B3C72" w:rsidRDefault="007B3C72" w:rsidP="005D4F72">
            <w:pPr>
              <w:jc w:val="both"/>
              <w:rPr>
                <w:color w:val="auto"/>
                <w:sz w:val="24"/>
                <w:szCs w:val="24"/>
              </w:rPr>
            </w:pPr>
          </w:p>
          <w:p w14:paraId="19E49F68" w14:textId="3DBF2065" w:rsidR="007B3C72" w:rsidRDefault="007B3C72" w:rsidP="005D4F72">
            <w:pPr>
              <w:jc w:val="both"/>
              <w:rPr>
                <w:color w:val="auto"/>
                <w:sz w:val="24"/>
                <w:szCs w:val="24"/>
              </w:rPr>
            </w:pPr>
            <w:r>
              <w:rPr>
                <w:color w:val="auto"/>
                <w:sz w:val="24"/>
                <w:szCs w:val="24"/>
              </w:rPr>
              <w:t xml:space="preserve">The student has developed hugely in terms of her understanding of applying the principles of the Mental Capacity Act and she employs an empowering approach when educating clients to enable them to do as well as they can during an assessment.  </w:t>
            </w:r>
          </w:p>
          <w:p w14:paraId="13580894" w14:textId="77777777" w:rsidR="007B3C72" w:rsidRDefault="007B3C72" w:rsidP="005D4F72">
            <w:pPr>
              <w:jc w:val="both"/>
              <w:rPr>
                <w:color w:val="auto"/>
                <w:sz w:val="24"/>
                <w:szCs w:val="24"/>
              </w:rPr>
            </w:pPr>
          </w:p>
          <w:p w14:paraId="4BE30D8A" w14:textId="3F5849A1" w:rsidR="007B3C72" w:rsidRDefault="007B3C72" w:rsidP="005D4F72">
            <w:pPr>
              <w:jc w:val="both"/>
              <w:rPr>
                <w:color w:val="auto"/>
                <w:sz w:val="24"/>
                <w:szCs w:val="24"/>
              </w:rPr>
            </w:pPr>
            <w:r>
              <w:rPr>
                <w:color w:val="auto"/>
                <w:sz w:val="24"/>
                <w:szCs w:val="24"/>
              </w:rPr>
              <w:t>The student has found it very difficult at times to deal with the frustration caused by working with other agencies who have differing values and time scales to their workload.  Balance has been needed with regards to some of the communication styles in order to maintain strong working relationships and again the student has used supervision pro-actively to be supported in this development.</w:t>
            </w:r>
          </w:p>
          <w:p w14:paraId="55986E29" w14:textId="77777777" w:rsidR="007B3C72" w:rsidRDefault="007B3C72" w:rsidP="005D4F72">
            <w:pPr>
              <w:jc w:val="both"/>
              <w:rPr>
                <w:color w:val="auto"/>
                <w:sz w:val="24"/>
                <w:szCs w:val="24"/>
              </w:rPr>
            </w:pPr>
          </w:p>
          <w:p w14:paraId="154B2394" w14:textId="5097AD91" w:rsidR="007B3C72" w:rsidRDefault="007B3C72" w:rsidP="005D4F72">
            <w:pPr>
              <w:jc w:val="both"/>
              <w:rPr>
                <w:color w:val="auto"/>
                <w:sz w:val="24"/>
                <w:szCs w:val="24"/>
              </w:rPr>
            </w:pPr>
            <w:r>
              <w:rPr>
                <w:color w:val="auto"/>
                <w:sz w:val="24"/>
                <w:szCs w:val="24"/>
              </w:rPr>
              <w:lastRenderedPageBreak/>
              <w:t>The student is professional curious, she considers safeguarding and the need for involving other professionals appropriately.  The student has identified an increased need to understand the wider context in terms of third sector, charitable and voluntary sector organisations and this will be taken forward with increased opportunities for networking in her next year of work.</w:t>
            </w:r>
          </w:p>
          <w:p w14:paraId="70E4EB2E" w14:textId="77777777" w:rsidR="007B3C72" w:rsidRDefault="007B3C72" w:rsidP="005D4F72">
            <w:pPr>
              <w:jc w:val="both"/>
              <w:rPr>
                <w:color w:val="auto"/>
                <w:sz w:val="24"/>
                <w:szCs w:val="24"/>
              </w:rPr>
            </w:pPr>
          </w:p>
          <w:p w14:paraId="5B080D2C" w14:textId="75397355" w:rsidR="007B3C72" w:rsidRDefault="007B3C72" w:rsidP="005D4F72">
            <w:pPr>
              <w:jc w:val="both"/>
              <w:rPr>
                <w:color w:val="auto"/>
                <w:sz w:val="24"/>
                <w:szCs w:val="24"/>
              </w:rPr>
            </w:pPr>
            <w:r>
              <w:rPr>
                <w:color w:val="auto"/>
                <w:sz w:val="24"/>
                <w:szCs w:val="24"/>
              </w:rPr>
              <w:t>The student is very passionate about her role and works particularly hard on developing professional but warm and caring relationships with the people she works with.  This portfolio provides a small body of evidence of the hard work that the student has completed.  I am confident that the student will continue to be a huge asset to the team a</w:t>
            </w:r>
            <w:r w:rsidR="00710E86">
              <w:rPr>
                <w:color w:val="auto"/>
                <w:sz w:val="24"/>
                <w:szCs w:val="24"/>
              </w:rPr>
              <w:t>s she progresses.</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A35DBE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46079">
        <w:rPr>
          <w:b/>
          <w:sz w:val="24"/>
          <w:szCs w:val="24"/>
        </w:rPr>
        <w:t>Maeve Owens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5A56FD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46079">
        <w:rPr>
          <w:b/>
          <w:sz w:val="24"/>
          <w:szCs w:val="24"/>
        </w:rPr>
        <w:t xml:space="preserve"> 192989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124DD5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46079">
        <w:rPr>
          <w:b/>
          <w:sz w:val="24"/>
          <w:szCs w:val="24"/>
        </w:rPr>
        <w:t xml:space="preserve"> 5 Kensington Gardens, Haverfordwest, SA61 2RL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888AEE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46079">
        <w:rPr>
          <w:b/>
          <w:sz w:val="24"/>
          <w:szCs w:val="24"/>
        </w:rPr>
        <w:t xml:space="preserve"> 07367587406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1797FD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46079">
        <w:rPr>
          <w:b/>
          <w:sz w:val="24"/>
          <w:szCs w:val="24"/>
        </w:rPr>
        <w:t xml:space="preserve"> maeve.owens@pembrokeshire.gov.uk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563323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76C5C">
        <w:rPr>
          <w:b/>
          <w:sz w:val="24"/>
          <w:szCs w:val="24"/>
        </w:rPr>
        <w:t>June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2ED792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04F21">
        <w:rPr>
          <w:b/>
          <w:sz w:val="24"/>
          <w:szCs w:val="24"/>
        </w:rPr>
        <w:t xml:space="preserve"> Pembroke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B90B7E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04F21">
        <w:rPr>
          <w:b/>
          <w:sz w:val="24"/>
          <w:szCs w:val="24"/>
        </w:rPr>
        <w:t xml:space="preserve"> </w:t>
      </w:r>
      <w:r w:rsidR="00404F21" w:rsidRPr="00404F21">
        <w:rPr>
          <w:b/>
          <w:sz w:val="24"/>
          <w:szCs w:val="24"/>
        </w:rPr>
        <w:t>County Hall, Haverfordwest, Pembrokeshire, SA61 1TP</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CBC93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04F21">
        <w:rPr>
          <w:b/>
          <w:sz w:val="24"/>
          <w:szCs w:val="24"/>
        </w:rPr>
        <w:t xml:space="preserve"> 01437 775504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FD3E31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54607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0CDCF2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10E86">
        <w:rPr>
          <w:b/>
          <w:sz w:val="24"/>
          <w:szCs w:val="24"/>
        </w:rPr>
        <w:t xml:space="preserve"> Sarah Hanley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C10FC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04F21">
        <w:rPr>
          <w:b/>
          <w:sz w:val="24"/>
          <w:szCs w:val="24"/>
        </w:rPr>
        <w:t xml:space="preserve"> </w:t>
      </w:r>
      <w:r w:rsidR="00404F21" w:rsidRPr="00404F21">
        <w:rPr>
          <w:b/>
          <w:sz w:val="24"/>
          <w:szCs w:val="24"/>
        </w:rPr>
        <w:t>County Hall, Haverfordwest, Pembrokeshire, SA61 1TP</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FE9613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10E86">
        <w:rPr>
          <w:b/>
          <w:sz w:val="24"/>
          <w:szCs w:val="24"/>
        </w:rPr>
        <w:t xml:space="preserve"> 01437 775890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19CE30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10E86">
        <w:rPr>
          <w:b/>
          <w:sz w:val="24"/>
          <w:szCs w:val="24"/>
        </w:rPr>
        <w:t xml:space="preserve"> sarah.hanley@pembrokeshire.gov.uk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C5301C3" w:rsidR="004923DA" w:rsidRDefault="004923DA" w:rsidP="00FF7EBB">
            <w:pPr>
              <w:jc w:val="both"/>
              <w:rPr>
                <w:b/>
                <w:sz w:val="24"/>
                <w:szCs w:val="24"/>
              </w:rPr>
            </w:pPr>
            <w:r w:rsidRPr="008B28E7">
              <w:rPr>
                <w:b/>
                <w:sz w:val="24"/>
                <w:szCs w:val="24"/>
              </w:rPr>
              <w:t>Name:</w:t>
            </w:r>
            <w:r w:rsidR="00546079">
              <w:rPr>
                <w:b/>
                <w:sz w:val="24"/>
                <w:szCs w:val="24"/>
              </w:rPr>
              <w:t xml:space="preserve"> Simon Witts</w:t>
            </w:r>
          </w:p>
          <w:p w14:paraId="4EF4A770" w14:textId="77777777" w:rsidR="004923DA" w:rsidRPr="008B28E7" w:rsidRDefault="004923DA" w:rsidP="00FF7EBB">
            <w:pPr>
              <w:jc w:val="both"/>
              <w:rPr>
                <w:b/>
                <w:sz w:val="24"/>
                <w:szCs w:val="24"/>
              </w:rPr>
            </w:pPr>
          </w:p>
          <w:p w14:paraId="1AC8522D" w14:textId="3AE59571" w:rsidR="004923DA" w:rsidRDefault="004923DA" w:rsidP="00FF7EBB">
            <w:pPr>
              <w:jc w:val="both"/>
              <w:rPr>
                <w:b/>
                <w:sz w:val="24"/>
                <w:szCs w:val="24"/>
              </w:rPr>
            </w:pPr>
            <w:r w:rsidRPr="008B28E7">
              <w:rPr>
                <w:b/>
                <w:sz w:val="24"/>
                <w:szCs w:val="24"/>
              </w:rPr>
              <w:t xml:space="preserve">Work Address: </w:t>
            </w:r>
            <w:r w:rsidR="00404F21" w:rsidRPr="00404F21">
              <w:rPr>
                <w:b/>
                <w:sz w:val="24"/>
                <w:szCs w:val="24"/>
              </w:rPr>
              <w:t>County Hall, Haverfordwest, Pembrokeshire, SA61 1TP</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419FC52" w:rsidR="004923DA" w:rsidRPr="008B28E7" w:rsidRDefault="004923DA" w:rsidP="00FF7EBB">
            <w:pPr>
              <w:jc w:val="both"/>
              <w:rPr>
                <w:b/>
                <w:sz w:val="24"/>
                <w:szCs w:val="24"/>
              </w:rPr>
            </w:pPr>
            <w:r w:rsidRPr="008B28E7">
              <w:rPr>
                <w:b/>
                <w:sz w:val="24"/>
                <w:szCs w:val="24"/>
              </w:rPr>
              <w:t>Professional Qualification and date of qualification:</w:t>
            </w:r>
            <w:r w:rsidR="00404F21">
              <w:rPr>
                <w:b/>
                <w:sz w:val="24"/>
                <w:szCs w:val="24"/>
              </w:rPr>
              <w:t xml:space="preserve"> Social Work (BA) </w:t>
            </w:r>
            <w:r w:rsidR="002569C6">
              <w:rPr>
                <w:b/>
                <w:sz w:val="24"/>
                <w:szCs w:val="24"/>
              </w:rPr>
              <w:t>October</w:t>
            </w:r>
            <w:r w:rsidR="00404F21">
              <w:rPr>
                <w:b/>
                <w:sz w:val="24"/>
                <w:szCs w:val="24"/>
              </w:rPr>
              <w:t xml:space="preserve"> 2018.</w:t>
            </w:r>
          </w:p>
          <w:p w14:paraId="5F68A3CF" w14:textId="77777777" w:rsidR="004923DA" w:rsidRDefault="004923DA" w:rsidP="00FF7EBB">
            <w:pPr>
              <w:jc w:val="both"/>
              <w:rPr>
                <w:b/>
                <w:sz w:val="24"/>
                <w:szCs w:val="24"/>
              </w:rPr>
            </w:pPr>
          </w:p>
          <w:p w14:paraId="4C6113F1" w14:textId="558D597C" w:rsidR="004923DA" w:rsidRDefault="009D59C2" w:rsidP="00FF7EBB">
            <w:pPr>
              <w:jc w:val="both"/>
              <w:rPr>
                <w:b/>
                <w:sz w:val="24"/>
                <w:szCs w:val="24"/>
              </w:rPr>
            </w:pPr>
            <w:r>
              <w:rPr>
                <w:b/>
                <w:sz w:val="24"/>
                <w:szCs w:val="24"/>
              </w:rPr>
              <w:t>T</w:t>
            </w:r>
            <w:r w:rsidR="004923DA" w:rsidRPr="008B28E7">
              <w:rPr>
                <w:b/>
                <w:sz w:val="24"/>
                <w:szCs w:val="24"/>
              </w:rPr>
              <w:t>elephone number:</w:t>
            </w:r>
            <w:r w:rsidR="00404F21">
              <w:rPr>
                <w:b/>
                <w:sz w:val="24"/>
                <w:szCs w:val="24"/>
              </w:rPr>
              <w:t xml:space="preserve"> 01437 775002</w:t>
            </w:r>
          </w:p>
          <w:p w14:paraId="0BB87919" w14:textId="548A11EF" w:rsidR="009D59C2" w:rsidRDefault="009D59C2" w:rsidP="00FF7EBB">
            <w:pPr>
              <w:jc w:val="both"/>
              <w:rPr>
                <w:b/>
                <w:sz w:val="24"/>
                <w:szCs w:val="24"/>
              </w:rPr>
            </w:pPr>
          </w:p>
          <w:p w14:paraId="4FDEE73F" w14:textId="61B3B7B8" w:rsidR="009D59C2" w:rsidRPr="008B28E7" w:rsidRDefault="009D59C2" w:rsidP="00FF7EBB">
            <w:pPr>
              <w:jc w:val="both"/>
              <w:rPr>
                <w:b/>
                <w:sz w:val="24"/>
                <w:szCs w:val="24"/>
              </w:rPr>
            </w:pPr>
            <w:r>
              <w:rPr>
                <w:b/>
                <w:sz w:val="24"/>
                <w:szCs w:val="24"/>
              </w:rPr>
              <w:t>Email address:</w:t>
            </w:r>
            <w:r w:rsidR="00404F21">
              <w:rPr>
                <w:b/>
                <w:sz w:val="24"/>
                <w:szCs w:val="24"/>
              </w:rPr>
              <w:t xml:space="preserve"> simon.witts@pembrokeshire.gov.uk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702180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404F21">
        <w:rPr>
          <w:sz w:val="24"/>
          <w:szCs w:val="24"/>
        </w:rPr>
        <w:t>Maeve Owens</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86EDD04" w14:textId="621B70EB" w:rsidR="00404F21"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04F21">
        <w:rPr>
          <w:sz w:val="24"/>
          <w:szCs w:val="24"/>
        </w:rPr>
        <w:t>25/09/2024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890DEED"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404F21">
        <w:rPr>
          <w:sz w:val="24"/>
          <w:szCs w:val="24"/>
        </w:rPr>
        <w:t>Simon Witts</w:t>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1CFAA2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04F21">
        <w:rPr>
          <w:sz w:val="24"/>
          <w:szCs w:val="24"/>
        </w:rPr>
        <w:t>25/09/2024</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2906B07" w:rsidR="00335C41" w:rsidRPr="00D3203C" w:rsidRDefault="00335C41" w:rsidP="00335C41">
            <w:pPr>
              <w:ind w:right="180"/>
              <w:jc w:val="both"/>
              <w:rPr>
                <w:sz w:val="24"/>
                <w:szCs w:val="24"/>
              </w:rPr>
            </w:pPr>
            <w:r w:rsidRPr="00D3203C">
              <w:rPr>
                <w:sz w:val="24"/>
                <w:szCs w:val="24"/>
              </w:rPr>
              <w:t>Signed__</w:t>
            </w:r>
            <w:r w:rsidR="00710E86">
              <w:rPr>
                <w:noProof/>
                <w:sz w:val="24"/>
                <w:szCs w:val="24"/>
              </w:rPr>
              <w:drawing>
                <wp:inline distT="0" distB="0" distL="0" distR="0" wp14:anchorId="6966A7DC" wp14:editId="6FF80BF1">
                  <wp:extent cx="1005840" cy="434622"/>
                  <wp:effectExtent l="0" t="0" r="3810" b="3810"/>
                  <wp:docPr id="1133773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73675" name="Picture 1133773675"/>
                          <pic:cNvPicPr/>
                        </pic:nvPicPr>
                        <pic:blipFill>
                          <a:blip r:embed="rId24">
                            <a:extLst>
                              <a:ext uri="{28A0092B-C50C-407E-A947-70E740481C1C}">
                                <a14:useLocalDpi xmlns:a14="http://schemas.microsoft.com/office/drawing/2010/main" val="0"/>
                              </a:ext>
                            </a:extLst>
                          </a:blip>
                          <a:stretch>
                            <a:fillRect/>
                          </a:stretch>
                        </pic:blipFill>
                        <pic:spPr>
                          <a:xfrm>
                            <a:off x="0" y="0"/>
                            <a:ext cx="1016083" cy="439048"/>
                          </a:xfrm>
                          <a:prstGeom prst="rect">
                            <a:avLst/>
                          </a:prstGeom>
                        </pic:spPr>
                      </pic:pic>
                    </a:graphicData>
                  </a:graphic>
                </wp:inline>
              </w:drawing>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5ECFD08A" w:rsidR="00335C41" w:rsidRPr="00D3203C" w:rsidRDefault="00335C41" w:rsidP="00335C41">
            <w:pPr>
              <w:ind w:right="180"/>
              <w:jc w:val="both"/>
              <w:rPr>
                <w:sz w:val="24"/>
                <w:szCs w:val="24"/>
              </w:rPr>
            </w:pPr>
            <w:r w:rsidRPr="00D3203C">
              <w:rPr>
                <w:sz w:val="24"/>
                <w:szCs w:val="24"/>
              </w:rPr>
              <w:t>Date _</w:t>
            </w:r>
            <w:r w:rsidR="00710E86">
              <w:rPr>
                <w:sz w:val="24"/>
                <w:szCs w:val="24"/>
              </w:rPr>
              <w:t>03/10/2024</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C992C3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710E86">
        <w:rPr>
          <w:caps/>
          <w:sz w:val="24"/>
          <w:szCs w:val="24"/>
        </w:rPr>
        <w:t>Sarah Hanley</w:t>
      </w:r>
      <w:r w:rsidR="00B577D3">
        <w:rPr>
          <w:caps/>
          <w:sz w:val="24"/>
          <w:szCs w:val="24"/>
        </w:rPr>
        <w:t xml:space="preserve"> _ _ _ _ _ _ _ _ _ _ _ _ _ _ _ _ _ _</w:t>
      </w:r>
    </w:p>
    <w:p w14:paraId="7C11F360" w14:textId="5927289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710E86">
        <w:rPr>
          <w:noProof/>
          <w:sz w:val="24"/>
          <w:szCs w:val="24"/>
        </w:rPr>
        <w:drawing>
          <wp:inline distT="0" distB="0" distL="0" distR="0" wp14:anchorId="66BB650B" wp14:editId="35C1C5B0">
            <wp:extent cx="914400" cy="395111"/>
            <wp:effectExtent l="0" t="0" r="0" b="5080"/>
            <wp:docPr id="1778280989" name="Picture 2" descr="A black scribbl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80989" name="Picture 2" descr="A black scribble on a white background&#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921646" cy="398242"/>
                    </a:xfrm>
                    <a:prstGeom prst="rect">
                      <a:avLst/>
                    </a:prstGeom>
                  </pic:spPr>
                </pic:pic>
              </a:graphicData>
            </a:graphic>
          </wp:inline>
        </w:drawing>
      </w:r>
      <w:r w:rsidR="00B577D3" w:rsidRPr="00B577D3">
        <w:rPr>
          <w:sz w:val="24"/>
          <w:szCs w:val="24"/>
        </w:rPr>
        <w:t>_ _ _ _ _ _ _ _ _ _ _ _ _ _ _ _</w:t>
      </w:r>
      <w:r w:rsidR="009D59C2">
        <w:rPr>
          <w:sz w:val="24"/>
          <w:szCs w:val="24"/>
        </w:rPr>
        <w:t xml:space="preserve"> _ </w:t>
      </w:r>
      <w:r w:rsidR="00B577D3" w:rsidRPr="00B577D3">
        <w:rPr>
          <w:sz w:val="24"/>
          <w:szCs w:val="24"/>
        </w:rPr>
        <w:t xml:space="preserve"> _ _ _</w:t>
      </w:r>
    </w:p>
    <w:p w14:paraId="57B2A00A" w14:textId="27484B8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710E86">
        <w:rPr>
          <w:sz w:val="24"/>
          <w:szCs w:val="24"/>
        </w:rPr>
        <w:t>03/10/2024</w:t>
      </w:r>
      <w:r w:rsidR="00B577D3" w:rsidRPr="00B577D3">
        <w:rPr>
          <w:sz w:val="24"/>
          <w:szCs w:val="24"/>
        </w:rPr>
        <w:t>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2DE1E8D0" w:rsidR="00986C0B" w:rsidRPr="00DA5682" w:rsidRDefault="00404F21">
            <w:pPr>
              <w:rPr>
                <w:sz w:val="24"/>
                <w:szCs w:val="24"/>
              </w:rPr>
            </w:pPr>
            <w:r>
              <w:rPr>
                <w:sz w:val="24"/>
                <w:szCs w:val="24"/>
              </w:rPr>
              <w:t>Maeve Owens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F409C3A" w:rsidR="00986C0B" w:rsidRPr="00DA5682" w:rsidRDefault="00404F21">
            <w:pPr>
              <w:rPr>
                <w:sz w:val="24"/>
                <w:szCs w:val="24"/>
              </w:rPr>
            </w:pPr>
            <w:r>
              <w:rPr>
                <w:sz w:val="24"/>
                <w:szCs w:val="24"/>
              </w:rPr>
              <w:t>Intake Team/Pembrokeshire County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01770EA" w:rsidR="00986C0B" w:rsidRPr="00DA5682" w:rsidRDefault="00710E86">
            <w:pPr>
              <w:rPr>
                <w:sz w:val="24"/>
                <w:szCs w:val="24"/>
              </w:rPr>
            </w:pPr>
            <w:r>
              <w:rPr>
                <w:sz w:val="24"/>
                <w:szCs w:val="24"/>
              </w:rPr>
              <w:t>Sarah Hanley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16C34F5A" w:rsidR="00986C0B" w:rsidRPr="00DA5682" w:rsidRDefault="00710E86">
            <w:pPr>
              <w:rPr>
                <w:sz w:val="24"/>
                <w:szCs w:val="24"/>
              </w:rPr>
            </w:pPr>
            <w:r>
              <w:rPr>
                <w:sz w:val="24"/>
                <w:szCs w:val="24"/>
              </w:rPr>
              <w:t>Sarah Hanley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68A01C33" w14:textId="00F68633" w:rsidR="00986C0B" w:rsidRPr="00DA5682" w:rsidRDefault="00986C0B" w:rsidP="00986C0B">
      <w:pPr>
        <w:rPr>
          <w:sz w:val="24"/>
          <w:szCs w:val="24"/>
        </w:rPr>
      </w:pPr>
      <w:r w:rsidRPr="00DA5682">
        <w:rPr>
          <w:sz w:val="24"/>
          <w:szCs w:val="24"/>
        </w:rPr>
        <w:t>Signed</w:t>
      </w:r>
      <w:r w:rsidR="00404F21">
        <w:rPr>
          <w:sz w:val="24"/>
          <w:szCs w:val="24"/>
        </w:rPr>
        <w:t>: Maeve Owens</w:t>
      </w:r>
      <w:r w:rsidRPr="00DA5682">
        <w:rPr>
          <w:sz w:val="24"/>
          <w:szCs w:val="24"/>
        </w:rPr>
        <w:t xml:space="preserve"> Print Name</w:t>
      </w:r>
      <w:r w:rsidR="00404F21">
        <w:rPr>
          <w:sz w:val="24"/>
          <w:szCs w:val="24"/>
        </w:rPr>
        <w:t>: Maeve Owens</w:t>
      </w:r>
      <w:r w:rsidRPr="00DA5682">
        <w:rPr>
          <w:sz w:val="24"/>
          <w:szCs w:val="24"/>
        </w:rPr>
        <w:t xml:space="preserve"> Dat</w:t>
      </w:r>
      <w:r w:rsidR="00404F21">
        <w:rPr>
          <w:sz w:val="24"/>
          <w:szCs w:val="24"/>
        </w:rPr>
        <w:t xml:space="preserve">e: 25/09/2024 </w:t>
      </w:r>
      <w:r w:rsidRPr="00DA5682">
        <w:rPr>
          <w:sz w:val="24"/>
          <w:szCs w:val="24"/>
        </w:rPr>
        <w:t>(Learner)</w:t>
      </w:r>
    </w:p>
    <w:p w14:paraId="6166CF4E" w14:textId="77777777" w:rsidR="00986C0B" w:rsidRPr="00DA5682" w:rsidRDefault="00986C0B" w:rsidP="00986C0B">
      <w:pPr>
        <w:rPr>
          <w:sz w:val="24"/>
          <w:szCs w:val="24"/>
        </w:rPr>
      </w:pPr>
    </w:p>
    <w:p w14:paraId="402BCA10" w14:textId="537071E1" w:rsidR="00986C0B" w:rsidRPr="00DA5682" w:rsidRDefault="00986C0B" w:rsidP="00986C0B">
      <w:pPr>
        <w:rPr>
          <w:sz w:val="24"/>
          <w:szCs w:val="24"/>
        </w:rPr>
      </w:pPr>
      <w:r w:rsidRPr="00DA5682">
        <w:rPr>
          <w:sz w:val="24"/>
          <w:szCs w:val="24"/>
        </w:rPr>
        <w:t>Signed:…</w:t>
      </w:r>
      <w:r w:rsidR="00710E86">
        <w:rPr>
          <w:noProof/>
          <w:sz w:val="24"/>
          <w:szCs w:val="24"/>
        </w:rPr>
        <w:drawing>
          <wp:inline distT="0" distB="0" distL="0" distR="0" wp14:anchorId="35178A80" wp14:editId="4E408428">
            <wp:extent cx="723900" cy="312796"/>
            <wp:effectExtent l="0" t="0" r="0" b="0"/>
            <wp:docPr id="223993027" name="Picture 3" descr="A black scribbl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93027" name="Picture 3" descr="A black scribble on a white background&#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33048" cy="316749"/>
                    </a:xfrm>
                    <a:prstGeom prst="rect">
                      <a:avLst/>
                    </a:prstGeom>
                  </pic:spPr>
                </pic:pic>
              </a:graphicData>
            </a:graphic>
          </wp:inline>
        </w:drawing>
      </w:r>
      <w:r w:rsidRPr="00DA5682">
        <w:rPr>
          <w:sz w:val="24"/>
          <w:szCs w:val="24"/>
        </w:rPr>
        <w:t>…………………….. Print Name:…</w:t>
      </w:r>
      <w:r w:rsidR="00710E86">
        <w:rPr>
          <w:sz w:val="24"/>
          <w:szCs w:val="24"/>
        </w:rPr>
        <w:t>Sarah Hanley</w:t>
      </w:r>
      <w:r w:rsidRPr="00DA5682">
        <w:rPr>
          <w:sz w:val="24"/>
          <w:szCs w:val="24"/>
        </w:rPr>
        <w:t>……………………….Date:…</w:t>
      </w:r>
      <w:r w:rsidR="00710E86">
        <w:rPr>
          <w:sz w:val="24"/>
          <w:szCs w:val="24"/>
        </w:rPr>
        <w:t>03/10/2024</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5"/>
      <w:footerReference w:type="default" r:id="rId2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9283B" w14:textId="77777777" w:rsidR="005D0B6E" w:rsidRDefault="005D0B6E">
      <w:r>
        <w:separator/>
      </w:r>
    </w:p>
  </w:endnote>
  <w:endnote w:type="continuationSeparator" w:id="0">
    <w:p w14:paraId="7E237816" w14:textId="77777777" w:rsidR="005D0B6E" w:rsidRDefault="005D0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1B4339D4" w:rsidR="00A5656A" w:rsidRDefault="00A5656A">
    <w:pPr>
      <w:pStyle w:val="Footer"/>
      <w:jc w:val="right"/>
    </w:pPr>
    <w:r>
      <w:fldChar w:fldCharType="begin"/>
    </w:r>
    <w:r>
      <w:instrText xml:space="preserve"> PAGE   \* MERGEFORMAT </w:instrText>
    </w:r>
    <w:r>
      <w:fldChar w:fldCharType="separate"/>
    </w:r>
    <w:r w:rsidR="001648F0">
      <w:rPr>
        <w:noProof/>
      </w:rPr>
      <w:t>18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BC31F" w14:textId="77777777" w:rsidR="005D0B6E" w:rsidRDefault="005D0B6E">
      <w:r>
        <w:separator/>
      </w:r>
    </w:p>
  </w:footnote>
  <w:footnote w:type="continuationSeparator" w:id="0">
    <w:p w14:paraId="15F5D4EF" w14:textId="77777777" w:rsidR="005D0B6E" w:rsidRDefault="005D0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01924915">
    <w:abstractNumId w:val="1"/>
    <w:lvlOverride w:ilvl="0">
      <w:lvl w:ilvl="0">
        <w:start w:val="1"/>
        <w:numFmt w:val="bullet"/>
        <w:lvlText w:val=""/>
        <w:lvlJc w:val="left"/>
        <w:pPr>
          <w:ind w:left="720" w:hanging="360"/>
        </w:pPr>
        <w:rPr>
          <w:rFonts w:ascii="Symbol" w:hAnsi="Symbol" w:hint="default"/>
        </w:rPr>
      </w:lvl>
    </w:lvlOverride>
  </w:num>
  <w:num w:numId="2" w16cid:durableId="1939019080">
    <w:abstractNumId w:val="22"/>
  </w:num>
  <w:num w:numId="3" w16cid:durableId="17661754">
    <w:abstractNumId w:val="45"/>
  </w:num>
  <w:num w:numId="4" w16cid:durableId="1122722186">
    <w:abstractNumId w:val="47"/>
  </w:num>
  <w:num w:numId="5" w16cid:durableId="1285118806">
    <w:abstractNumId w:val="34"/>
  </w:num>
  <w:num w:numId="6" w16cid:durableId="2082873382">
    <w:abstractNumId w:val="32"/>
  </w:num>
  <w:num w:numId="7" w16cid:durableId="1150250836">
    <w:abstractNumId w:val="29"/>
  </w:num>
  <w:num w:numId="8" w16cid:durableId="892159195">
    <w:abstractNumId w:val="30"/>
  </w:num>
  <w:num w:numId="9" w16cid:durableId="1991401736">
    <w:abstractNumId w:val="10"/>
  </w:num>
  <w:num w:numId="10" w16cid:durableId="1054430111">
    <w:abstractNumId w:val="33"/>
  </w:num>
  <w:num w:numId="11" w16cid:durableId="1899629977">
    <w:abstractNumId w:val="17"/>
  </w:num>
  <w:num w:numId="12" w16cid:durableId="1876506976">
    <w:abstractNumId w:val="16"/>
  </w:num>
  <w:num w:numId="13" w16cid:durableId="512184982">
    <w:abstractNumId w:val="27"/>
  </w:num>
  <w:num w:numId="14" w16cid:durableId="441800702">
    <w:abstractNumId w:val="8"/>
  </w:num>
  <w:num w:numId="15" w16cid:durableId="599947424">
    <w:abstractNumId w:val="26"/>
  </w:num>
  <w:num w:numId="16" w16cid:durableId="273052741">
    <w:abstractNumId w:val="15"/>
  </w:num>
  <w:num w:numId="17" w16cid:durableId="696613845">
    <w:abstractNumId w:val="13"/>
  </w:num>
  <w:num w:numId="18" w16cid:durableId="35523395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8505275">
    <w:abstractNumId w:val="23"/>
  </w:num>
  <w:num w:numId="20" w16cid:durableId="1474132801">
    <w:abstractNumId w:val="18"/>
  </w:num>
  <w:num w:numId="21" w16cid:durableId="783958658">
    <w:abstractNumId w:val="14"/>
  </w:num>
  <w:num w:numId="22" w16cid:durableId="2071687720">
    <w:abstractNumId w:val="11"/>
  </w:num>
  <w:num w:numId="23" w16cid:durableId="1465655977">
    <w:abstractNumId w:val="28"/>
  </w:num>
  <w:num w:numId="24" w16cid:durableId="909775607">
    <w:abstractNumId w:val="19"/>
  </w:num>
  <w:num w:numId="25" w16cid:durableId="1583106612">
    <w:abstractNumId w:val="41"/>
  </w:num>
  <w:num w:numId="26" w16cid:durableId="1063066201">
    <w:abstractNumId w:val="35"/>
  </w:num>
  <w:num w:numId="27" w16cid:durableId="1845362839">
    <w:abstractNumId w:val="40"/>
  </w:num>
  <w:num w:numId="28" w16cid:durableId="242568736">
    <w:abstractNumId w:val="20"/>
  </w:num>
  <w:num w:numId="29" w16cid:durableId="408506985">
    <w:abstractNumId w:val="43"/>
  </w:num>
  <w:num w:numId="30" w16cid:durableId="1088690554">
    <w:abstractNumId w:val="31"/>
  </w:num>
  <w:num w:numId="31" w16cid:durableId="1246838685">
    <w:abstractNumId w:val="12"/>
  </w:num>
  <w:num w:numId="32" w16cid:durableId="2106613360">
    <w:abstractNumId w:val="44"/>
  </w:num>
  <w:num w:numId="33" w16cid:durableId="2079597524">
    <w:abstractNumId w:val="39"/>
  </w:num>
  <w:num w:numId="34" w16cid:durableId="459959532">
    <w:abstractNumId w:val="5"/>
  </w:num>
  <w:num w:numId="35" w16cid:durableId="2130052568">
    <w:abstractNumId w:val="46"/>
  </w:num>
  <w:num w:numId="36" w16cid:durableId="1001617108">
    <w:abstractNumId w:val="42"/>
  </w:num>
  <w:num w:numId="37" w16cid:durableId="1871799958">
    <w:abstractNumId w:val="36"/>
  </w:num>
  <w:num w:numId="38" w16cid:durableId="117724880">
    <w:abstractNumId w:val="37"/>
  </w:num>
  <w:num w:numId="39" w16cid:durableId="258026071">
    <w:abstractNumId w:val="4"/>
  </w:num>
  <w:num w:numId="40" w16cid:durableId="1293949303">
    <w:abstractNumId w:val="6"/>
  </w:num>
  <w:num w:numId="41" w16cid:durableId="1484199746">
    <w:abstractNumId w:val="25"/>
  </w:num>
  <w:num w:numId="42" w16cid:durableId="355695007">
    <w:abstractNumId w:val="7"/>
  </w:num>
  <w:num w:numId="43" w16cid:durableId="1473986229">
    <w:abstractNumId w:val="3"/>
  </w:num>
  <w:num w:numId="44" w16cid:durableId="197476792">
    <w:abstractNumId w:val="38"/>
  </w:num>
  <w:num w:numId="45" w16cid:durableId="1139953198">
    <w:abstractNumId w:val="0"/>
  </w:num>
  <w:num w:numId="46" w16cid:durableId="886841899">
    <w:abstractNumId w:val="14"/>
  </w:num>
  <w:num w:numId="47" w16cid:durableId="772407937">
    <w:abstractNumId w:val="48"/>
  </w:num>
  <w:num w:numId="48" w16cid:durableId="14387893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87828366">
    <w:abstractNumId w:val="11"/>
  </w:num>
  <w:num w:numId="50" w16cid:durableId="16084638">
    <w:abstractNumId w:val="28"/>
  </w:num>
  <w:num w:numId="51" w16cid:durableId="481046764">
    <w:abstractNumId w:val="24"/>
  </w:num>
  <w:num w:numId="52" w16cid:durableId="1148473620">
    <w:abstractNumId w:val="21"/>
  </w:num>
  <w:num w:numId="53" w16cid:durableId="84235605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541"/>
    <w:rsid w:val="000D6653"/>
    <w:rsid w:val="000E0D51"/>
    <w:rsid w:val="000E26B0"/>
    <w:rsid w:val="000E37C2"/>
    <w:rsid w:val="000E38C3"/>
    <w:rsid w:val="000F1599"/>
    <w:rsid w:val="000F1769"/>
    <w:rsid w:val="000F1A97"/>
    <w:rsid w:val="000F42AE"/>
    <w:rsid w:val="000F6196"/>
    <w:rsid w:val="000F6BC3"/>
    <w:rsid w:val="0010312C"/>
    <w:rsid w:val="00104C12"/>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648F0"/>
    <w:rsid w:val="00171418"/>
    <w:rsid w:val="001772BF"/>
    <w:rsid w:val="001772DE"/>
    <w:rsid w:val="0019496C"/>
    <w:rsid w:val="001961CF"/>
    <w:rsid w:val="001A5554"/>
    <w:rsid w:val="001A59BB"/>
    <w:rsid w:val="001A607E"/>
    <w:rsid w:val="001A6A51"/>
    <w:rsid w:val="001A79C4"/>
    <w:rsid w:val="001B331A"/>
    <w:rsid w:val="001B559E"/>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69C6"/>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249A"/>
    <w:rsid w:val="003F67A4"/>
    <w:rsid w:val="00400786"/>
    <w:rsid w:val="00401FDA"/>
    <w:rsid w:val="004046F0"/>
    <w:rsid w:val="00404F21"/>
    <w:rsid w:val="0040668F"/>
    <w:rsid w:val="00411EF7"/>
    <w:rsid w:val="00412677"/>
    <w:rsid w:val="00425160"/>
    <w:rsid w:val="00430DE3"/>
    <w:rsid w:val="004348AE"/>
    <w:rsid w:val="004376C0"/>
    <w:rsid w:val="0044223A"/>
    <w:rsid w:val="00450B67"/>
    <w:rsid w:val="00451851"/>
    <w:rsid w:val="0045189A"/>
    <w:rsid w:val="00453343"/>
    <w:rsid w:val="004538C3"/>
    <w:rsid w:val="00454A6E"/>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A7B71"/>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D2C"/>
    <w:rsid w:val="005042F1"/>
    <w:rsid w:val="0050481B"/>
    <w:rsid w:val="005100B4"/>
    <w:rsid w:val="005113D4"/>
    <w:rsid w:val="0051287D"/>
    <w:rsid w:val="00512AB1"/>
    <w:rsid w:val="00513C7D"/>
    <w:rsid w:val="00521123"/>
    <w:rsid w:val="00521221"/>
    <w:rsid w:val="0052250B"/>
    <w:rsid w:val="005305C6"/>
    <w:rsid w:val="00540EEC"/>
    <w:rsid w:val="005414F4"/>
    <w:rsid w:val="00546079"/>
    <w:rsid w:val="00546187"/>
    <w:rsid w:val="00547B11"/>
    <w:rsid w:val="00555F3A"/>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7FC"/>
    <w:rsid w:val="005C28D3"/>
    <w:rsid w:val="005C6CE5"/>
    <w:rsid w:val="005D0B6E"/>
    <w:rsid w:val="005D3F07"/>
    <w:rsid w:val="005D4A1E"/>
    <w:rsid w:val="005D4F72"/>
    <w:rsid w:val="005E13EA"/>
    <w:rsid w:val="005E17F1"/>
    <w:rsid w:val="005F64AA"/>
    <w:rsid w:val="005F7851"/>
    <w:rsid w:val="006019FC"/>
    <w:rsid w:val="00606E27"/>
    <w:rsid w:val="006108C9"/>
    <w:rsid w:val="00611FC2"/>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01C4"/>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0E86"/>
    <w:rsid w:val="0071231A"/>
    <w:rsid w:val="00712E90"/>
    <w:rsid w:val="00713B7E"/>
    <w:rsid w:val="0072678F"/>
    <w:rsid w:val="007276E5"/>
    <w:rsid w:val="00727C4C"/>
    <w:rsid w:val="00734809"/>
    <w:rsid w:val="0073714E"/>
    <w:rsid w:val="007374EF"/>
    <w:rsid w:val="007406E1"/>
    <w:rsid w:val="00741AA2"/>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3C72"/>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6FAD"/>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DAA"/>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4911"/>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0D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19B"/>
    <w:rsid w:val="00A85039"/>
    <w:rsid w:val="00A906AA"/>
    <w:rsid w:val="00A92483"/>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3BEC"/>
    <w:rsid w:val="00AE5BA6"/>
    <w:rsid w:val="00AE6231"/>
    <w:rsid w:val="00AE7077"/>
    <w:rsid w:val="00AF61C2"/>
    <w:rsid w:val="00AF6CC6"/>
    <w:rsid w:val="00B0296A"/>
    <w:rsid w:val="00B07E79"/>
    <w:rsid w:val="00B12295"/>
    <w:rsid w:val="00B137BE"/>
    <w:rsid w:val="00B15998"/>
    <w:rsid w:val="00B16058"/>
    <w:rsid w:val="00B17FA0"/>
    <w:rsid w:val="00B22377"/>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5C8"/>
    <w:rsid w:val="00BD30B1"/>
    <w:rsid w:val="00BE0F7B"/>
    <w:rsid w:val="00BE10C2"/>
    <w:rsid w:val="00BF0D6C"/>
    <w:rsid w:val="00BF19FB"/>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1F6E"/>
    <w:rsid w:val="00CA3593"/>
    <w:rsid w:val="00CA5726"/>
    <w:rsid w:val="00CA7E6A"/>
    <w:rsid w:val="00CB258E"/>
    <w:rsid w:val="00CB3C8F"/>
    <w:rsid w:val="00CB5C25"/>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2895"/>
    <w:rsid w:val="00D84841"/>
    <w:rsid w:val="00D876E6"/>
    <w:rsid w:val="00D90958"/>
    <w:rsid w:val="00D95E55"/>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4D32"/>
    <w:rsid w:val="00DF7899"/>
    <w:rsid w:val="00E0524C"/>
    <w:rsid w:val="00E15751"/>
    <w:rsid w:val="00E17160"/>
    <w:rsid w:val="00E17D41"/>
    <w:rsid w:val="00E231D1"/>
    <w:rsid w:val="00E23C1A"/>
    <w:rsid w:val="00E3288D"/>
    <w:rsid w:val="00E35112"/>
    <w:rsid w:val="00E35BEC"/>
    <w:rsid w:val="00E41A6A"/>
    <w:rsid w:val="00E50821"/>
    <w:rsid w:val="00E51F91"/>
    <w:rsid w:val="00E5498A"/>
    <w:rsid w:val="00E54C7F"/>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17D"/>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2041"/>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C5C"/>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BD15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sw.co.uk/system/files/resources/basw_code_of_ethics_-_2021.pdf" TargetMode="External"/><Relationship Id="rId18" Type="http://schemas.openxmlformats.org/officeDocument/2006/relationships/hyperlink" Target="https://socialcare.wales/cms_assets/file-uploads/Code-of-Professional-Practice-for-Social-Care.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1093/bjsw/bcx073" TargetMode="External"/><Relationship Id="rId7" Type="http://schemas.openxmlformats.org/officeDocument/2006/relationships/webSettings" Target="webSettings.xml"/><Relationship Id="rId12" Type="http://schemas.openxmlformats.org/officeDocument/2006/relationships/hyperlink" Target="https://adults.ccinform.co.uk/practice-guidance/signs-of-safety-quick-guide/" TargetMode="External"/><Relationship Id="rId17" Type="http://schemas.openxmlformats.org/officeDocument/2006/relationships/hyperlink" Target="https://www.nspcc.org.uk/about-us/news-opinion/2022/childhood-day/"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332/239788221X16171137895838" TargetMode="External"/><Relationship Id="rId20" Type="http://schemas.openxmlformats.org/officeDocument/2006/relationships/hyperlink" Target="https://safeguarding.wales/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zheimers.org.uk/get-support/help-dementia-care/understanding-supporting-person-dementia" TargetMode="External"/><Relationship Id="rId24"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doi.org/10.1111/j.1447-0748.2005.00201.x" TargetMode="External"/><Relationship Id="rId23" Type="http://schemas.openxmlformats.org/officeDocument/2006/relationships/hyperlink" Target="https://law.gov.wales/safeguarding"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socialcare.wales/nos-areas/social-wor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qualityhumanrights.com/sites/default/files/uncrpd_guide_easyread.pdf" TargetMode="External"/><Relationship Id="rId22" Type="http://schemas.openxmlformats.org/officeDocument/2006/relationships/hyperlink" Target="https://www.gov.wales/sites/default/files/publications/2019-04/delivering-the-active-offer-information-pack-social-services-and-social-care.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0055A2-A1F4-487F-B511-58A659AB3E1F}">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3709</Words>
  <Characters>21147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Owens, Maeve</cp:lastModifiedBy>
  <cp:revision>3</cp:revision>
  <cp:lastPrinted>2020-02-11T19:20:00Z</cp:lastPrinted>
  <dcterms:created xsi:type="dcterms:W3CDTF">2024-10-04T09:38:00Z</dcterms:created>
  <dcterms:modified xsi:type="dcterms:W3CDTF">2024-10-04T12:17:00Z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