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36BC9B" w14:textId="2C17F842" w:rsidR="00C6794A" w:rsidRPr="00C6794A" w:rsidRDefault="00C6794A">
      <w:pPr>
        <w:rPr>
          <w:b/>
          <w:bCs/>
          <w:u w:val="single"/>
        </w:rPr>
      </w:pPr>
      <w:r w:rsidRPr="00C6794A">
        <w:rPr>
          <w:b/>
          <w:bCs/>
          <w:i/>
          <w:iCs/>
          <w:u w:val="single"/>
        </w:rPr>
        <w:t>Becket</w:t>
      </w:r>
      <w:r w:rsidR="00237A9A">
        <w:rPr>
          <w:b/>
          <w:bCs/>
          <w:u w:val="single"/>
        </w:rPr>
        <w:t>: Conflict or romance</w:t>
      </w:r>
      <w:r w:rsidRPr="00C6794A">
        <w:rPr>
          <w:b/>
          <w:bCs/>
          <w:u w:val="single"/>
        </w:rPr>
        <w:t>?</w:t>
      </w:r>
      <w:r w:rsidR="00237A9A">
        <w:rPr>
          <w:b/>
          <w:bCs/>
          <w:u w:val="single"/>
        </w:rPr>
        <w:t xml:space="preserve"> A study in queer theory in medieval cinema.</w:t>
      </w:r>
    </w:p>
    <w:p w14:paraId="151A44F9" w14:textId="4E89CD12" w:rsidR="007E416A" w:rsidRDefault="00EB5045">
      <w:r>
        <w:t>Representations of same sex relationships, attraction and sex itself have had a rocky past in the world of film. From as early as the 1800’s, filmmakers have juggled with the desire to portray queer characters</w:t>
      </w:r>
      <w:r w:rsidR="00756DE0">
        <w:t>,</w:t>
      </w:r>
      <w:r>
        <w:t xml:space="preserve"> the desire to please the public as well as avoid censorship. This has often led to LGBTQIA+ characters being </w:t>
      </w:r>
      <w:r>
        <w:rPr>
          <w:i/>
          <w:iCs/>
        </w:rPr>
        <w:t>suggestively</w:t>
      </w:r>
      <w:r>
        <w:t xml:space="preserve"> queer rather than out and proud</w:t>
      </w:r>
      <w:sdt>
        <w:sdtPr>
          <w:id w:val="-381936954"/>
          <w:citation/>
        </w:sdtPr>
        <w:sdtEndPr/>
        <w:sdtContent>
          <w:r w:rsidR="00363B43">
            <w:fldChar w:fldCharType="begin"/>
          </w:r>
          <w:r w:rsidR="00363B43">
            <w:instrText xml:space="preserve"> CITATION Ben05 \l 2057 </w:instrText>
          </w:r>
          <w:r w:rsidR="00363B43">
            <w:fldChar w:fldCharType="separate"/>
          </w:r>
          <w:r w:rsidR="00363B43">
            <w:rPr>
              <w:noProof/>
            </w:rPr>
            <w:t xml:space="preserve"> (Benshoff &amp; Griffin, 2005)</w:t>
          </w:r>
          <w:r w:rsidR="00363B43">
            <w:fldChar w:fldCharType="end"/>
          </w:r>
        </w:sdtContent>
      </w:sdt>
      <w:r>
        <w:t xml:space="preserve">. This changed slightly in the late 1960’s where more queer characters were seen in film. In 1964, a movie set in Medieval England was released. </w:t>
      </w:r>
      <w:r w:rsidRPr="00EB5045">
        <w:rPr>
          <w:i/>
          <w:iCs/>
        </w:rPr>
        <w:t>Becket</w:t>
      </w:r>
      <w:r>
        <w:t>, starring Peter O’Toole and Richard Burton has provided an excellent example of subversive and suggestive sexuality</w:t>
      </w:r>
      <w:sdt>
        <w:sdtPr>
          <w:id w:val="136849121"/>
          <w:citation/>
        </w:sdtPr>
        <w:sdtEndPr/>
        <w:sdtContent>
          <w:r w:rsidR="00E06716">
            <w:fldChar w:fldCharType="begin"/>
          </w:r>
          <w:r w:rsidR="00E06716">
            <w:instrText xml:space="preserve"> CITATION Gle64 \l 2057 </w:instrText>
          </w:r>
          <w:r w:rsidR="00E06716">
            <w:fldChar w:fldCharType="separate"/>
          </w:r>
          <w:r w:rsidR="00E06716">
            <w:rPr>
              <w:noProof/>
            </w:rPr>
            <w:t xml:space="preserve"> (Glenville, 1964)</w:t>
          </w:r>
          <w:r w:rsidR="00E06716">
            <w:fldChar w:fldCharType="end"/>
          </w:r>
        </w:sdtContent>
      </w:sdt>
      <w:r>
        <w:t xml:space="preserve">. </w:t>
      </w:r>
    </w:p>
    <w:p w14:paraId="55672106" w14:textId="705F92B8" w:rsidR="00D10928" w:rsidRDefault="00D10928" w:rsidP="00D10928">
      <w:r>
        <w:t xml:space="preserve">By looking at </w:t>
      </w:r>
      <w:r w:rsidRPr="00FE176D">
        <w:rPr>
          <w:i/>
          <w:iCs/>
        </w:rPr>
        <w:t>Becket</w:t>
      </w:r>
      <w:r>
        <w:t xml:space="preserve"> through a queer lens, we’re able to see the intention of the filmmakers behind th</w:t>
      </w:r>
      <w:r w:rsidR="00DE71BE">
        <w:t>is</w:t>
      </w:r>
      <w:r>
        <w:t xml:space="preserve"> </w:t>
      </w:r>
      <w:r w:rsidR="00DE71BE">
        <w:t>“</w:t>
      </w:r>
      <w:r>
        <w:t>queer-coding</w:t>
      </w:r>
      <w:r w:rsidR="00DE71BE">
        <w:t>”</w:t>
      </w:r>
      <w:r>
        <w:t xml:space="preserve">, to display a romance turned sour and the effects of unrequited love on a person. The aspects of this relationship have had to be stated by the acting choices, suggestive language and visual metaphor because of stigma at the time </w:t>
      </w:r>
      <w:r w:rsidR="00DE71BE">
        <w:t>and</w:t>
      </w:r>
      <w:r>
        <w:t xml:space="preserve"> restrictions due to the Hay’s Code, making the film a target for censorship were it to directly state the romantic love Henry bears for Thomas</w:t>
      </w:r>
      <w:sdt>
        <w:sdtPr>
          <w:id w:val="1116329454"/>
          <w:citation/>
        </w:sdtPr>
        <w:sdtEndPr/>
        <w:sdtContent>
          <w:r>
            <w:fldChar w:fldCharType="begin"/>
          </w:r>
          <w:r>
            <w:instrText xml:space="preserve"> CITATION Gil13 \l 2057 </w:instrText>
          </w:r>
          <w:r>
            <w:fldChar w:fldCharType="separate"/>
          </w:r>
          <w:r>
            <w:rPr>
              <w:noProof/>
            </w:rPr>
            <w:t xml:space="preserve"> (Gilbert, 2013)</w:t>
          </w:r>
          <w:r>
            <w:fldChar w:fldCharType="end"/>
          </w:r>
        </w:sdtContent>
      </w:sdt>
      <w:r>
        <w:t xml:space="preserve">. </w:t>
      </w:r>
    </w:p>
    <w:p w14:paraId="091A800D" w14:textId="0DFDD603" w:rsidR="00D10928" w:rsidRPr="001E4DF2" w:rsidRDefault="00D10928" w:rsidP="00D10928">
      <w:r>
        <w:t>If Becket was a female character, the primary narrative of the movie as a romance would be unquestionable, but the film’s IMDB page lists the genre</w:t>
      </w:r>
      <w:r w:rsidR="00DE71BE">
        <w:t xml:space="preserve"> </w:t>
      </w:r>
      <w:r>
        <w:t>not as romance but as history, biography and drama. Without queer theory, the love story of the movie would be lost as the heteronormative bias of the population would dilute this theme entirely</w:t>
      </w:r>
      <w:sdt>
        <w:sdtPr>
          <w:id w:val="1434700676"/>
          <w:citation/>
        </w:sdtPr>
        <w:sdtEndPr/>
        <w:sdtContent>
          <w:r>
            <w:fldChar w:fldCharType="begin"/>
          </w:r>
          <w:r>
            <w:instrText xml:space="preserve"> CITATION Ben05 \l 2057 </w:instrText>
          </w:r>
          <w:r>
            <w:fldChar w:fldCharType="separate"/>
          </w:r>
          <w:r>
            <w:rPr>
              <w:noProof/>
            </w:rPr>
            <w:t xml:space="preserve"> (Benshoff &amp; Griffin, 2005)</w:t>
          </w:r>
          <w:r>
            <w:fldChar w:fldCharType="end"/>
          </w:r>
        </w:sdtContent>
      </w:sdt>
      <w:r>
        <w:t>.</w:t>
      </w:r>
    </w:p>
    <w:p w14:paraId="6A720EDF" w14:textId="0B2A4B95" w:rsidR="006414E1" w:rsidRDefault="006414E1">
      <w:r>
        <w:t>The movie of Becket centres around the characters of King Henry II (Peter O’Toole) and Thomas Becket (Richard Burton). Though Becket is a Saxon</w:t>
      </w:r>
      <w:r w:rsidR="00DE71BE">
        <w:t xml:space="preserve"> and not a Norman like the King</w:t>
      </w:r>
      <w:r>
        <w:t xml:space="preserve">, he and </w:t>
      </w:r>
      <w:r w:rsidR="00DE71BE">
        <w:t>Henry</w:t>
      </w:r>
      <w:r>
        <w:t xml:space="preserve"> have been lifelong friends since childhood. Henry, not satisfied with the advice he gets from leaders of the church and the nobility</w:t>
      </w:r>
      <w:r w:rsidR="00DE71BE">
        <w:t>,</w:t>
      </w:r>
      <w:r>
        <w:t xml:space="preserve"> listens mostly to his friend Becket and in fact early in the movie promotes Becket to the role of Chancellor</w:t>
      </w:r>
      <w:r w:rsidR="00DE71BE">
        <w:t>.</w:t>
      </w:r>
    </w:p>
    <w:p w14:paraId="339615FF" w14:textId="38F5BDE5" w:rsidR="00525720" w:rsidRDefault="006414E1">
      <w:r>
        <w:t xml:space="preserve">When Henry’s clash with the church, in particular the dying Archbishop, worsens over the desire of the King to tax the clergy, the King places the mitre of Archbishop upon his friends’ head. His grand scheme is </w:t>
      </w:r>
      <w:r w:rsidR="00DE71BE">
        <w:t>assuming</w:t>
      </w:r>
      <w:r>
        <w:t xml:space="preserve"> that his best friend controlling the church would mean he had control of the church himself and </w:t>
      </w:r>
      <w:r w:rsidR="00DE71BE">
        <w:t>can control the status quo</w:t>
      </w:r>
      <w:r>
        <w:t>, but this was to be his undoing for the King did not predict that Thomas Becket would become loyal to the church and to God and place his service to God above that to the earthly monarch. The clash of personalities then wreaks destruction, tearing the Kingdom asunder.</w:t>
      </w:r>
    </w:p>
    <w:p w14:paraId="6EA69479" w14:textId="013ED95E" w:rsidR="00EB5045" w:rsidRDefault="00525720">
      <w:r>
        <w:t xml:space="preserve">The core theme of the movie is the relationship between Thomas and </w:t>
      </w:r>
      <w:r w:rsidR="00DE71BE">
        <w:t xml:space="preserve">Henry, particularly </w:t>
      </w:r>
      <w:r>
        <w:t xml:space="preserve">the King’s love for his companion. </w:t>
      </w:r>
      <w:r w:rsidR="0016132B">
        <w:t>Increasingly</w:t>
      </w:r>
      <w:r w:rsidR="001F0977">
        <w:t xml:space="preserve"> </w:t>
      </w:r>
      <w:r w:rsidR="0016132B">
        <w:t>it becomes evident to some viewers that this love goes beyond that of friendship and though not outrightly sexual, there are key signs of romantic</w:t>
      </w:r>
      <w:r w:rsidR="00DE71BE">
        <w:t>,</w:t>
      </w:r>
      <w:r w:rsidR="0016132B">
        <w:t xml:space="preserve"> heartfelt love and affection beyond that of a friendship.</w:t>
      </w:r>
      <w:r>
        <w:t xml:space="preserve"> The </w:t>
      </w:r>
      <w:r w:rsidR="00DE71BE">
        <w:t>romance</w:t>
      </w:r>
      <w:r>
        <w:t xml:space="preserve"> is much more evident to a modern audience due to the prevalence of homosexuality in media </w:t>
      </w:r>
      <w:r w:rsidR="00DE71BE">
        <w:t>today</w:t>
      </w:r>
      <w:r>
        <w:t>, but to the audience of the time, the idea of a homosexual relationship on film would have been inconceivable.</w:t>
      </w:r>
      <w:r w:rsidR="0016132B">
        <w:t xml:space="preserve"> </w:t>
      </w:r>
      <w:r w:rsidR="001E4DF2">
        <w:t>By watching the movie under the lens of queer theory, these undertones are more evident as the expectation of heteronormativity is removed and the subtext brought to the surface</w:t>
      </w:r>
      <w:r>
        <w:t xml:space="preserve"> and we see the film as what it truly is, a romance</w:t>
      </w:r>
      <w:sdt>
        <w:sdtPr>
          <w:id w:val="646096536"/>
          <w:citation/>
        </w:sdtPr>
        <w:sdtEndPr/>
        <w:sdtContent>
          <w:r w:rsidR="001E4DF2">
            <w:fldChar w:fldCharType="begin"/>
          </w:r>
          <w:r w:rsidR="001E4DF2">
            <w:instrText xml:space="preserve"> CITATION Ben05 \l 2057 </w:instrText>
          </w:r>
          <w:r w:rsidR="001E4DF2">
            <w:fldChar w:fldCharType="separate"/>
          </w:r>
          <w:r w:rsidR="001E4DF2">
            <w:rPr>
              <w:noProof/>
            </w:rPr>
            <w:t xml:space="preserve"> (Benshoff &amp; Griffin, 2005)</w:t>
          </w:r>
          <w:r w:rsidR="001E4DF2">
            <w:fldChar w:fldCharType="end"/>
          </w:r>
        </w:sdtContent>
      </w:sdt>
      <w:r w:rsidR="001E4DF2">
        <w:t>.</w:t>
      </w:r>
    </w:p>
    <w:p w14:paraId="3506D484" w14:textId="77777777" w:rsidR="00CA1F36" w:rsidRDefault="00CA1F36" w:rsidP="00CA1F36">
      <w:r>
        <w:t xml:space="preserve">Four years before the release of </w:t>
      </w:r>
      <w:r w:rsidRPr="00444D95">
        <w:rPr>
          <w:i/>
          <w:iCs/>
        </w:rPr>
        <w:t>Becket,</w:t>
      </w:r>
      <w:r>
        <w:rPr>
          <w:i/>
          <w:iCs/>
        </w:rPr>
        <w:t xml:space="preserve"> </w:t>
      </w:r>
      <w:r w:rsidRPr="00444D95">
        <w:t>the movie</w:t>
      </w:r>
      <w:r w:rsidRPr="00444D95">
        <w:rPr>
          <w:i/>
          <w:iCs/>
        </w:rPr>
        <w:t xml:space="preserve"> Spartacus</w:t>
      </w:r>
      <w:sdt>
        <w:sdtPr>
          <w:rPr>
            <w:i/>
            <w:iCs/>
          </w:rPr>
          <w:id w:val="-187290930"/>
          <w:citation/>
        </w:sdtPr>
        <w:sdtContent>
          <w:r>
            <w:rPr>
              <w:i/>
              <w:iCs/>
            </w:rPr>
            <w:fldChar w:fldCharType="begin"/>
          </w:r>
          <w:r>
            <w:rPr>
              <w:i/>
              <w:iCs/>
            </w:rPr>
            <w:instrText xml:space="preserve"> CITATION Kub60 \l 2057 </w:instrText>
          </w:r>
          <w:r>
            <w:rPr>
              <w:i/>
              <w:iCs/>
            </w:rPr>
            <w:fldChar w:fldCharType="separate"/>
          </w:r>
          <w:r>
            <w:rPr>
              <w:i/>
              <w:iCs/>
              <w:noProof/>
            </w:rPr>
            <w:t xml:space="preserve"> </w:t>
          </w:r>
          <w:r>
            <w:rPr>
              <w:noProof/>
            </w:rPr>
            <w:t>(Kubrick, 1960)</w:t>
          </w:r>
          <w:r>
            <w:rPr>
              <w:i/>
              <w:iCs/>
            </w:rPr>
            <w:fldChar w:fldCharType="end"/>
          </w:r>
        </w:sdtContent>
      </w:sdt>
      <w:r>
        <w:t xml:space="preserve"> brought historical settings to the cinema. Interestingly, Spartacus was set in the ancient world where same sex coupling was part of everyday life for men. However, the only scene where this sexuality is mentioned was heavily cut from the movie before release.</w:t>
      </w:r>
    </w:p>
    <w:p w14:paraId="63259D0D" w14:textId="19C159C9" w:rsidR="00CA1F36" w:rsidRDefault="00CA1F36">
      <w:r>
        <w:lastRenderedPageBreak/>
        <w:t xml:space="preserve">The scene, between the Roman General Crassus and his slave </w:t>
      </w:r>
      <w:proofErr w:type="spellStart"/>
      <w:r>
        <w:t>Antoninus</w:t>
      </w:r>
      <w:proofErr w:type="spellEnd"/>
      <w:r>
        <w:t xml:space="preserve">, had the former asking his slave if he eats oysters and if he eats snails, a thinly veiled metaphor for genitalia, to which </w:t>
      </w:r>
      <w:proofErr w:type="spellStart"/>
      <w:r>
        <w:t>Antoninus</w:t>
      </w:r>
      <w:proofErr w:type="spellEnd"/>
      <w:r>
        <w:t xml:space="preserve"> asserts his preference for women. Crassus asks him if he feels therefore that one is more moral than the other, stating that it is more a matter of taste and confirming he has a taste for both. This scene, set in the bath with </w:t>
      </w:r>
      <w:proofErr w:type="spellStart"/>
      <w:r>
        <w:t>Antoninus</w:t>
      </w:r>
      <w:proofErr w:type="spellEnd"/>
      <w:r>
        <w:t xml:space="preserve"> washing his naked master, was deemed too risky for the final movie. </w:t>
      </w:r>
    </w:p>
    <w:p w14:paraId="6F31718C" w14:textId="3E889B79" w:rsidR="00874044" w:rsidRDefault="00874044">
      <w:r>
        <w:t xml:space="preserve">To analyse how effective queer theory is at analysing </w:t>
      </w:r>
      <w:r w:rsidRPr="00874044">
        <w:rPr>
          <w:i/>
          <w:iCs/>
        </w:rPr>
        <w:t>Becket</w:t>
      </w:r>
      <w:r>
        <w:t xml:space="preserve"> and other movies</w:t>
      </w:r>
      <w:r w:rsidR="00CA1F36">
        <w:t xml:space="preserve"> like </w:t>
      </w:r>
      <w:r w:rsidR="00CA1F36">
        <w:rPr>
          <w:i/>
          <w:iCs/>
        </w:rPr>
        <w:t>Spartacus</w:t>
      </w:r>
      <w:r>
        <w:t>, it must first be defined to provide context.</w:t>
      </w:r>
      <w:r w:rsidR="00D8333D">
        <w:t xml:space="preserve"> Queer theory suggests that sexuality is one of the primary components of human identity as well as social organisation</w:t>
      </w:r>
      <w:sdt>
        <w:sdtPr>
          <w:id w:val="2051031876"/>
          <w:citation/>
        </w:sdtPr>
        <w:sdtEndPr/>
        <w:sdtContent>
          <w:r w:rsidR="00E06716">
            <w:fldChar w:fldCharType="begin"/>
          </w:r>
          <w:r w:rsidR="00E06716">
            <w:instrText xml:space="preserve"> CITATION Sul03 \l 2057 </w:instrText>
          </w:r>
          <w:r w:rsidR="00E06716">
            <w:fldChar w:fldCharType="separate"/>
          </w:r>
          <w:r w:rsidR="00E06716">
            <w:rPr>
              <w:noProof/>
            </w:rPr>
            <w:t xml:space="preserve"> (Sullivan, 2003)</w:t>
          </w:r>
          <w:r w:rsidR="00E06716">
            <w:fldChar w:fldCharType="end"/>
          </w:r>
        </w:sdtContent>
      </w:sdt>
      <w:r w:rsidR="00D8333D">
        <w:t>. Though same sex desire and sexuality dates back to the ancient world, it was only in the 1960’s with the Stonewall movement that the words “gay” and “queer” became common parlance. Before this, the term “queer” was used as a homophobic slur but following the movement, the queer community retook the phrase and embraced it to mean those who are not heteronormative</w:t>
      </w:r>
      <w:sdt>
        <w:sdtPr>
          <w:id w:val="-863819301"/>
          <w:citation/>
        </w:sdtPr>
        <w:sdtEndPr/>
        <w:sdtContent>
          <w:r w:rsidR="00E06716">
            <w:fldChar w:fldCharType="begin"/>
          </w:r>
          <w:r w:rsidR="00E06716">
            <w:instrText xml:space="preserve">CITATION Hol96 \l 2057 </w:instrText>
          </w:r>
          <w:r w:rsidR="00E06716">
            <w:fldChar w:fldCharType="separate"/>
          </w:r>
          <w:r w:rsidR="00E06716">
            <w:rPr>
              <w:noProof/>
            </w:rPr>
            <w:t xml:space="preserve"> (Black, 1996)</w:t>
          </w:r>
          <w:r w:rsidR="00E06716">
            <w:fldChar w:fldCharType="end"/>
          </w:r>
        </w:sdtContent>
      </w:sdt>
      <w:r w:rsidR="00D8333D">
        <w:t>.</w:t>
      </w:r>
    </w:p>
    <w:p w14:paraId="370295E7" w14:textId="798F4F58" w:rsidR="00525720" w:rsidRDefault="00D8333D">
      <w:r>
        <w:t>Judith Butler</w:t>
      </w:r>
      <w:r w:rsidR="00071DCF">
        <w:t xml:space="preserve">, an expert in </w:t>
      </w:r>
      <w:r>
        <w:t>queer theory state</w:t>
      </w:r>
      <w:r w:rsidR="00071DCF">
        <w:t>s</w:t>
      </w:r>
      <w:r>
        <w:t xml:space="preserve"> that a person cannot “lay claim to sexuality, but can perform an identity” suggesting</w:t>
      </w:r>
      <w:r w:rsidR="00A22C1F">
        <w:t xml:space="preserve"> </w:t>
      </w:r>
      <w:r>
        <w:t>in her case</w:t>
      </w:r>
      <w:r w:rsidR="00A22C1F">
        <w:t xml:space="preserve"> </w:t>
      </w:r>
      <w:r>
        <w:t xml:space="preserve">that being </w:t>
      </w:r>
      <w:r w:rsidR="00071DCF">
        <w:t>gay</w:t>
      </w:r>
      <w:r>
        <w:t xml:space="preserve"> was an identity that she performed, not who she was. </w:t>
      </w:r>
      <w:r w:rsidR="00071DCF">
        <w:t>She</w:t>
      </w:r>
      <w:r>
        <w:t xml:space="preserve"> point</w:t>
      </w:r>
      <w:r w:rsidR="00071DCF">
        <w:t>s</w:t>
      </w:r>
      <w:r>
        <w:t xml:space="preserve"> to drag culture as </w:t>
      </w:r>
      <w:r w:rsidRPr="001D0AF3">
        <w:t>an example of playing with gender and sexuality as a form of identity play and to destabilise the binary culture of heterosexual/homosexual</w:t>
      </w:r>
      <w:sdt>
        <w:sdtPr>
          <w:id w:val="2093583054"/>
          <w:citation/>
        </w:sdtPr>
        <w:sdtEndPr/>
        <w:sdtContent>
          <w:r w:rsidR="00E06716" w:rsidRPr="001D0AF3">
            <w:fldChar w:fldCharType="begin"/>
          </w:r>
          <w:r w:rsidR="00E06716" w:rsidRPr="001D0AF3">
            <w:instrText xml:space="preserve"> CITATION But90 \l 2057 </w:instrText>
          </w:r>
          <w:r w:rsidR="00E06716" w:rsidRPr="001D0AF3">
            <w:fldChar w:fldCharType="separate"/>
          </w:r>
          <w:r w:rsidR="00E06716" w:rsidRPr="001D0AF3">
            <w:rPr>
              <w:noProof/>
            </w:rPr>
            <w:t xml:space="preserve"> (Butler, 1990)</w:t>
          </w:r>
          <w:r w:rsidR="00E06716" w:rsidRPr="001D0AF3">
            <w:fldChar w:fldCharType="end"/>
          </w:r>
        </w:sdtContent>
      </w:sdt>
      <w:r w:rsidRPr="001D0AF3">
        <w:t xml:space="preserve">. </w:t>
      </w:r>
      <w:r w:rsidR="00525720">
        <w:t xml:space="preserve">In the context of </w:t>
      </w:r>
      <w:r w:rsidR="00525720" w:rsidRPr="00525720">
        <w:rPr>
          <w:i/>
          <w:iCs/>
        </w:rPr>
        <w:t>Becket</w:t>
      </w:r>
      <w:r w:rsidR="00525720">
        <w:t xml:space="preserve">, Henry performs his sexual identity through stereotypically homosexual affectations, such as the way he flounces, </w:t>
      </w:r>
      <w:r w:rsidR="00071DCF">
        <w:t>how</w:t>
      </w:r>
      <w:r w:rsidR="00525720">
        <w:t xml:space="preserve"> he sits cross legged on his throne and the fact he expresses emotion so easily and often.</w:t>
      </w:r>
    </w:p>
    <w:p w14:paraId="383C4B10" w14:textId="1C37D88C" w:rsidR="00E54717" w:rsidRPr="001D0AF3" w:rsidRDefault="00D8333D">
      <w:r w:rsidRPr="001D0AF3">
        <w:t xml:space="preserve">Foucault, the philosopher known for his theories of sexuality, goes further and says that historically, society has </w:t>
      </w:r>
      <w:r w:rsidR="00E54717" w:rsidRPr="001D0AF3">
        <w:t>defined four types of people who society feels the need to control in regards to sexual behaviour</w:t>
      </w:r>
      <w:r w:rsidR="00C6794A">
        <w:t>, one of which being homosexuals who he defined as “the perverse”</w:t>
      </w:r>
      <w:sdt>
        <w:sdtPr>
          <w:id w:val="1896088292"/>
          <w:citation/>
        </w:sdtPr>
        <w:sdtEndPr/>
        <w:sdtContent>
          <w:r w:rsidR="00444D95">
            <w:fldChar w:fldCharType="begin"/>
          </w:r>
          <w:r w:rsidR="00444D95">
            <w:instrText xml:space="preserve"> CITATION Fou78 \l 2057 </w:instrText>
          </w:r>
          <w:r w:rsidR="00444D95">
            <w:fldChar w:fldCharType="separate"/>
          </w:r>
          <w:r w:rsidR="00444D95">
            <w:rPr>
              <w:noProof/>
            </w:rPr>
            <w:t xml:space="preserve"> (Foucault, 1978)</w:t>
          </w:r>
          <w:r w:rsidR="00444D95">
            <w:fldChar w:fldCharType="end"/>
          </w:r>
        </w:sdtContent>
      </w:sdt>
      <w:r w:rsidR="00E54717" w:rsidRPr="001D0AF3">
        <w:t>.</w:t>
      </w:r>
      <w:r w:rsidR="00A22C1F">
        <w:t xml:space="preserve"> </w:t>
      </w:r>
      <w:r w:rsidR="00DE71BE">
        <w:t>In</w:t>
      </w:r>
      <w:r w:rsidR="00DE71BE" w:rsidRPr="001D0AF3">
        <w:t xml:space="preserve"> the ancient world there were no terms for sexuality</w:t>
      </w:r>
      <w:r w:rsidR="00071DCF">
        <w:t xml:space="preserve"> and q</w:t>
      </w:r>
      <w:r w:rsidR="00363B43" w:rsidRPr="001D0AF3">
        <w:t>ueer theorists pos</w:t>
      </w:r>
      <w:r w:rsidR="00A22C1F">
        <w:t>i</w:t>
      </w:r>
      <w:r w:rsidR="00363B43" w:rsidRPr="001D0AF3">
        <w:t>t that for heterosexuality to exist, homosexuality must also. Heterosexuality was socially constructed to separate it from homosexuality in a binary system</w:t>
      </w:r>
      <w:r w:rsidR="00444D95">
        <w:t xml:space="preserve"> and t</w:t>
      </w:r>
      <w:r w:rsidR="00E06716" w:rsidRPr="001D0AF3">
        <w:t xml:space="preserve">his </w:t>
      </w:r>
      <w:r w:rsidR="00444D95">
        <w:t>is reflected in</w:t>
      </w:r>
      <w:r w:rsidR="00E06716" w:rsidRPr="001D0AF3">
        <w:t xml:space="preserve"> the definition of “heterosexuality” from 1901 in Dorland’s medical dictionary: “</w:t>
      </w:r>
      <w:r w:rsidR="00E06716" w:rsidRPr="001D0AF3">
        <w:rPr>
          <w:shd w:val="clear" w:color="auto" w:fill="FFFFFF"/>
        </w:rPr>
        <w:t>abnormal or perverted appetite toward the opposite sex”</w:t>
      </w:r>
      <w:sdt>
        <w:sdtPr>
          <w:rPr>
            <w:shd w:val="clear" w:color="auto" w:fill="FFFFFF"/>
          </w:rPr>
          <w:id w:val="2119165908"/>
          <w:citation/>
        </w:sdtPr>
        <w:sdtEndPr/>
        <w:sdtContent>
          <w:r w:rsidR="001D0AF3" w:rsidRPr="001D0AF3">
            <w:rPr>
              <w:shd w:val="clear" w:color="auto" w:fill="FFFFFF"/>
            </w:rPr>
            <w:fldChar w:fldCharType="begin"/>
          </w:r>
          <w:r w:rsidR="001D0AF3" w:rsidRPr="001D0AF3">
            <w:rPr>
              <w:shd w:val="clear" w:color="auto" w:fill="FFFFFF"/>
            </w:rPr>
            <w:instrText xml:space="preserve"> CITATION Dor01 \l 2057 </w:instrText>
          </w:r>
          <w:r w:rsidR="001D0AF3" w:rsidRPr="001D0AF3">
            <w:rPr>
              <w:shd w:val="clear" w:color="auto" w:fill="FFFFFF"/>
            </w:rPr>
            <w:fldChar w:fldCharType="separate"/>
          </w:r>
          <w:r w:rsidR="001D0AF3" w:rsidRPr="001D0AF3">
            <w:rPr>
              <w:noProof/>
              <w:shd w:val="clear" w:color="auto" w:fill="FFFFFF"/>
            </w:rPr>
            <w:t xml:space="preserve"> (Dorland, 1901)</w:t>
          </w:r>
          <w:r w:rsidR="001D0AF3" w:rsidRPr="001D0AF3">
            <w:rPr>
              <w:shd w:val="clear" w:color="auto" w:fill="FFFFFF"/>
            </w:rPr>
            <w:fldChar w:fldCharType="end"/>
          </w:r>
        </w:sdtContent>
      </w:sdt>
      <w:r w:rsidR="00E06716" w:rsidRPr="001D0AF3">
        <w:rPr>
          <w:shd w:val="clear" w:color="auto" w:fill="FFFFFF"/>
        </w:rPr>
        <w:t>.</w:t>
      </w:r>
      <w:r w:rsidR="00363B43" w:rsidRPr="001D0AF3">
        <w:t xml:space="preserve"> </w:t>
      </w:r>
    </w:p>
    <w:p w14:paraId="09AAF8D8" w14:textId="3356B442" w:rsidR="00875473" w:rsidRDefault="00071DCF">
      <w:r>
        <w:t>A</w:t>
      </w:r>
      <w:r w:rsidR="00875473">
        <w:t xml:space="preserve"> key concept of queer theory is that it does not relate solely to homosexuality but rather disruptions of the social order thar arises when any sexuality or gender subverts and fails to conform to prior expectations or social norms</w:t>
      </w:r>
      <w:sdt>
        <w:sdtPr>
          <w:id w:val="872818624"/>
          <w:citation/>
        </w:sdtPr>
        <w:sdtEndPr/>
        <w:sdtContent>
          <w:r w:rsidR="004445DE">
            <w:fldChar w:fldCharType="begin"/>
          </w:r>
          <w:r w:rsidR="004445DE">
            <w:instrText xml:space="preserve"> CITATION Jag96 \l 2057 </w:instrText>
          </w:r>
          <w:r w:rsidR="004445DE">
            <w:fldChar w:fldCharType="separate"/>
          </w:r>
          <w:r w:rsidR="004445DE">
            <w:rPr>
              <w:noProof/>
            </w:rPr>
            <w:t xml:space="preserve"> (Jagose, 1996)</w:t>
          </w:r>
          <w:r w:rsidR="004445DE">
            <w:fldChar w:fldCharType="end"/>
          </w:r>
        </w:sdtContent>
      </w:sdt>
      <w:r w:rsidR="004445DE">
        <w:t xml:space="preserve">. </w:t>
      </w:r>
      <w:r w:rsidR="00875473">
        <w:t xml:space="preserve">Pugh argues that any sexual identity or “orientation” whether that be gay, bi or straight, represent cultural and social constructions that carry various consequences of ideology for those who are either deemed normative or perverse. By this he means that </w:t>
      </w:r>
      <w:r w:rsidR="004445DE">
        <w:t>sexuality is invented to reinforce what society believes is normal. In the modern world, this would be heteronormativity, where anything but heterosexual is seen as unusual and to some, wrong</w:t>
      </w:r>
      <w:sdt>
        <w:sdtPr>
          <w:id w:val="-1316489763"/>
          <w:citation/>
        </w:sdtPr>
        <w:sdtEndPr/>
        <w:sdtContent>
          <w:r w:rsidR="004445DE">
            <w:fldChar w:fldCharType="begin"/>
          </w:r>
          <w:r w:rsidR="004445DE">
            <w:instrText xml:space="preserve"> CITATION Dar16 \l 2057 </w:instrText>
          </w:r>
          <w:r w:rsidR="004445DE">
            <w:fldChar w:fldCharType="separate"/>
          </w:r>
          <w:r w:rsidR="004445DE">
            <w:rPr>
              <w:noProof/>
            </w:rPr>
            <w:t xml:space="preserve"> (Pugh, 2016)</w:t>
          </w:r>
          <w:r w:rsidR="004445DE">
            <w:fldChar w:fldCharType="end"/>
          </w:r>
        </w:sdtContent>
      </w:sdt>
      <w:r w:rsidR="004445DE">
        <w:t>.</w:t>
      </w:r>
    </w:p>
    <w:p w14:paraId="0942A956" w14:textId="48932E97" w:rsidR="00874044" w:rsidRDefault="00A22C1F">
      <w:r>
        <w:t xml:space="preserve">From the very beginning of Becket, </w:t>
      </w:r>
      <w:r w:rsidR="004F0B87">
        <w:t xml:space="preserve">scenes of a romantic pseudo-erotic nature are shown. The first scene, a flash-forward to the end of the movie, Henry is seen topless kneeling at Becket’s tomb, where he laments on the good days together and smiles remembering how Becket taught him everything he knew and how having him around made everything warmer. Later, when Henry comes from the bath, Becket dismissed the servant so he himself can dry the shirtless King, with Henry stating: “Nobody does it better than you Thomas” finding comfort in his </w:t>
      </w:r>
      <w:r w:rsidR="00151AB5">
        <w:t>friend’s</w:t>
      </w:r>
      <w:r w:rsidR="004F0B87">
        <w:t xml:space="preserve"> physical contact.</w:t>
      </w:r>
      <w:r w:rsidR="00151AB5">
        <w:t xml:space="preserve"> A few minutes later, he says to Becket: “I can’t bear to think of you in pain”.</w:t>
      </w:r>
    </w:p>
    <w:p w14:paraId="36970F65" w14:textId="43CF80BC" w:rsidR="004F0B87" w:rsidRDefault="004F0B87">
      <w:r>
        <w:lastRenderedPageBreak/>
        <w:t xml:space="preserve">When the pair are on a hunt and the weather turns foul, they take shelter in a farmer’s hovel and upon seeing </w:t>
      </w:r>
      <w:r w:rsidR="00525720">
        <w:t>the</w:t>
      </w:r>
      <w:r>
        <w:t xml:space="preserve"> </w:t>
      </w:r>
      <w:r w:rsidR="00525720">
        <w:t xml:space="preserve">farmer’s </w:t>
      </w:r>
      <w:r>
        <w:t xml:space="preserve">young daughter, the King wishes to claim her for his own but at Becket’s insistence, he allows his friend to have her instead. After Henry leaves however, Becket tells the girl’s father he has no intention of claiming her and pays the man in coin for his troubles. Is Becket being righteous here, or is he simply not interested in women for these matters? Well, soon after, Thomas meets with Gwendolyn, who is madly in love with him. He says to her however he says “I can never support the idea of being loved” and goes on to say he’s never loved anything or anyone. </w:t>
      </w:r>
    </w:p>
    <w:p w14:paraId="4F4E6BE4" w14:textId="4D58EC34" w:rsidR="004F0B87" w:rsidRDefault="004F0B87">
      <w:r>
        <w:t>It is in this scene that Henry enters and takes Gwendolyn for his own</w:t>
      </w:r>
      <w:r w:rsidR="00151AB5">
        <w:t>. Though to avoid being the King’s lover, she kills herself and Henry in his shock, heads to see Thomas, as he is where he finds comfort. It is this night that he asks to share Becket’s bed, as he says he does not want to be alone as he’s frightened.</w:t>
      </w:r>
      <w:r w:rsidR="00525720">
        <w:t xml:space="preserve"> Despite being married to his Queen, Henry seeks companionship and the bed of his close male confidant, a blatant display of dependency beyond the norm of friendship.</w:t>
      </w:r>
    </w:p>
    <w:p w14:paraId="694ACBAE" w14:textId="1BFA5917" w:rsidR="00151AB5" w:rsidRDefault="00151AB5">
      <w:r>
        <w:t>In the third act, Henry argues with Becket in a rather heated way about rejected feelings of love. A key repetition is that Henry uses the word love freely throughout the movie and truly shows his emotions when doing so. At the dining table, his own mother tells him that his love for Thomas is “unhealthy and unnatural” and calls it an “obsession”.</w:t>
      </w:r>
      <w:r w:rsidR="00525720">
        <w:t xml:space="preserve"> This highlight s the mother’s awareness of her son’s sexuality and the film is here directly commenting on prevailing attitudes towards same-sex relationships. In this scene however, it is framed to make us empathise and identify with Henry. We follow him around the room, he is the main character here and so his </w:t>
      </w:r>
      <w:r w:rsidR="00D10928">
        <w:t>mother’s</w:t>
      </w:r>
      <w:r w:rsidR="00525720">
        <w:t xml:space="preserve"> attitude towards him and his love are dismissed, showing a clear bias towards Henry and a dismissal of homophobic rhetoric.</w:t>
      </w:r>
    </w:p>
    <w:p w14:paraId="3A5396A8" w14:textId="5D9FE2C7" w:rsidR="00873611" w:rsidRDefault="00A96283">
      <w:r>
        <w:t xml:space="preserve">Dialogue aside, Peter Glanville, the director, uses imagery of homosexual love throughout the movie. Showing their boyish escapades together, the King having no desire to spend time with his own kin and friends, but just this man he affectionately called “My little Saxon”. </w:t>
      </w:r>
      <w:r w:rsidR="00873611">
        <w:t xml:space="preserve">A repeated element are scenes of bareback horse riding between the two men, a codified image of homosexual erotica. </w:t>
      </w:r>
      <w:r>
        <w:t>The use of phallic candles in scenes where the two of them are particularly close showing the thought put into the mis-</w:t>
      </w:r>
      <w:proofErr w:type="spellStart"/>
      <w:r>
        <w:t>en</w:t>
      </w:r>
      <w:proofErr w:type="spellEnd"/>
      <w:r>
        <w:t>-scene</w:t>
      </w:r>
      <w:sdt>
        <w:sdtPr>
          <w:id w:val="421079992"/>
          <w:citation/>
        </w:sdtPr>
        <w:sdtEndPr/>
        <w:sdtContent>
          <w:r w:rsidR="00177210">
            <w:fldChar w:fldCharType="begin"/>
          </w:r>
          <w:r w:rsidR="00177210">
            <w:instrText xml:space="preserve"> CITATION Cor01 \l 2057 </w:instrText>
          </w:r>
          <w:r w:rsidR="00177210">
            <w:fldChar w:fldCharType="separate"/>
          </w:r>
          <w:r w:rsidR="00177210">
            <w:rPr>
              <w:noProof/>
            </w:rPr>
            <w:t xml:space="preserve"> (Corrigan, 2001)</w:t>
          </w:r>
          <w:r w:rsidR="00177210">
            <w:fldChar w:fldCharType="end"/>
          </w:r>
        </w:sdtContent>
      </w:sdt>
      <w:r w:rsidR="00177210">
        <w:t>. It’s important to consider the medieval era and the acceptance of homosexuality. Though the catholic church considered homosexuality to be a sin against nature, it was rarely punished alone, rather the challenging of the views of the church ON homosexuality was, according to historian John Boswell</w:t>
      </w:r>
      <w:sdt>
        <w:sdtPr>
          <w:id w:val="377136598"/>
          <w:citation/>
        </w:sdtPr>
        <w:sdtEndPr/>
        <w:sdtContent>
          <w:r w:rsidR="00177210">
            <w:fldChar w:fldCharType="begin"/>
          </w:r>
          <w:r w:rsidR="00177210">
            <w:instrText xml:space="preserve"> CITATION Bos80 \l 2057 </w:instrText>
          </w:r>
          <w:r w:rsidR="00177210">
            <w:fldChar w:fldCharType="separate"/>
          </w:r>
          <w:r w:rsidR="00177210">
            <w:rPr>
              <w:noProof/>
            </w:rPr>
            <w:t xml:space="preserve"> (Boswell, 1980)</w:t>
          </w:r>
          <w:r w:rsidR="00177210">
            <w:fldChar w:fldCharType="end"/>
          </w:r>
        </w:sdtContent>
      </w:sdt>
      <w:r w:rsidR="00177210">
        <w:t>.</w:t>
      </w:r>
      <w:r>
        <w:t xml:space="preserve"> </w:t>
      </w:r>
    </w:p>
    <w:p w14:paraId="31797C87" w14:textId="739D213C" w:rsidR="00873611" w:rsidRDefault="00873611">
      <w:r>
        <w:t>Lighting plays a huge part in setting the romantic subtext, with the light being dimmer when the two are alone, bringing the focus to O’Toole and Burton’s faces rather than the scenery, their emotion becoming the centrepiece</w:t>
      </w:r>
      <w:r w:rsidR="00C6794A">
        <w:t xml:space="preserve"> thanks to close-up camera shots. When talking about Thomas without his presence, O’Toole makes great use of expressions, learned from his theatre days, his eyes become big and child-like and he looks one step from crying, in happiness or regret</w:t>
      </w:r>
      <w:sdt>
        <w:sdtPr>
          <w:id w:val="989365899"/>
          <w:citation/>
        </w:sdtPr>
        <w:sdtEndPr/>
        <w:sdtContent>
          <w:r w:rsidR="00C6794A">
            <w:fldChar w:fldCharType="begin"/>
          </w:r>
          <w:r w:rsidR="00C6794A">
            <w:instrText xml:space="preserve"> CITATION Cor01 \l 2057 </w:instrText>
          </w:r>
          <w:r w:rsidR="00C6794A">
            <w:fldChar w:fldCharType="separate"/>
          </w:r>
          <w:r w:rsidR="00C6794A">
            <w:rPr>
              <w:noProof/>
            </w:rPr>
            <w:t xml:space="preserve"> (Corrigan, 2001)</w:t>
          </w:r>
          <w:r w:rsidR="00C6794A">
            <w:fldChar w:fldCharType="end"/>
          </w:r>
        </w:sdtContent>
      </w:sdt>
      <w:r w:rsidR="00C6794A">
        <w:t>.</w:t>
      </w:r>
    </w:p>
    <w:p w14:paraId="2562E1C1" w14:textId="66AE64DC" w:rsidR="00873611" w:rsidRDefault="00873611">
      <w:r>
        <w:t>Thematically, the movie may appear to be about friction between crown and church, but under that, the subtext is clearly that the true theme is unrequited love. Henry is in love with Thomas and keeps him there with his power, knowing he must obey his King. Thomas who cares for the King very much does not love him the same way, but cannot outright say so. Thus, we see Burton’s portrayal of Becket go from smiling companion to a certain stoicism in the movie’s second half. His face now serious and focused</w:t>
      </w:r>
      <w:sdt>
        <w:sdtPr>
          <w:id w:val="1340047152"/>
          <w:citation/>
        </w:sdtPr>
        <w:sdtEndPr/>
        <w:sdtContent>
          <w:r w:rsidR="00C6794A">
            <w:fldChar w:fldCharType="begin"/>
          </w:r>
          <w:r w:rsidR="00C6794A">
            <w:instrText xml:space="preserve"> CITATION Cor01 \l 2057 </w:instrText>
          </w:r>
          <w:r w:rsidR="00C6794A">
            <w:fldChar w:fldCharType="separate"/>
          </w:r>
          <w:r w:rsidR="00C6794A">
            <w:rPr>
              <w:noProof/>
            </w:rPr>
            <w:t xml:space="preserve"> (Corrigan, 2001)</w:t>
          </w:r>
          <w:r w:rsidR="00C6794A">
            <w:fldChar w:fldCharType="end"/>
          </w:r>
        </w:sdtContent>
      </w:sdt>
      <w:r>
        <w:t xml:space="preserve">. </w:t>
      </w:r>
    </w:p>
    <w:p w14:paraId="21055CAE" w14:textId="61EF0A77" w:rsidR="00873611" w:rsidRDefault="00873611">
      <w:r>
        <w:t xml:space="preserve">Thomas, now Archbishop and finally having a purpose to fill the “void” where honour should be, has moved on and evolved, whereas the King has regressed. He is lost without his love, he throws tantrums, blames others and in one scene even cries, describing his heartache as a physical ailment, </w:t>
      </w:r>
      <w:r>
        <w:lastRenderedPageBreak/>
        <w:t>claiming to be “like a woman” in that he is pathetic without his man around.</w:t>
      </w:r>
      <w:r w:rsidR="00525720">
        <w:t xml:space="preserve"> He is saying being like a woman makes him weak and so self acknowledges his feeling of shame.</w:t>
      </w:r>
      <w:r>
        <w:t xml:space="preserve"> He lashes out because he has nowhere to funnel his emotions and yet has ultimate power as King. </w:t>
      </w:r>
      <w:r w:rsidR="00C6794A">
        <w:t>Henry simply doesn’t know how to put his feelings aside and move on and the one person who used to always know how to help him, is the one person who now can</w:t>
      </w:r>
      <w:r w:rsidR="00444D95">
        <w:t>no</w:t>
      </w:r>
      <w:r w:rsidR="00C6794A">
        <w:t xml:space="preserve">t. </w:t>
      </w:r>
      <w:r w:rsidR="00444D95">
        <w:t>The only solution? Becket’s death.</w:t>
      </w:r>
    </w:p>
    <w:p w14:paraId="70A0F9A5" w14:textId="2DBF1609" w:rsidR="009372B2" w:rsidRDefault="001F0977">
      <w:r w:rsidRPr="001F0977">
        <w:t>In conclusio</w:t>
      </w:r>
      <w:r>
        <w:t>n, using queer theory as a lens to analyse Becket is extremely useful. By understanding the societal norms both of the era in the movie as well as the era it was released, the sexuality of the characters really comes to life</w:t>
      </w:r>
      <w:r w:rsidR="00177210">
        <w:t xml:space="preserve"> and becomes more evident. If the movie is approached with a mindset that removes heteronormativity the theme of unrequited love</w:t>
      </w:r>
      <w:r w:rsidR="00875473">
        <w:t xml:space="preserve"> appears</w:t>
      </w:r>
      <w:r w:rsidR="00177210">
        <w:t xml:space="preserve"> far more easily.</w:t>
      </w:r>
      <w:r w:rsidR="00875473">
        <w:t xml:space="preserve"> If Becket was a woman, there would be no question of the love Henry bared her, so the romance between Henry and Thomas became subtext, simply because he happened to be male as the audience are used to a heteronormative world</w:t>
      </w:r>
      <w:sdt>
        <w:sdtPr>
          <w:id w:val="-748730176"/>
          <w:citation/>
        </w:sdtPr>
        <w:sdtEndPr/>
        <w:sdtContent>
          <w:r w:rsidR="00875473">
            <w:fldChar w:fldCharType="begin"/>
          </w:r>
          <w:r w:rsidR="00875473">
            <w:instrText xml:space="preserve"> CITATION But90 \l 2057 </w:instrText>
          </w:r>
          <w:r w:rsidR="00875473">
            <w:fldChar w:fldCharType="separate"/>
          </w:r>
          <w:r w:rsidR="00875473">
            <w:rPr>
              <w:noProof/>
            </w:rPr>
            <w:t xml:space="preserve"> (Butler, 1990)</w:t>
          </w:r>
          <w:r w:rsidR="00875473">
            <w:fldChar w:fldCharType="end"/>
          </w:r>
        </w:sdtContent>
      </w:sdt>
      <w:r w:rsidR="00875473">
        <w:t xml:space="preserve">. </w:t>
      </w:r>
    </w:p>
    <w:p w14:paraId="16BD34EF" w14:textId="77777777" w:rsidR="009372B2" w:rsidRDefault="009372B2">
      <w:r>
        <w:br w:type="page"/>
      </w:r>
    </w:p>
    <w:p w14:paraId="5AB35B36" w14:textId="77777777" w:rsidR="00D71309" w:rsidRDefault="00D71309"/>
    <w:sdt>
      <w:sdtPr>
        <w:rPr>
          <w:rFonts w:asciiTheme="minorHAnsi" w:eastAsiaTheme="minorHAnsi" w:hAnsiTheme="minorHAnsi" w:cstheme="minorBidi"/>
          <w:color w:val="auto"/>
          <w:sz w:val="22"/>
          <w:szCs w:val="22"/>
          <w:lang w:val="en-GB"/>
        </w:rPr>
        <w:id w:val="-1714722126"/>
        <w:docPartObj>
          <w:docPartGallery w:val="Bibliographies"/>
          <w:docPartUnique/>
        </w:docPartObj>
      </w:sdtPr>
      <w:sdtEndPr/>
      <w:sdtContent>
        <w:p w14:paraId="13D1D557" w14:textId="066ADE7E" w:rsidR="00D71309" w:rsidRDefault="00D71309">
          <w:pPr>
            <w:pStyle w:val="Heading1"/>
          </w:pPr>
          <w:r>
            <w:t>References</w:t>
          </w:r>
        </w:p>
        <w:sdt>
          <w:sdtPr>
            <w:id w:val="-573587230"/>
            <w:bibliography/>
          </w:sdtPr>
          <w:sdtEndPr/>
          <w:sdtContent>
            <w:p w14:paraId="10BB82E6" w14:textId="77777777" w:rsidR="00D71309" w:rsidRDefault="00D71309" w:rsidP="00D71309">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Benshoff, H. M., &amp; Griffin, S. (2005). </w:t>
              </w:r>
              <w:r>
                <w:rPr>
                  <w:i/>
                  <w:iCs/>
                  <w:noProof/>
                  <w:lang w:val="en-US"/>
                </w:rPr>
                <w:t>Queer images: A History of Gay and Lesbian Film in America.</w:t>
              </w:r>
              <w:r>
                <w:rPr>
                  <w:noProof/>
                  <w:lang w:val="en-US"/>
                </w:rPr>
                <w:t xml:space="preserve"> Rowman &amp; Littlefield Publishers, Inc.</w:t>
              </w:r>
            </w:p>
            <w:p w14:paraId="049968C8" w14:textId="77777777" w:rsidR="00D71309" w:rsidRDefault="00D71309" w:rsidP="00D71309">
              <w:pPr>
                <w:pStyle w:val="Bibliography"/>
                <w:ind w:left="720" w:hanging="720"/>
                <w:rPr>
                  <w:noProof/>
                  <w:lang w:val="en-US"/>
                </w:rPr>
              </w:pPr>
              <w:r>
                <w:rPr>
                  <w:noProof/>
                  <w:lang w:val="en-US"/>
                </w:rPr>
                <w:t xml:space="preserve">Black, G. D. (1996). </w:t>
              </w:r>
              <w:r>
                <w:rPr>
                  <w:i/>
                  <w:iCs/>
                  <w:noProof/>
                  <w:lang w:val="en-US"/>
                </w:rPr>
                <w:t>Hollywood Censored: Morality Codes, Catholics, and the Movies.</w:t>
              </w:r>
              <w:r>
                <w:rPr>
                  <w:noProof/>
                  <w:lang w:val="en-US"/>
                </w:rPr>
                <w:t xml:space="preserve"> Cambridge: Cambridge University Press.</w:t>
              </w:r>
            </w:p>
            <w:p w14:paraId="0C556F1E" w14:textId="77777777" w:rsidR="00D71309" w:rsidRDefault="00D71309" w:rsidP="00D71309">
              <w:pPr>
                <w:pStyle w:val="Bibliography"/>
                <w:ind w:left="720" w:hanging="720"/>
                <w:rPr>
                  <w:noProof/>
                  <w:lang w:val="en-US"/>
                </w:rPr>
              </w:pPr>
              <w:r>
                <w:rPr>
                  <w:noProof/>
                  <w:lang w:val="en-US"/>
                </w:rPr>
                <w:t xml:space="preserve">Boswell, J. (1980). </w:t>
              </w:r>
              <w:r>
                <w:rPr>
                  <w:i/>
                  <w:iCs/>
                  <w:noProof/>
                  <w:lang w:val="en-US"/>
                </w:rPr>
                <w:t>Christianity, Social Tolerance, and Homosexuality: Gay People in Western Europe from the Beginning of the Christian Era to the Fourteenth Century.</w:t>
              </w:r>
              <w:r>
                <w:rPr>
                  <w:noProof/>
                  <w:lang w:val="en-US"/>
                </w:rPr>
                <w:t xml:space="preserve"> Chicago: University of Chicago Press.</w:t>
              </w:r>
            </w:p>
            <w:p w14:paraId="449476B0" w14:textId="77777777" w:rsidR="00D71309" w:rsidRDefault="00D71309" w:rsidP="00D71309">
              <w:pPr>
                <w:pStyle w:val="Bibliography"/>
                <w:ind w:left="720" w:hanging="720"/>
                <w:rPr>
                  <w:noProof/>
                  <w:lang w:val="en-US"/>
                </w:rPr>
              </w:pPr>
              <w:r>
                <w:rPr>
                  <w:noProof/>
                  <w:lang w:val="en-US"/>
                </w:rPr>
                <w:t xml:space="preserve">Butler, J. (1990). </w:t>
              </w:r>
              <w:r>
                <w:rPr>
                  <w:i/>
                  <w:iCs/>
                  <w:noProof/>
                  <w:lang w:val="en-US"/>
                </w:rPr>
                <w:t>Gender Trouble: Feminism and the Subversion of Identity.</w:t>
              </w:r>
              <w:r>
                <w:rPr>
                  <w:noProof/>
                  <w:lang w:val="en-US"/>
                </w:rPr>
                <w:t xml:space="preserve"> Routledge.</w:t>
              </w:r>
            </w:p>
            <w:p w14:paraId="0E9A1EE6" w14:textId="77777777" w:rsidR="00D71309" w:rsidRDefault="00D71309" w:rsidP="00D71309">
              <w:pPr>
                <w:pStyle w:val="Bibliography"/>
                <w:ind w:left="720" w:hanging="720"/>
                <w:rPr>
                  <w:noProof/>
                  <w:lang w:val="en-US"/>
                </w:rPr>
              </w:pPr>
              <w:r>
                <w:rPr>
                  <w:noProof/>
                  <w:lang w:val="en-US"/>
                </w:rPr>
                <w:t xml:space="preserve">Corrigan, T. (2001). </w:t>
              </w:r>
              <w:r>
                <w:rPr>
                  <w:i/>
                  <w:iCs/>
                  <w:noProof/>
                  <w:lang w:val="en-US"/>
                </w:rPr>
                <w:t>A Short Guide to Writing about Film.</w:t>
              </w:r>
              <w:r>
                <w:rPr>
                  <w:noProof/>
                  <w:lang w:val="en-US"/>
                </w:rPr>
                <w:t xml:space="preserve"> Addison Wesley Longman.</w:t>
              </w:r>
            </w:p>
            <w:p w14:paraId="49A012AE" w14:textId="77777777" w:rsidR="00D71309" w:rsidRDefault="00D71309" w:rsidP="00D71309">
              <w:pPr>
                <w:pStyle w:val="Bibliography"/>
                <w:ind w:left="720" w:hanging="720"/>
                <w:rPr>
                  <w:noProof/>
                  <w:lang w:val="en-US"/>
                </w:rPr>
              </w:pPr>
              <w:r>
                <w:rPr>
                  <w:noProof/>
                  <w:lang w:val="en-US"/>
                </w:rPr>
                <w:t xml:space="preserve">Dorland, W. A. (1901). </w:t>
              </w:r>
              <w:r>
                <w:rPr>
                  <w:i/>
                  <w:iCs/>
                  <w:noProof/>
                  <w:lang w:val="en-US"/>
                </w:rPr>
                <w:t>The American Illustrated Medical Dictionary.</w:t>
              </w:r>
              <w:r>
                <w:rPr>
                  <w:noProof/>
                  <w:lang w:val="en-US"/>
                </w:rPr>
                <w:t xml:space="preserve"> Philadelphia: W.B. Saunders.</w:t>
              </w:r>
            </w:p>
            <w:p w14:paraId="1CF96EBC" w14:textId="77777777" w:rsidR="00D71309" w:rsidRDefault="00D71309" w:rsidP="00D71309">
              <w:pPr>
                <w:pStyle w:val="Bibliography"/>
                <w:ind w:left="720" w:hanging="720"/>
                <w:rPr>
                  <w:noProof/>
                  <w:lang w:val="en-US"/>
                </w:rPr>
              </w:pPr>
              <w:r>
                <w:rPr>
                  <w:noProof/>
                  <w:lang w:val="en-US"/>
                </w:rPr>
                <w:t xml:space="preserve">Foucault, M. (1978). </w:t>
              </w:r>
              <w:r>
                <w:rPr>
                  <w:i/>
                  <w:iCs/>
                  <w:noProof/>
                  <w:lang w:val="en-US"/>
                </w:rPr>
                <w:t>The Will to Knowledge : The History of Sexuality: 1.</w:t>
              </w:r>
              <w:r>
                <w:rPr>
                  <w:noProof/>
                  <w:lang w:val="en-US"/>
                </w:rPr>
                <w:t xml:space="preserve"> St Ives: Penguin.</w:t>
              </w:r>
            </w:p>
            <w:p w14:paraId="2819EDC0" w14:textId="77777777" w:rsidR="00D71309" w:rsidRDefault="00D71309" w:rsidP="00D71309">
              <w:pPr>
                <w:pStyle w:val="Bibliography"/>
                <w:ind w:left="720" w:hanging="720"/>
                <w:rPr>
                  <w:noProof/>
                  <w:lang w:val="en-US"/>
                </w:rPr>
              </w:pPr>
              <w:r>
                <w:rPr>
                  <w:noProof/>
                  <w:lang w:val="en-US"/>
                </w:rPr>
                <w:t xml:space="preserve">Gilbert, N. (2013). </w:t>
              </w:r>
              <w:r>
                <w:rPr>
                  <w:i/>
                  <w:iCs/>
                  <w:noProof/>
                  <w:lang w:val="en-US"/>
                </w:rPr>
                <w:t>Better Left Unsaid: Victorian Novels, Hays Code Films, and the Benefits of Censorship.</w:t>
              </w:r>
              <w:r>
                <w:rPr>
                  <w:noProof/>
                  <w:lang w:val="en-US"/>
                </w:rPr>
                <w:t xml:space="preserve"> Stanford University Press.</w:t>
              </w:r>
            </w:p>
            <w:p w14:paraId="05C2B539" w14:textId="77777777" w:rsidR="00D71309" w:rsidRDefault="00D71309" w:rsidP="00D71309">
              <w:pPr>
                <w:pStyle w:val="Bibliography"/>
                <w:ind w:left="720" w:hanging="720"/>
                <w:rPr>
                  <w:noProof/>
                  <w:lang w:val="en-US"/>
                </w:rPr>
              </w:pPr>
              <w:r>
                <w:rPr>
                  <w:noProof/>
                  <w:lang w:val="en-US"/>
                </w:rPr>
                <w:t xml:space="preserve">Glenville, P. (Director). (1964). </w:t>
              </w:r>
              <w:r>
                <w:rPr>
                  <w:i/>
                  <w:iCs/>
                  <w:noProof/>
                  <w:lang w:val="en-US"/>
                </w:rPr>
                <w:t>Becket</w:t>
              </w:r>
              <w:r>
                <w:rPr>
                  <w:noProof/>
                  <w:lang w:val="en-US"/>
                </w:rPr>
                <w:t xml:space="preserve"> [Motion Picture].</w:t>
              </w:r>
            </w:p>
            <w:p w14:paraId="19AEF05A" w14:textId="77777777" w:rsidR="00D71309" w:rsidRDefault="00D71309" w:rsidP="00D71309">
              <w:pPr>
                <w:pStyle w:val="Bibliography"/>
                <w:ind w:left="720" w:hanging="720"/>
                <w:rPr>
                  <w:noProof/>
                  <w:lang w:val="en-US"/>
                </w:rPr>
              </w:pPr>
              <w:r>
                <w:rPr>
                  <w:noProof/>
                  <w:lang w:val="en-US"/>
                </w:rPr>
                <w:t xml:space="preserve">Jagose, A. (1996). </w:t>
              </w:r>
              <w:r>
                <w:rPr>
                  <w:i/>
                  <w:iCs/>
                  <w:noProof/>
                  <w:lang w:val="en-US"/>
                </w:rPr>
                <w:t>Queer Theory: An introduction.</w:t>
              </w:r>
              <w:r>
                <w:rPr>
                  <w:noProof/>
                  <w:lang w:val="en-US"/>
                </w:rPr>
                <w:t xml:space="preserve"> New York: New York Univesity Press.</w:t>
              </w:r>
            </w:p>
            <w:p w14:paraId="6747595A" w14:textId="77777777" w:rsidR="00D71309" w:rsidRDefault="00D71309" w:rsidP="00D71309">
              <w:pPr>
                <w:pStyle w:val="Bibliography"/>
                <w:ind w:left="720" w:hanging="720"/>
                <w:rPr>
                  <w:noProof/>
                  <w:lang w:val="en-US"/>
                </w:rPr>
              </w:pPr>
              <w:r>
                <w:rPr>
                  <w:noProof/>
                  <w:lang w:val="en-US"/>
                </w:rPr>
                <w:t xml:space="preserve">Kubrick, S. (Director). (1960). </w:t>
              </w:r>
              <w:r>
                <w:rPr>
                  <w:i/>
                  <w:iCs/>
                  <w:noProof/>
                  <w:lang w:val="en-US"/>
                </w:rPr>
                <w:t>Spartacus</w:t>
              </w:r>
              <w:r>
                <w:rPr>
                  <w:noProof/>
                  <w:lang w:val="en-US"/>
                </w:rPr>
                <w:t xml:space="preserve"> [Motion Picture].</w:t>
              </w:r>
            </w:p>
            <w:p w14:paraId="373BB56D" w14:textId="77777777" w:rsidR="00D71309" w:rsidRDefault="00D71309" w:rsidP="00D71309">
              <w:pPr>
                <w:pStyle w:val="Bibliography"/>
                <w:ind w:left="720" w:hanging="720"/>
                <w:rPr>
                  <w:noProof/>
                  <w:lang w:val="en-US"/>
                </w:rPr>
              </w:pPr>
              <w:r>
                <w:rPr>
                  <w:noProof/>
                  <w:lang w:val="en-US"/>
                </w:rPr>
                <w:t xml:space="preserve">Pugh, T. (2016). Queer Medievalisms. In L. D'arcens, </w:t>
              </w:r>
              <w:r>
                <w:rPr>
                  <w:i/>
                  <w:iCs/>
                  <w:noProof/>
                  <w:lang w:val="en-US"/>
                </w:rPr>
                <w:t>The Cambridge Companion to Medievalism.</w:t>
              </w:r>
              <w:r>
                <w:rPr>
                  <w:noProof/>
                  <w:lang w:val="en-US"/>
                </w:rPr>
                <w:t xml:space="preserve"> University of Cambridge Press.</w:t>
              </w:r>
            </w:p>
            <w:p w14:paraId="08ABE760" w14:textId="77777777" w:rsidR="00D71309" w:rsidRDefault="00D71309" w:rsidP="00D71309">
              <w:pPr>
                <w:pStyle w:val="Bibliography"/>
                <w:ind w:left="720" w:hanging="720"/>
                <w:rPr>
                  <w:noProof/>
                  <w:lang w:val="en-US"/>
                </w:rPr>
              </w:pPr>
              <w:r>
                <w:rPr>
                  <w:noProof/>
                  <w:lang w:val="en-US"/>
                </w:rPr>
                <w:t xml:space="preserve">Sullivan, N. (2003). </w:t>
              </w:r>
              <w:r>
                <w:rPr>
                  <w:i/>
                  <w:iCs/>
                  <w:noProof/>
                  <w:lang w:val="en-US"/>
                </w:rPr>
                <w:t>A Critical Introduction to Queer Theory.</w:t>
              </w:r>
              <w:r>
                <w:rPr>
                  <w:noProof/>
                  <w:lang w:val="en-US"/>
                </w:rPr>
                <w:t xml:space="preserve"> Edinburgh: Edinburgh University Press.</w:t>
              </w:r>
            </w:p>
            <w:p w14:paraId="73F21589" w14:textId="329E8541" w:rsidR="00D71309" w:rsidRDefault="00D71309" w:rsidP="00D71309">
              <w:r>
                <w:rPr>
                  <w:b/>
                  <w:bCs/>
                  <w:noProof/>
                </w:rPr>
                <w:fldChar w:fldCharType="end"/>
              </w:r>
            </w:p>
          </w:sdtContent>
        </w:sdt>
      </w:sdtContent>
    </w:sdt>
    <w:p w14:paraId="1910EDE4" w14:textId="77777777" w:rsidR="004445DE" w:rsidRPr="001F0977" w:rsidRDefault="004445DE"/>
    <w:sectPr w:rsidR="004445DE" w:rsidRPr="001F09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2F56969"/>
    <w:multiLevelType w:val="hybridMultilevel"/>
    <w:tmpl w:val="5E1833CC"/>
    <w:lvl w:ilvl="0" w:tplc="2AFC8A70">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416A"/>
    <w:rsid w:val="00071DCF"/>
    <w:rsid w:val="000E18A5"/>
    <w:rsid w:val="00102A73"/>
    <w:rsid w:val="00151AB5"/>
    <w:rsid w:val="0016132B"/>
    <w:rsid w:val="00177210"/>
    <w:rsid w:val="001D0AF3"/>
    <w:rsid w:val="001E4DF2"/>
    <w:rsid w:val="001F0977"/>
    <w:rsid w:val="00237A9A"/>
    <w:rsid w:val="00257961"/>
    <w:rsid w:val="00363B43"/>
    <w:rsid w:val="004445DE"/>
    <w:rsid w:val="00444D95"/>
    <w:rsid w:val="004F0B87"/>
    <w:rsid w:val="00525720"/>
    <w:rsid w:val="005321E0"/>
    <w:rsid w:val="006414E1"/>
    <w:rsid w:val="00652CCC"/>
    <w:rsid w:val="00756DE0"/>
    <w:rsid w:val="007E416A"/>
    <w:rsid w:val="00837D4B"/>
    <w:rsid w:val="00873611"/>
    <w:rsid w:val="00874044"/>
    <w:rsid w:val="00875473"/>
    <w:rsid w:val="009372B2"/>
    <w:rsid w:val="009761FE"/>
    <w:rsid w:val="00A22C1F"/>
    <w:rsid w:val="00A465FD"/>
    <w:rsid w:val="00A96283"/>
    <w:rsid w:val="00C61036"/>
    <w:rsid w:val="00C6794A"/>
    <w:rsid w:val="00CA1F36"/>
    <w:rsid w:val="00D10928"/>
    <w:rsid w:val="00D55E3A"/>
    <w:rsid w:val="00D71309"/>
    <w:rsid w:val="00D8333D"/>
    <w:rsid w:val="00DB1DE6"/>
    <w:rsid w:val="00DE71BE"/>
    <w:rsid w:val="00DF0EA6"/>
    <w:rsid w:val="00E013F6"/>
    <w:rsid w:val="00E06716"/>
    <w:rsid w:val="00E54717"/>
    <w:rsid w:val="00EB5045"/>
    <w:rsid w:val="00F02690"/>
    <w:rsid w:val="00FE17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580E6C"/>
  <w15:chartTrackingRefBased/>
  <w15:docId w15:val="{11E20948-A1F7-423E-95B2-9B0B670C82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628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63B43"/>
    <w:pPr>
      <w:ind w:left="720"/>
      <w:contextualSpacing/>
    </w:pPr>
  </w:style>
  <w:style w:type="character" w:customStyle="1" w:styleId="Heading1Char">
    <w:name w:val="Heading 1 Char"/>
    <w:basedOn w:val="DefaultParagraphFont"/>
    <w:link w:val="Heading1"/>
    <w:uiPriority w:val="9"/>
    <w:rsid w:val="00A9628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96283"/>
  </w:style>
  <w:style w:type="character" w:styleId="CommentReference">
    <w:name w:val="annotation reference"/>
    <w:basedOn w:val="DefaultParagraphFont"/>
    <w:uiPriority w:val="99"/>
    <w:semiHidden/>
    <w:unhideWhenUsed/>
    <w:rsid w:val="00444D95"/>
    <w:rPr>
      <w:sz w:val="16"/>
      <w:szCs w:val="16"/>
    </w:rPr>
  </w:style>
  <w:style w:type="paragraph" w:styleId="CommentText">
    <w:name w:val="annotation text"/>
    <w:basedOn w:val="Normal"/>
    <w:link w:val="CommentTextChar"/>
    <w:uiPriority w:val="99"/>
    <w:semiHidden/>
    <w:unhideWhenUsed/>
    <w:rsid w:val="00444D95"/>
    <w:pPr>
      <w:spacing w:line="240" w:lineRule="auto"/>
    </w:pPr>
    <w:rPr>
      <w:sz w:val="20"/>
      <w:szCs w:val="20"/>
    </w:rPr>
  </w:style>
  <w:style w:type="character" w:customStyle="1" w:styleId="CommentTextChar">
    <w:name w:val="Comment Text Char"/>
    <w:basedOn w:val="DefaultParagraphFont"/>
    <w:link w:val="CommentText"/>
    <w:uiPriority w:val="99"/>
    <w:semiHidden/>
    <w:rsid w:val="00444D95"/>
    <w:rPr>
      <w:sz w:val="20"/>
      <w:szCs w:val="20"/>
    </w:rPr>
  </w:style>
  <w:style w:type="paragraph" w:styleId="CommentSubject">
    <w:name w:val="annotation subject"/>
    <w:basedOn w:val="CommentText"/>
    <w:next w:val="CommentText"/>
    <w:link w:val="CommentSubjectChar"/>
    <w:uiPriority w:val="99"/>
    <w:semiHidden/>
    <w:unhideWhenUsed/>
    <w:rsid w:val="00444D95"/>
    <w:rPr>
      <w:b/>
      <w:bCs/>
    </w:rPr>
  </w:style>
  <w:style w:type="character" w:customStyle="1" w:styleId="CommentSubjectChar">
    <w:name w:val="Comment Subject Char"/>
    <w:basedOn w:val="CommentTextChar"/>
    <w:link w:val="CommentSubject"/>
    <w:uiPriority w:val="99"/>
    <w:semiHidden/>
    <w:rsid w:val="00444D95"/>
    <w:rPr>
      <w:b/>
      <w:bCs/>
      <w:sz w:val="20"/>
      <w:szCs w:val="20"/>
    </w:rPr>
  </w:style>
  <w:style w:type="paragraph" w:styleId="BalloonText">
    <w:name w:val="Balloon Text"/>
    <w:basedOn w:val="Normal"/>
    <w:link w:val="BalloonTextChar"/>
    <w:uiPriority w:val="99"/>
    <w:semiHidden/>
    <w:unhideWhenUsed/>
    <w:rsid w:val="00444D9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44D9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344693">
      <w:bodyDiv w:val="1"/>
      <w:marLeft w:val="0"/>
      <w:marRight w:val="0"/>
      <w:marTop w:val="0"/>
      <w:marBottom w:val="0"/>
      <w:divBdr>
        <w:top w:val="none" w:sz="0" w:space="0" w:color="auto"/>
        <w:left w:val="none" w:sz="0" w:space="0" w:color="auto"/>
        <w:bottom w:val="none" w:sz="0" w:space="0" w:color="auto"/>
        <w:right w:val="none" w:sz="0" w:space="0" w:color="auto"/>
      </w:divBdr>
    </w:div>
    <w:div w:id="129396763">
      <w:bodyDiv w:val="1"/>
      <w:marLeft w:val="0"/>
      <w:marRight w:val="0"/>
      <w:marTop w:val="0"/>
      <w:marBottom w:val="0"/>
      <w:divBdr>
        <w:top w:val="none" w:sz="0" w:space="0" w:color="auto"/>
        <w:left w:val="none" w:sz="0" w:space="0" w:color="auto"/>
        <w:bottom w:val="none" w:sz="0" w:space="0" w:color="auto"/>
        <w:right w:val="none" w:sz="0" w:space="0" w:color="auto"/>
      </w:divBdr>
    </w:div>
    <w:div w:id="141893445">
      <w:bodyDiv w:val="1"/>
      <w:marLeft w:val="0"/>
      <w:marRight w:val="0"/>
      <w:marTop w:val="0"/>
      <w:marBottom w:val="0"/>
      <w:divBdr>
        <w:top w:val="none" w:sz="0" w:space="0" w:color="auto"/>
        <w:left w:val="none" w:sz="0" w:space="0" w:color="auto"/>
        <w:bottom w:val="none" w:sz="0" w:space="0" w:color="auto"/>
        <w:right w:val="none" w:sz="0" w:space="0" w:color="auto"/>
      </w:divBdr>
    </w:div>
    <w:div w:id="357315769">
      <w:bodyDiv w:val="1"/>
      <w:marLeft w:val="0"/>
      <w:marRight w:val="0"/>
      <w:marTop w:val="0"/>
      <w:marBottom w:val="0"/>
      <w:divBdr>
        <w:top w:val="none" w:sz="0" w:space="0" w:color="auto"/>
        <w:left w:val="none" w:sz="0" w:space="0" w:color="auto"/>
        <w:bottom w:val="none" w:sz="0" w:space="0" w:color="auto"/>
        <w:right w:val="none" w:sz="0" w:space="0" w:color="auto"/>
      </w:divBdr>
    </w:div>
    <w:div w:id="358165116">
      <w:bodyDiv w:val="1"/>
      <w:marLeft w:val="0"/>
      <w:marRight w:val="0"/>
      <w:marTop w:val="0"/>
      <w:marBottom w:val="0"/>
      <w:divBdr>
        <w:top w:val="none" w:sz="0" w:space="0" w:color="auto"/>
        <w:left w:val="none" w:sz="0" w:space="0" w:color="auto"/>
        <w:bottom w:val="none" w:sz="0" w:space="0" w:color="auto"/>
        <w:right w:val="none" w:sz="0" w:space="0" w:color="auto"/>
      </w:divBdr>
    </w:div>
    <w:div w:id="370350582">
      <w:bodyDiv w:val="1"/>
      <w:marLeft w:val="0"/>
      <w:marRight w:val="0"/>
      <w:marTop w:val="0"/>
      <w:marBottom w:val="0"/>
      <w:divBdr>
        <w:top w:val="none" w:sz="0" w:space="0" w:color="auto"/>
        <w:left w:val="none" w:sz="0" w:space="0" w:color="auto"/>
        <w:bottom w:val="none" w:sz="0" w:space="0" w:color="auto"/>
        <w:right w:val="none" w:sz="0" w:space="0" w:color="auto"/>
      </w:divBdr>
    </w:div>
    <w:div w:id="385447758">
      <w:bodyDiv w:val="1"/>
      <w:marLeft w:val="0"/>
      <w:marRight w:val="0"/>
      <w:marTop w:val="0"/>
      <w:marBottom w:val="0"/>
      <w:divBdr>
        <w:top w:val="none" w:sz="0" w:space="0" w:color="auto"/>
        <w:left w:val="none" w:sz="0" w:space="0" w:color="auto"/>
        <w:bottom w:val="none" w:sz="0" w:space="0" w:color="auto"/>
        <w:right w:val="none" w:sz="0" w:space="0" w:color="auto"/>
      </w:divBdr>
    </w:div>
    <w:div w:id="424619988">
      <w:bodyDiv w:val="1"/>
      <w:marLeft w:val="0"/>
      <w:marRight w:val="0"/>
      <w:marTop w:val="0"/>
      <w:marBottom w:val="0"/>
      <w:divBdr>
        <w:top w:val="none" w:sz="0" w:space="0" w:color="auto"/>
        <w:left w:val="none" w:sz="0" w:space="0" w:color="auto"/>
        <w:bottom w:val="none" w:sz="0" w:space="0" w:color="auto"/>
        <w:right w:val="none" w:sz="0" w:space="0" w:color="auto"/>
      </w:divBdr>
    </w:div>
    <w:div w:id="430131123">
      <w:bodyDiv w:val="1"/>
      <w:marLeft w:val="0"/>
      <w:marRight w:val="0"/>
      <w:marTop w:val="0"/>
      <w:marBottom w:val="0"/>
      <w:divBdr>
        <w:top w:val="none" w:sz="0" w:space="0" w:color="auto"/>
        <w:left w:val="none" w:sz="0" w:space="0" w:color="auto"/>
        <w:bottom w:val="none" w:sz="0" w:space="0" w:color="auto"/>
        <w:right w:val="none" w:sz="0" w:space="0" w:color="auto"/>
      </w:divBdr>
    </w:div>
    <w:div w:id="691035763">
      <w:bodyDiv w:val="1"/>
      <w:marLeft w:val="0"/>
      <w:marRight w:val="0"/>
      <w:marTop w:val="0"/>
      <w:marBottom w:val="0"/>
      <w:divBdr>
        <w:top w:val="none" w:sz="0" w:space="0" w:color="auto"/>
        <w:left w:val="none" w:sz="0" w:space="0" w:color="auto"/>
        <w:bottom w:val="none" w:sz="0" w:space="0" w:color="auto"/>
        <w:right w:val="none" w:sz="0" w:space="0" w:color="auto"/>
      </w:divBdr>
    </w:div>
    <w:div w:id="731856918">
      <w:bodyDiv w:val="1"/>
      <w:marLeft w:val="0"/>
      <w:marRight w:val="0"/>
      <w:marTop w:val="0"/>
      <w:marBottom w:val="0"/>
      <w:divBdr>
        <w:top w:val="none" w:sz="0" w:space="0" w:color="auto"/>
        <w:left w:val="none" w:sz="0" w:space="0" w:color="auto"/>
        <w:bottom w:val="none" w:sz="0" w:space="0" w:color="auto"/>
        <w:right w:val="none" w:sz="0" w:space="0" w:color="auto"/>
      </w:divBdr>
    </w:div>
    <w:div w:id="745539865">
      <w:bodyDiv w:val="1"/>
      <w:marLeft w:val="0"/>
      <w:marRight w:val="0"/>
      <w:marTop w:val="0"/>
      <w:marBottom w:val="0"/>
      <w:divBdr>
        <w:top w:val="none" w:sz="0" w:space="0" w:color="auto"/>
        <w:left w:val="none" w:sz="0" w:space="0" w:color="auto"/>
        <w:bottom w:val="none" w:sz="0" w:space="0" w:color="auto"/>
        <w:right w:val="none" w:sz="0" w:space="0" w:color="auto"/>
      </w:divBdr>
    </w:div>
    <w:div w:id="838883493">
      <w:bodyDiv w:val="1"/>
      <w:marLeft w:val="0"/>
      <w:marRight w:val="0"/>
      <w:marTop w:val="0"/>
      <w:marBottom w:val="0"/>
      <w:divBdr>
        <w:top w:val="none" w:sz="0" w:space="0" w:color="auto"/>
        <w:left w:val="none" w:sz="0" w:space="0" w:color="auto"/>
        <w:bottom w:val="none" w:sz="0" w:space="0" w:color="auto"/>
        <w:right w:val="none" w:sz="0" w:space="0" w:color="auto"/>
      </w:divBdr>
    </w:div>
    <w:div w:id="843058099">
      <w:bodyDiv w:val="1"/>
      <w:marLeft w:val="0"/>
      <w:marRight w:val="0"/>
      <w:marTop w:val="0"/>
      <w:marBottom w:val="0"/>
      <w:divBdr>
        <w:top w:val="none" w:sz="0" w:space="0" w:color="auto"/>
        <w:left w:val="none" w:sz="0" w:space="0" w:color="auto"/>
        <w:bottom w:val="none" w:sz="0" w:space="0" w:color="auto"/>
        <w:right w:val="none" w:sz="0" w:space="0" w:color="auto"/>
      </w:divBdr>
    </w:div>
    <w:div w:id="913588835">
      <w:bodyDiv w:val="1"/>
      <w:marLeft w:val="0"/>
      <w:marRight w:val="0"/>
      <w:marTop w:val="0"/>
      <w:marBottom w:val="0"/>
      <w:divBdr>
        <w:top w:val="none" w:sz="0" w:space="0" w:color="auto"/>
        <w:left w:val="none" w:sz="0" w:space="0" w:color="auto"/>
        <w:bottom w:val="none" w:sz="0" w:space="0" w:color="auto"/>
        <w:right w:val="none" w:sz="0" w:space="0" w:color="auto"/>
      </w:divBdr>
    </w:div>
    <w:div w:id="913928060">
      <w:bodyDiv w:val="1"/>
      <w:marLeft w:val="0"/>
      <w:marRight w:val="0"/>
      <w:marTop w:val="0"/>
      <w:marBottom w:val="0"/>
      <w:divBdr>
        <w:top w:val="none" w:sz="0" w:space="0" w:color="auto"/>
        <w:left w:val="none" w:sz="0" w:space="0" w:color="auto"/>
        <w:bottom w:val="none" w:sz="0" w:space="0" w:color="auto"/>
        <w:right w:val="none" w:sz="0" w:space="0" w:color="auto"/>
      </w:divBdr>
    </w:div>
    <w:div w:id="923808322">
      <w:bodyDiv w:val="1"/>
      <w:marLeft w:val="0"/>
      <w:marRight w:val="0"/>
      <w:marTop w:val="0"/>
      <w:marBottom w:val="0"/>
      <w:divBdr>
        <w:top w:val="none" w:sz="0" w:space="0" w:color="auto"/>
        <w:left w:val="none" w:sz="0" w:space="0" w:color="auto"/>
        <w:bottom w:val="none" w:sz="0" w:space="0" w:color="auto"/>
        <w:right w:val="none" w:sz="0" w:space="0" w:color="auto"/>
      </w:divBdr>
    </w:div>
    <w:div w:id="924724629">
      <w:bodyDiv w:val="1"/>
      <w:marLeft w:val="0"/>
      <w:marRight w:val="0"/>
      <w:marTop w:val="0"/>
      <w:marBottom w:val="0"/>
      <w:divBdr>
        <w:top w:val="none" w:sz="0" w:space="0" w:color="auto"/>
        <w:left w:val="none" w:sz="0" w:space="0" w:color="auto"/>
        <w:bottom w:val="none" w:sz="0" w:space="0" w:color="auto"/>
        <w:right w:val="none" w:sz="0" w:space="0" w:color="auto"/>
      </w:divBdr>
    </w:div>
    <w:div w:id="1125656953">
      <w:bodyDiv w:val="1"/>
      <w:marLeft w:val="0"/>
      <w:marRight w:val="0"/>
      <w:marTop w:val="0"/>
      <w:marBottom w:val="0"/>
      <w:divBdr>
        <w:top w:val="none" w:sz="0" w:space="0" w:color="auto"/>
        <w:left w:val="none" w:sz="0" w:space="0" w:color="auto"/>
        <w:bottom w:val="none" w:sz="0" w:space="0" w:color="auto"/>
        <w:right w:val="none" w:sz="0" w:space="0" w:color="auto"/>
      </w:divBdr>
    </w:div>
    <w:div w:id="1239827052">
      <w:bodyDiv w:val="1"/>
      <w:marLeft w:val="0"/>
      <w:marRight w:val="0"/>
      <w:marTop w:val="0"/>
      <w:marBottom w:val="0"/>
      <w:divBdr>
        <w:top w:val="none" w:sz="0" w:space="0" w:color="auto"/>
        <w:left w:val="none" w:sz="0" w:space="0" w:color="auto"/>
        <w:bottom w:val="none" w:sz="0" w:space="0" w:color="auto"/>
        <w:right w:val="none" w:sz="0" w:space="0" w:color="auto"/>
      </w:divBdr>
    </w:div>
    <w:div w:id="1256481432">
      <w:bodyDiv w:val="1"/>
      <w:marLeft w:val="0"/>
      <w:marRight w:val="0"/>
      <w:marTop w:val="0"/>
      <w:marBottom w:val="0"/>
      <w:divBdr>
        <w:top w:val="none" w:sz="0" w:space="0" w:color="auto"/>
        <w:left w:val="none" w:sz="0" w:space="0" w:color="auto"/>
        <w:bottom w:val="none" w:sz="0" w:space="0" w:color="auto"/>
        <w:right w:val="none" w:sz="0" w:space="0" w:color="auto"/>
      </w:divBdr>
    </w:div>
    <w:div w:id="1292635636">
      <w:bodyDiv w:val="1"/>
      <w:marLeft w:val="0"/>
      <w:marRight w:val="0"/>
      <w:marTop w:val="0"/>
      <w:marBottom w:val="0"/>
      <w:divBdr>
        <w:top w:val="none" w:sz="0" w:space="0" w:color="auto"/>
        <w:left w:val="none" w:sz="0" w:space="0" w:color="auto"/>
        <w:bottom w:val="none" w:sz="0" w:space="0" w:color="auto"/>
        <w:right w:val="none" w:sz="0" w:space="0" w:color="auto"/>
      </w:divBdr>
    </w:div>
    <w:div w:id="1340696434">
      <w:bodyDiv w:val="1"/>
      <w:marLeft w:val="0"/>
      <w:marRight w:val="0"/>
      <w:marTop w:val="0"/>
      <w:marBottom w:val="0"/>
      <w:divBdr>
        <w:top w:val="none" w:sz="0" w:space="0" w:color="auto"/>
        <w:left w:val="none" w:sz="0" w:space="0" w:color="auto"/>
        <w:bottom w:val="none" w:sz="0" w:space="0" w:color="auto"/>
        <w:right w:val="none" w:sz="0" w:space="0" w:color="auto"/>
      </w:divBdr>
    </w:div>
    <w:div w:id="1376850107">
      <w:bodyDiv w:val="1"/>
      <w:marLeft w:val="0"/>
      <w:marRight w:val="0"/>
      <w:marTop w:val="0"/>
      <w:marBottom w:val="0"/>
      <w:divBdr>
        <w:top w:val="none" w:sz="0" w:space="0" w:color="auto"/>
        <w:left w:val="none" w:sz="0" w:space="0" w:color="auto"/>
        <w:bottom w:val="none" w:sz="0" w:space="0" w:color="auto"/>
        <w:right w:val="none" w:sz="0" w:space="0" w:color="auto"/>
      </w:divBdr>
    </w:div>
    <w:div w:id="1393500364">
      <w:bodyDiv w:val="1"/>
      <w:marLeft w:val="0"/>
      <w:marRight w:val="0"/>
      <w:marTop w:val="0"/>
      <w:marBottom w:val="0"/>
      <w:divBdr>
        <w:top w:val="none" w:sz="0" w:space="0" w:color="auto"/>
        <w:left w:val="none" w:sz="0" w:space="0" w:color="auto"/>
        <w:bottom w:val="none" w:sz="0" w:space="0" w:color="auto"/>
        <w:right w:val="none" w:sz="0" w:space="0" w:color="auto"/>
      </w:divBdr>
    </w:div>
    <w:div w:id="1550141999">
      <w:bodyDiv w:val="1"/>
      <w:marLeft w:val="0"/>
      <w:marRight w:val="0"/>
      <w:marTop w:val="0"/>
      <w:marBottom w:val="0"/>
      <w:divBdr>
        <w:top w:val="none" w:sz="0" w:space="0" w:color="auto"/>
        <w:left w:val="none" w:sz="0" w:space="0" w:color="auto"/>
        <w:bottom w:val="none" w:sz="0" w:space="0" w:color="auto"/>
        <w:right w:val="none" w:sz="0" w:space="0" w:color="auto"/>
      </w:divBdr>
    </w:div>
    <w:div w:id="1561865616">
      <w:bodyDiv w:val="1"/>
      <w:marLeft w:val="0"/>
      <w:marRight w:val="0"/>
      <w:marTop w:val="0"/>
      <w:marBottom w:val="0"/>
      <w:divBdr>
        <w:top w:val="none" w:sz="0" w:space="0" w:color="auto"/>
        <w:left w:val="none" w:sz="0" w:space="0" w:color="auto"/>
        <w:bottom w:val="none" w:sz="0" w:space="0" w:color="auto"/>
        <w:right w:val="none" w:sz="0" w:space="0" w:color="auto"/>
      </w:divBdr>
    </w:div>
    <w:div w:id="1566380394">
      <w:bodyDiv w:val="1"/>
      <w:marLeft w:val="0"/>
      <w:marRight w:val="0"/>
      <w:marTop w:val="0"/>
      <w:marBottom w:val="0"/>
      <w:divBdr>
        <w:top w:val="none" w:sz="0" w:space="0" w:color="auto"/>
        <w:left w:val="none" w:sz="0" w:space="0" w:color="auto"/>
        <w:bottom w:val="none" w:sz="0" w:space="0" w:color="auto"/>
        <w:right w:val="none" w:sz="0" w:space="0" w:color="auto"/>
      </w:divBdr>
    </w:div>
    <w:div w:id="1594970474">
      <w:bodyDiv w:val="1"/>
      <w:marLeft w:val="0"/>
      <w:marRight w:val="0"/>
      <w:marTop w:val="0"/>
      <w:marBottom w:val="0"/>
      <w:divBdr>
        <w:top w:val="none" w:sz="0" w:space="0" w:color="auto"/>
        <w:left w:val="none" w:sz="0" w:space="0" w:color="auto"/>
        <w:bottom w:val="none" w:sz="0" w:space="0" w:color="auto"/>
        <w:right w:val="none" w:sz="0" w:space="0" w:color="auto"/>
      </w:divBdr>
    </w:div>
    <w:div w:id="1743061134">
      <w:bodyDiv w:val="1"/>
      <w:marLeft w:val="0"/>
      <w:marRight w:val="0"/>
      <w:marTop w:val="0"/>
      <w:marBottom w:val="0"/>
      <w:divBdr>
        <w:top w:val="none" w:sz="0" w:space="0" w:color="auto"/>
        <w:left w:val="none" w:sz="0" w:space="0" w:color="auto"/>
        <w:bottom w:val="none" w:sz="0" w:space="0" w:color="auto"/>
        <w:right w:val="none" w:sz="0" w:space="0" w:color="auto"/>
      </w:divBdr>
    </w:div>
    <w:div w:id="2100521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Ben05</b:Tag>
    <b:SourceType>Book</b:SourceType>
    <b:Guid>{9015F472-7AF9-43DE-935B-60BB09205037}</b:Guid>
    <b:Title>Queer images: A History of Gay and Lesbian Film in America</b:Title>
    <b:Year>2005</b:Year>
    <b:Publisher>Rowman &amp; Littlefield Publishers, Inc</b:Publisher>
    <b:Author>
      <b:Author>
        <b:NameList>
          <b:Person>
            <b:Last>Benshoff</b:Last>
            <b:Middle>M</b:Middle>
            <b:First>Harry</b:First>
          </b:Person>
          <b:Person>
            <b:Last>Griffin</b:Last>
            <b:First>Sean</b:First>
          </b:Person>
        </b:NameList>
      </b:Author>
    </b:Author>
    <b:RefOrder>1</b:RefOrder>
  </b:Source>
  <b:Source>
    <b:Tag>Gle64</b:Tag>
    <b:SourceType>Film</b:SourceType>
    <b:Guid>{9BB37BC8-C32C-481C-814E-58F5A2560B23}</b:Guid>
    <b:Title>Becket</b:Title>
    <b:Year>1964</b:Year>
    <b:Author>
      <b:Director>
        <b:NameList>
          <b:Person>
            <b:Last>Glenville</b:Last>
            <b:First>Peter</b:First>
          </b:Person>
        </b:NameList>
      </b:Director>
    </b:Author>
    <b:RefOrder>2</b:RefOrder>
  </b:Source>
  <b:Source>
    <b:Tag>Sul03</b:Tag>
    <b:SourceType>Book</b:SourceType>
    <b:Guid>{0AC4CFD6-3600-4370-A14B-E76F392C6606}</b:Guid>
    <b:Title>A Critical Introduction to Queer Theory</b:Title>
    <b:Year>2003</b:Year>
    <b:City>Edinburgh</b:City>
    <b:Publisher>Edinburgh University Press</b:Publisher>
    <b:Author>
      <b:Author>
        <b:NameList>
          <b:Person>
            <b:Last>Sullivan</b:Last>
            <b:First>Nikki</b:First>
          </b:Person>
        </b:NameList>
      </b:Author>
    </b:Author>
    <b:RefOrder>4</b:RefOrder>
  </b:Source>
  <b:Source>
    <b:Tag>Hol96</b:Tag>
    <b:SourceType>Book</b:SourceType>
    <b:Guid>{E7C71387-A40E-4140-A222-587863DCF114}</b:Guid>
    <b:Title>Hollywood Censored: Morality Codes, Catholics, and the Movies</b:Title>
    <b:Year>1996</b:Year>
    <b:City>Cambridge</b:City>
    <b:Publisher>Cambridge University Press</b:Publisher>
    <b:Author>
      <b:Author>
        <b:NameList>
          <b:Person>
            <b:Last>Black</b:Last>
            <b:Middle>D</b:Middle>
            <b:First>Gregory</b:First>
          </b:Person>
        </b:NameList>
      </b:Author>
    </b:Author>
    <b:RefOrder>5</b:RefOrder>
  </b:Source>
  <b:Source>
    <b:Tag>But90</b:Tag>
    <b:SourceType>Book</b:SourceType>
    <b:Guid>{26410F1A-BCE4-4CDA-BF2D-0C615EC667E7}</b:Guid>
    <b:Title>Gender Trouble: Feminism and the Subversion of Identity</b:Title>
    <b:Year>1990</b:Year>
    <b:Publisher>Routledge</b:Publisher>
    <b:Author>
      <b:Author>
        <b:NameList>
          <b:Person>
            <b:Last>Butler</b:Last>
            <b:First>Judith</b:First>
          </b:Person>
        </b:NameList>
      </b:Author>
    </b:Author>
    <b:RefOrder>6</b:RefOrder>
  </b:Source>
  <b:Source>
    <b:Tag>Fou78</b:Tag>
    <b:SourceType>Book</b:SourceType>
    <b:Guid>{E05D7F56-EF5D-454B-8CC9-0E5C18A7D306}</b:Guid>
    <b:Title>The Will to Knowledge : The History of Sexuality: 1</b:Title>
    <b:Year>1978</b:Year>
    <b:City>St Ives</b:City>
    <b:Publisher>Penguin</b:Publisher>
    <b:Author>
      <b:Author>
        <b:NameList>
          <b:Person>
            <b:Last>Foucault</b:Last>
            <b:First>Michel</b:First>
          </b:Person>
        </b:NameList>
      </b:Author>
    </b:Author>
    <b:RefOrder>7</b:RefOrder>
  </b:Source>
  <b:Source>
    <b:Tag>Dor01</b:Tag>
    <b:SourceType>Book</b:SourceType>
    <b:Guid>{9FD086B0-C298-4812-B400-959627E45227}</b:Guid>
    <b:Title>The American Illustrated Medical Dictionary</b:Title>
    <b:Year>1901</b:Year>
    <b:City>Philadelphia</b:City>
    <b:Publisher>W.B. Saunders</b:Publisher>
    <b:Author>
      <b:Author>
        <b:NameList>
          <b:Person>
            <b:Last>Dorland</b:Last>
            <b:Middle>Alexander</b:Middle>
            <b:First>William</b:First>
          </b:Person>
        </b:NameList>
      </b:Author>
    </b:Author>
    <b:RefOrder>8</b:RefOrder>
  </b:Source>
  <b:Source>
    <b:Tag>Jag96</b:Tag>
    <b:SourceType>Book</b:SourceType>
    <b:Guid>{30CD3F13-DE52-40B1-848F-1AA29DB4479E}</b:Guid>
    <b:Title>Queer Theory: An introduction</b:Title>
    <b:Year>1996</b:Year>
    <b:City>New York</b:City>
    <b:Publisher>New York Univesity Press</b:Publisher>
    <b:Author>
      <b:Author>
        <b:NameList>
          <b:Person>
            <b:Last>Jagose</b:Last>
            <b:First>Annamarie</b:First>
          </b:Person>
        </b:NameList>
      </b:Author>
    </b:Author>
    <b:RefOrder>9</b:RefOrder>
  </b:Source>
  <b:Source>
    <b:Tag>Cor01</b:Tag>
    <b:SourceType>Book</b:SourceType>
    <b:Guid>{6913F7BC-8854-48FB-93D0-C3154B7A2E86}</b:Guid>
    <b:Title>A Short Guide to Writing about Film</b:Title>
    <b:Year>2001</b:Year>
    <b:Publisher>Addison Wesley Longman</b:Publisher>
    <b:Author>
      <b:Author>
        <b:NameList>
          <b:Person>
            <b:Last>Corrigan</b:Last>
            <b:First>Timothy</b:First>
          </b:Person>
        </b:NameList>
      </b:Author>
    </b:Author>
    <b:RefOrder>11</b:RefOrder>
  </b:Source>
  <b:Source>
    <b:Tag>Kub60</b:Tag>
    <b:SourceType>Film</b:SourceType>
    <b:Guid>{571C871E-680C-4513-994F-E9BF170433BF}</b:Guid>
    <b:Title>Spartacus</b:Title>
    <b:Year>1960</b:Year>
    <b:Author>
      <b:Director>
        <b:NameList>
          <b:Person>
            <b:Last>Kubrick</b:Last>
            <b:First>Stanley</b:First>
          </b:Person>
        </b:NameList>
      </b:Director>
    </b:Author>
    <b:RefOrder>13</b:RefOrder>
  </b:Source>
  <b:Source>
    <b:Tag>Gil13</b:Tag>
    <b:SourceType>Book</b:SourceType>
    <b:Guid>{E5B2CADE-E93E-4749-8FA3-F936A06806B0}</b:Guid>
    <b:Title>Better Left Unsaid: Victorian Novels, Hays Code Films, and the Benefits of Censorship</b:Title>
    <b:Year>2013</b:Year>
    <b:Publisher>Stanford University Press</b:Publisher>
    <b:Author>
      <b:Author>
        <b:NameList>
          <b:Person>
            <b:Last>Gilbert</b:Last>
            <b:First>Nora</b:First>
          </b:Person>
        </b:NameList>
      </b:Author>
    </b:Author>
    <b:RefOrder>3</b:RefOrder>
  </b:Source>
  <b:Source>
    <b:Tag>Bos80</b:Tag>
    <b:SourceType>Book</b:SourceType>
    <b:Guid>{E4825651-5C67-4BB4-B7D0-29679AF7D0BD}</b:Guid>
    <b:Author>
      <b:Author>
        <b:NameList>
          <b:Person>
            <b:Last>Boswell</b:Last>
            <b:First>John</b:First>
          </b:Person>
        </b:NameList>
      </b:Author>
    </b:Author>
    <b:Title>Christianity, Social Tolerance, and Homosexuality: Gay People in Western Europe from the Beginning of the Christian Era to the Fourteenth Century</b:Title>
    <b:Year>1980</b:Year>
    <b:City>Chicago</b:City>
    <b:Publisher>University of Chicago Press</b:Publisher>
    <b:RefOrder>12</b:RefOrder>
  </b:Source>
  <b:Source>
    <b:Tag>Dar16</b:Tag>
    <b:SourceType>BookSection</b:SourceType>
    <b:Guid>{738CC8EE-1B16-48EF-B7E2-2ECD89B287F5}</b:Guid>
    <b:Title>Queer Medievalisms</b:Title>
    <b:Year>2016</b:Year>
    <b:Publisher>University of Cambridge Press</b:Publisher>
    <b:Author>
      <b:Author>
        <b:NameList>
          <b:Person>
            <b:Last>Pugh</b:Last>
            <b:First>Tison</b:First>
          </b:Person>
        </b:NameList>
      </b:Author>
      <b:BookAuthor>
        <b:NameList>
          <b:Person>
            <b:Last>D'arcens</b:Last>
            <b:First>Louise</b:First>
          </b:Person>
        </b:NameList>
      </b:BookAuthor>
    </b:Author>
    <b:BookTitle>The Cambridge Companion to Medievalism</b:BookTitle>
    <b:RefOrder>10</b:RefOrder>
  </b:Source>
</b:Sources>
</file>

<file path=customXml/itemProps1.xml><?xml version="1.0" encoding="utf-8"?>
<ds:datastoreItem xmlns:ds="http://schemas.openxmlformats.org/officeDocument/2006/customXml" ds:itemID="{29FECD61-198B-40A6-B207-46A9A320D4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5</Pages>
  <Words>2221</Words>
  <Characters>12665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Kaspian Oaken</dc:creator>
  <cp:keywords/>
  <dc:description/>
  <cp:lastModifiedBy>Kaspian Oaken</cp:lastModifiedBy>
  <cp:revision>13</cp:revision>
  <dcterms:created xsi:type="dcterms:W3CDTF">2020-11-22T16:54:00Z</dcterms:created>
  <dcterms:modified xsi:type="dcterms:W3CDTF">2020-11-24T21:15:00Z</dcterms:modified>
</cp:coreProperties>
</file>