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6079A" w14:textId="77777777" w:rsidR="00BA6BD0" w:rsidRDefault="0060519D">
      <w:pPr>
        <w:jc w:val="both"/>
      </w:pPr>
      <w:r>
        <w:rPr>
          <w:rFonts w:ascii="Arial" w:eastAsia="Times New Roman" w:hAnsi="Arial" w:cs="Arial"/>
          <w:bCs/>
          <w:noProof/>
          <w:color w:val="1F497D"/>
          <w:kern w:val="0"/>
          <w:sz w:val="24"/>
          <w:szCs w:val="24"/>
        </w:rPr>
        <w:drawing>
          <wp:inline distT="0" distB="0" distL="0" distR="0" wp14:anchorId="4C0B2C02" wp14:editId="63A42843">
            <wp:extent cx="5296872" cy="1004687"/>
            <wp:effectExtent l="0" t="0" r="0" b="4963"/>
            <wp:docPr id="47108168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296872" cy="1004687"/>
                    </a:xfrm>
                    <a:prstGeom prst="rect">
                      <a:avLst/>
                    </a:prstGeom>
                    <a:noFill/>
                    <a:ln>
                      <a:noFill/>
                      <a:prstDash/>
                    </a:ln>
                  </pic:spPr>
                </pic:pic>
              </a:graphicData>
            </a:graphic>
          </wp:inline>
        </w:drawing>
      </w:r>
    </w:p>
    <w:p w14:paraId="0EAE8381" w14:textId="77777777" w:rsidR="00BA6BD0" w:rsidRDefault="00BA6BD0">
      <w:pPr>
        <w:jc w:val="both"/>
      </w:pPr>
    </w:p>
    <w:p w14:paraId="57F79632" w14:textId="77777777" w:rsidR="00BA6BD0" w:rsidRDefault="0060519D">
      <w:pPr>
        <w:ind w:left="1440" w:firstLine="720"/>
        <w:jc w:val="both"/>
      </w:pPr>
      <w:r>
        <w:rPr>
          <w:rFonts w:ascii="Arial" w:eastAsia="Times New Roman" w:hAnsi="Arial" w:cs="Arial"/>
          <w:bCs/>
          <w:color w:val="1F497D"/>
          <w:kern w:val="0"/>
          <w:sz w:val="32"/>
          <w:szCs w:val="32"/>
        </w:rPr>
        <w:t>Title: Assessment Component 1-Essay</w:t>
      </w:r>
    </w:p>
    <w:p w14:paraId="5049EE0E" w14:textId="77777777" w:rsidR="00BA6BD0" w:rsidRDefault="0060519D">
      <w:pPr>
        <w:ind w:left="144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Program: Master of Business Administration</w:t>
      </w:r>
    </w:p>
    <w:p w14:paraId="3F3E6C86" w14:textId="77777777" w:rsidR="00BA6BD0" w:rsidRDefault="0060519D">
      <w:pPr>
        <w:ind w:left="144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Module: Marketing Management</w:t>
      </w:r>
    </w:p>
    <w:p w14:paraId="58D61790" w14:textId="77777777" w:rsidR="00BA6BD0" w:rsidRDefault="0060519D">
      <w:pPr>
        <w:ind w:left="144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Module Code: LCMB7024</w:t>
      </w:r>
    </w:p>
    <w:p w14:paraId="2852C2B6" w14:textId="77777777" w:rsidR="00BA6BD0" w:rsidRDefault="0060519D">
      <w:pPr>
        <w:ind w:left="144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Submission Date: 26/03/2025</w:t>
      </w:r>
    </w:p>
    <w:p w14:paraId="0A0479F7" w14:textId="77777777" w:rsidR="00BA6BD0" w:rsidRDefault="0060519D">
      <w:pPr>
        <w:ind w:left="144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Submission Date: 28/03/2025</w:t>
      </w:r>
    </w:p>
    <w:p w14:paraId="68C7B4E5" w14:textId="77777777" w:rsidR="00BA6BD0" w:rsidRDefault="0060519D">
      <w:pPr>
        <w:ind w:left="144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Total Word:2507</w:t>
      </w:r>
    </w:p>
    <w:p w14:paraId="5073AFEC" w14:textId="77777777" w:rsidR="00BA6BD0" w:rsidRDefault="00BA6BD0">
      <w:pPr>
        <w:jc w:val="both"/>
        <w:rPr>
          <w:rFonts w:ascii="Arial" w:eastAsia="Times New Roman" w:hAnsi="Arial" w:cs="Arial"/>
          <w:bCs/>
          <w:color w:val="000000"/>
          <w:kern w:val="0"/>
          <w:sz w:val="24"/>
          <w:szCs w:val="24"/>
        </w:rPr>
      </w:pPr>
    </w:p>
    <w:p w14:paraId="0130DECF" w14:textId="77777777" w:rsidR="00BA6BD0" w:rsidRDefault="00BA6BD0">
      <w:pPr>
        <w:jc w:val="both"/>
        <w:rPr>
          <w:rFonts w:ascii="Arial" w:eastAsia="Times New Roman" w:hAnsi="Arial" w:cs="Arial"/>
          <w:bCs/>
          <w:color w:val="000000"/>
          <w:kern w:val="0"/>
          <w:sz w:val="24"/>
          <w:szCs w:val="24"/>
        </w:rPr>
      </w:pPr>
    </w:p>
    <w:p w14:paraId="4AE05828" w14:textId="77777777" w:rsidR="00BA6BD0" w:rsidRDefault="00BA6BD0">
      <w:pPr>
        <w:jc w:val="both"/>
        <w:rPr>
          <w:rFonts w:ascii="Arial" w:eastAsia="Times New Roman" w:hAnsi="Arial" w:cs="Arial"/>
          <w:bCs/>
          <w:color w:val="000000"/>
          <w:kern w:val="0"/>
          <w:sz w:val="24"/>
          <w:szCs w:val="24"/>
        </w:rPr>
      </w:pPr>
    </w:p>
    <w:p w14:paraId="1BA2CFC6" w14:textId="77777777" w:rsidR="00BA6BD0" w:rsidRDefault="0060519D">
      <w:pPr>
        <w:jc w:val="both"/>
      </w:pPr>
      <w:r>
        <w:rPr>
          <w:rFonts w:ascii="Arial" w:eastAsia="Times New Roman" w:hAnsi="Arial" w:cs="Arial"/>
          <w:bCs/>
          <w:color w:val="1F497D"/>
          <w:kern w:val="0"/>
          <w:sz w:val="24"/>
          <w:szCs w:val="24"/>
          <w:u w:val="single"/>
        </w:rPr>
        <w:t>Submitted To:</w:t>
      </w:r>
      <w:r>
        <w:rPr>
          <w:rFonts w:ascii="Arial" w:eastAsia="Times New Roman" w:hAnsi="Arial" w:cs="Arial"/>
          <w:bCs/>
          <w:color w:val="1F497D"/>
          <w:kern w:val="0"/>
          <w:sz w:val="24"/>
          <w:szCs w:val="24"/>
        </w:rPr>
        <w:t xml:space="preserve"> </w:t>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t xml:space="preserve">                   </w:t>
      </w:r>
    </w:p>
    <w:p w14:paraId="5009AAAE" w14:textId="77777777" w:rsidR="00BA6BD0" w:rsidRDefault="0060519D">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Dr Haoran Liu</w:t>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t xml:space="preserve">                      </w:t>
      </w:r>
    </w:p>
    <w:p w14:paraId="1DE5C78E" w14:textId="77777777" w:rsidR="00BA6BD0" w:rsidRDefault="0060519D">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Prof. in Marketing Management</w:t>
      </w:r>
      <w:r>
        <w:rPr>
          <w:rFonts w:ascii="Arial" w:eastAsia="Times New Roman" w:hAnsi="Arial" w:cs="Arial"/>
          <w:bCs/>
          <w:color w:val="000000"/>
          <w:kern w:val="0"/>
          <w:sz w:val="24"/>
          <w:szCs w:val="24"/>
        </w:rPr>
        <w:tab/>
        <w:t xml:space="preserve">                                          </w:t>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r>
      <w:r>
        <w:rPr>
          <w:rFonts w:ascii="Arial" w:eastAsia="Times New Roman" w:hAnsi="Arial" w:cs="Arial"/>
          <w:bCs/>
          <w:color w:val="000000"/>
          <w:kern w:val="0"/>
          <w:sz w:val="24"/>
          <w:szCs w:val="24"/>
        </w:rPr>
        <w:tab/>
        <w:t xml:space="preserve">                      </w:t>
      </w:r>
    </w:p>
    <w:p w14:paraId="13254D1C" w14:textId="77777777" w:rsidR="00BA6BD0" w:rsidRDefault="0060519D">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University of Wales Trinity Saint David</w:t>
      </w:r>
    </w:p>
    <w:p w14:paraId="190BD955" w14:textId="77777777" w:rsidR="00BA6BD0" w:rsidRDefault="00BA6BD0">
      <w:pPr>
        <w:jc w:val="both"/>
        <w:rPr>
          <w:rFonts w:ascii="Arial" w:eastAsia="Times New Roman" w:hAnsi="Arial" w:cs="Arial"/>
          <w:bCs/>
          <w:color w:val="000000"/>
          <w:kern w:val="0"/>
          <w:sz w:val="24"/>
          <w:szCs w:val="24"/>
        </w:rPr>
      </w:pPr>
    </w:p>
    <w:p w14:paraId="769D4128" w14:textId="77777777" w:rsidR="00BA6BD0" w:rsidRDefault="00BA6BD0">
      <w:pPr>
        <w:jc w:val="both"/>
        <w:rPr>
          <w:rFonts w:ascii="Arial" w:eastAsia="Times New Roman" w:hAnsi="Arial" w:cs="Arial"/>
          <w:bCs/>
          <w:color w:val="1F497D"/>
          <w:kern w:val="0"/>
          <w:sz w:val="24"/>
          <w:szCs w:val="24"/>
          <w:u w:val="single"/>
        </w:rPr>
      </w:pPr>
    </w:p>
    <w:p w14:paraId="09D98CFA" w14:textId="77777777" w:rsidR="00BA6BD0" w:rsidRDefault="0060519D">
      <w:pPr>
        <w:jc w:val="both"/>
        <w:rPr>
          <w:rFonts w:ascii="Arial" w:eastAsia="Times New Roman" w:hAnsi="Arial" w:cs="Arial"/>
          <w:bCs/>
          <w:color w:val="1F497D"/>
          <w:kern w:val="0"/>
          <w:sz w:val="24"/>
          <w:szCs w:val="24"/>
          <w:u w:val="single"/>
        </w:rPr>
      </w:pPr>
      <w:r>
        <w:rPr>
          <w:rFonts w:ascii="Arial" w:eastAsia="Times New Roman" w:hAnsi="Arial" w:cs="Arial"/>
          <w:bCs/>
          <w:color w:val="1F497D"/>
          <w:kern w:val="0"/>
          <w:sz w:val="24"/>
          <w:szCs w:val="24"/>
          <w:u w:val="single"/>
        </w:rPr>
        <w:t>Submitted By:</w:t>
      </w:r>
    </w:p>
    <w:p w14:paraId="7A020671" w14:textId="77777777" w:rsidR="00BA6BD0" w:rsidRDefault="0060519D">
      <w:pPr>
        <w:jc w:val="both"/>
      </w:pPr>
      <w:r>
        <w:rPr>
          <w:b/>
          <w:bCs/>
          <w:sz w:val="24"/>
          <w:szCs w:val="24"/>
        </w:rPr>
        <w:t>Md Tareq Hossain</w:t>
      </w:r>
      <w:r>
        <w:rPr>
          <w:rFonts w:ascii="Arial" w:eastAsia="Times New Roman" w:hAnsi="Arial" w:cs="Arial"/>
          <w:bCs/>
          <w:color w:val="000000"/>
          <w:kern w:val="0"/>
          <w:sz w:val="24"/>
          <w:szCs w:val="24"/>
        </w:rPr>
        <w:t xml:space="preserve"> </w:t>
      </w:r>
    </w:p>
    <w:p w14:paraId="3ABE2306" w14:textId="77777777" w:rsidR="00BA6BD0" w:rsidRDefault="0060519D">
      <w:pPr>
        <w:jc w:val="both"/>
      </w:pPr>
      <w:r>
        <w:rPr>
          <w:b/>
          <w:bCs/>
          <w:sz w:val="24"/>
          <w:szCs w:val="24"/>
        </w:rPr>
        <w:t>ID: 2408228</w:t>
      </w:r>
    </w:p>
    <w:p w14:paraId="2B526E54" w14:textId="77777777" w:rsidR="00BA6BD0" w:rsidRDefault="00BA6BD0">
      <w:pPr>
        <w:jc w:val="both"/>
      </w:pPr>
    </w:p>
    <w:p w14:paraId="145F5B7E" w14:textId="77777777" w:rsidR="00BA6BD0" w:rsidRDefault="0060519D">
      <w:pPr>
        <w:jc w:val="both"/>
        <w:rPr>
          <w:b/>
        </w:rPr>
      </w:pPr>
      <w:r>
        <w:rPr>
          <w:b/>
        </w:rPr>
        <w:t>Introduction:</w:t>
      </w:r>
    </w:p>
    <w:p w14:paraId="2945B57C" w14:textId="77777777" w:rsidR="00BA6BD0" w:rsidRDefault="0060519D">
      <w:pPr>
        <w:jc w:val="both"/>
      </w:pPr>
      <w:r>
        <w:t>In the business world, which is characterized by fast change and intense competition, firms are continually confronted with strategic decisions that have the potential to decide their future success. When it comes to the introduction of new products, services, or technology, one of the decisions that requires consideration is whether to behave as a pioneer or a follower</w:t>
      </w:r>
      <w:r>
        <w:rPr>
          <w:rFonts w:eastAsia="Times New Roman"/>
          <w:color w:val="000000"/>
        </w:rPr>
        <w:t>(</w:t>
      </w:r>
      <w:r>
        <w:rPr>
          <w:rFonts w:eastAsia="Times New Roman"/>
          <w:i/>
          <w:iCs/>
          <w:color w:val="000000"/>
        </w:rPr>
        <w:t>Three Essays on Innovation Catch-up in Emerging Markets</w:t>
      </w:r>
      <w:r>
        <w:rPr>
          <w:rFonts w:eastAsia="Times New Roman"/>
          <w:color w:val="000000"/>
        </w:rPr>
        <w:t>, 2025)</w:t>
      </w:r>
      <w:r>
        <w:t>. This means that the firm is willing to take on the risks involved with untested demand and prospective market obstacles</w:t>
      </w:r>
      <w:r>
        <w:rPr>
          <w:color w:val="000000"/>
        </w:rPr>
        <w:t>(Picone et al., 2014)</w:t>
      </w:r>
      <w:r>
        <w:t>. A company that is considered to be a follower, on the other hand, waits for the market to grow and for the pioneering firm to manage the dangers, gaining knowledge from the early market leader's achievements and mistakes.The choice of which of these strategies to adopt has significant repercussions for the growth of a firm as well as its standing in the broader competitive landscape. In many cases, pioneers are able to take advantage of the first-mover advantage</w:t>
      </w:r>
      <w:r>
        <w:rPr>
          <w:color w:val="000000"/>
        </w:rPr>
        <w:t>(Oberländer et al., 2024)</w:t>
      </w:r>
      <w:r>
        <w:t>, which may result in early market domination, brand loyalty, and the establishing of industry normsFollowers, on the other hand, are afforded the chance to gain knowledge from the errors committed by pioneers and are able to join the market with items that have been improved based on the experiences of the pioneers</w:t>
      </w:r>
      <w:r>
        <w:rPr>
          <w:rFonts w:eastAsia="Times New Roman"/>
          <w:color w:val="000000"/>
        </w:rPr>
        <w:t xml:space="preserve">(Jia-Zheng &amp; Broggi, 2023 </w:t>
      </w:r>
      <w:r>
        <w:t>The purpose of this essay is to investigate the benefits and drawbacks of being a pioneer or a follower in the business world, as well as to investigate the characteristics of successful pioneer and follower firms</w:t>
      </w:r>
      <w:r>
        <w:rPr>
          <w:color w:val="000000"/>
        </w:rPr>
        <w:t>(Ahmad et al., 2021)</w:t>
      </w:r>
      <w:r>
        <w:t>. This study will conduct a more in-depth analysis of the product life cycle (PLC) methods that are utilized by both types of businesses in order to boost growth and keep a competitive advantage in a market that is always shifting</w:t>
      </w:r>
      <w:r>
        <w:rPr>
          <w:color w:val="000000"/>
        </w:rPr>
        <w:t>(Filatotchev et al., 2023)</w:t>
      </w:r>
      <w:r>
        <w:t xml:space="preserve">. </w:t>
      </w:r>
    </w:p>
    <w:p w14:paraId="72501F2D" w14:textId="77777777" w:rsidR="00BA6BD0" w:rsidRDefault="0060519D">
      <w:pPr>
        <w:jc w:val="both"/>
      </w:pPr>
      <w:r>
        <w:rPr>
          <w:rStyle w:val="Strong"/>
          <w:rFonts w:ascii="Source Sans Pro" w:hAnsi="Source Sans Pro"/>
          <w:color w:val="000000"/>
          <w:sz w:val="24"/>
          <w:szCs w:val="24"/>
        </w:rPr>
        <w:t>Advantages of Being a Pioneer and Follower Company</w:t>
      </w:r>
    </w:p>
    <w:p w14:paraId="06C8E5FB" w14:textId="77777777" w:rsidR="00BA6BD0" w:rsidRDefault="0060519D">
      <w:pPr>
        <w:jc w:val="both"/>
      </w:pPr>
      <w:r>
        <w:rPr>
          <w:rStyle w:val="Strong"/>
          <w:rFonts w:ascii="Source Sans Pro" w:hAnsi="Source Sans Pro"/>
          <w:color w:val="000000"/>
          <w:sz w:val="24"/>
          <w:szCs w:val="24"/>
        </w:rPr>
        <w:t xml:space="preserve">Pioneers: </w:t>
      </w:r>
      <w:r>
        <w:t>At the same time as being the first firm to enter a market or offer a new technology comes with a number of distinct benefits, it also comes with a number of significant hazards</w:t>
      </w:r>
      <w:r>
        <w:rPr>
          <w:rFonts w:eastAsia="Times New Roman"/>
          <w:color w:val="000000"/>
        </w:rPr>
        <w:t>(Furlonger &amp; Uzureau, 2019)</w:t>
      </w:r>
      <w:r>
        <w:t>. Being a pioneer offers a number of advantages, the most important of which is the possibility of first market share acquisition and the establishment of brand awareness</w:t>
      </w:r>
      <w:r>
        <w:rPr>
          <w:color w:val="000000"/>
        </w:rPr>
        <w:t>(Szalavetz, 2019)</w:t>
      </w:r>
      <w:r>
        <w:t>. Pioneering enterprises have the ability to establish the standard for the industry since they are the first to provide a new product or service. As a result, businesses that compete with them are frequently obliged to adapt to their innovations. Companies have the ability to establish a loyal client base by taking advantage of the first-mover advantage. According to Liu et al.'s research from 2020, people have a tendency to form strong connections with the first brand they meet in a certain market.</w:t>
      </w:r>
    </w:p>
    <w:p w14:paraId="642B7F8F" w14:textId="77777777" w:rsidR="00BA6BD0" w:rsidRDefault="0060519D">
      <w:pPr>
        <w:jc w:val="both"/>
      </w:pPr>
      <w:r>
        <w:rPr>
          <w:noProof/>
        </w:rPr>
        <w:drawing>
          <wp:inline distT="0" distB="0" distL="0" distR="0" wp14:anchorId="2BA97386" wp14:editId="1EC1A5B6">
            <wp:extent cx="5429533" cy="2794141"/>
            <wp:effectExtent l="0" t="0" r="0" b="6209"/>
            <wp:docPr id="24672148"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429533" cy="2794141"/>
                    </a:xfrm>
                    <a:prstGeom prst="rect">
                      <a:avLst/>
                    </a:prstGeom>
                    <a:noFill/>
                    <a:ln>
                      <a:noFill/>
                      <a:prstDash/>
                    </a:ln>
                  </pic:spPr>
                </pic:pic>
              </a:graphicData>
            </a:graphic>
          </wp:inline>
        </w:drawing>
      </w:r>
      <w:r>
        <w:br/>
        <w:t>Generally, the greatest first-mover advantage is in being the market leader and in maximizing early revenues from the products/services. Thanks to the initial temporary monopoly from innovation, pioneers are in a position to charge higher prices for their products, and thus maximise profits. This strategy is popularly called “skimming the cream”. Pioneers can also create new sources of revenue through licensing, but this generally produces the lowest rewards for entrepreneurship.</w:t>
      </w:r>
    </w:p>
    <w:p w14:paraId="73C985AF" w14:textId="77777777" w:rsidR="00BA6BD0" w:rsidRDefault="0060519D">
      <w:pPr>
        <w:jc w:val="both"/>
      </w:pPr>
      <w:r>
        <w:t>Pioneers also profit from the capacity to regulate product price, distribution methods, and marketing techniques, all of which can lead to greater influence over the market in its early phases</w:t>
      </w:r>
      <w:r>
        <w:rPr>
          <w:rFonts w:eastAsia="Times New Roman"/>
          <w:color w:val="000000"/>
        </w:rPr>
        <w:t>(Przegalinska &amp; Jemielniak, 2023)</w:t>
      </w:r>
      <w:r>
        <w:t>. Pioneers are also able to take advantage of marketing strategies. firms such as Apple, which introduced the iPhone and transformed the market for personal technology, and Tesla, which lead the market for electric vehicles (EV), are great examples of pioneering firms that have achieved large market share and brand loyalty by releasing innovations that are considered to be innovative. On the other hand, the difficulties that pioneers face are of same significance. One of the most significant dangers that pioneering businesses face is the expense of creating new markets</w:t>
      </w:r>
      <w:r>
        <w:rPr>
          <w:rFonts w:eastAsia="Times New Roman"/>
          <w:color w:val="000000"/>
        </w:rPr>
        <w:t>(</w:t>
      </w:r>
      <w:r>
        <w:rPr>
          <w:rFonts w:eastAsia="Times New Roman"/>
          <w:i/>
          <w:iCs/>
          <w:color w:val="000000"/>
        </w:rPr>
        <w:t>Three Essays on Innovation Catch-up in Emerging Markets</w:t>
      </w:r>
      <w:r>
        <w:rPr>
          <w:rFonts w:eastAsia="Times New Roman"/>
          <w:color w:val="000000"/>
        </w:rPr>
        <w:t>, 2025)</w:t>
      </w:r>
      <w:r>
        <w:t>. Pioneers are typically required to make significant investments in research and development, marketing, and educating the market about the new product because they are the company that is the first to debut a new product or technology</w:t>
      </w:r>
      <w:r>
        <w:rPr>
          <w:color w:val="000000"/>
        </w:rPr>
        <w:t>(Filatotchev et al., 2023)</w:t>
      </w:r>
      <w:r>
        <w:t>. In the event that the market demand does not meet the expectations that were set for it or if rivals soon enter the market with superior items, these investments may be considered hazardous. For instance, Tesla has continued to strive for innovation, continually enhancing its offers in a market where competition is fast expanding. This is despite the fact that the company first had difficulties in teaching people about electric automobiles. In addition to this, pioneers put themselves at danger of being obsolete</w:t>
      </w:r>
      <w:r>
        <w:rPr>
          <w:color w:val="000000"/>
        </w:rPr>
        <w:t>(Karagiannopoulou et al., 2023)</w:t>
      </w:r>
      <w:r>
        <w:t>. As a result of the rapid advancement of technology, pioneers are required to continue to develop and upgrade their goods in order to preserve their place in the market. This may result in product weariness and can be resource-intensive at the same time. If a pioneering firm does not consistently innovate, it runs the risk of losing its dominant position in the market to competitors who are able to learn from the pioneer's mistakes and deliver superior products at more affordable prices.</w:t>
      </w:r>
    </w:p>
    <w:p w14:paraId="151A8AA1" w14:textId="77777777" w:rsidR="00BA6BD0" w:rsidRDefault="0060519D">
      <w:pPr>
        <w:jc w:val="both"/>
      </w:pPr>
      <w:r>
        <w:rPr>
          <w:rStyle w:val="Strong"/>
          <w:rFonts w:ascii="Source Sans Pro" w:hAnsi="Source Sans Pro"/>
          <w:color w:val="000000"/>
          <w:sz w:val="24"/>
          <w:szCs w:val="24"/>
        </w:rPr>
        <w:t>Followers:</w:t>
      </w:r>
      <w:r>
        <w:t xml:space="preserve"> on the other hand, a pioneer has already created a product or technology, then follower businesses will normally enter the market after the pioneer has done so. The advantages of becoming a follower are significant and numerous. One of the most significant benefits is the opportunity to gain knowledge from the difficulties encountered by the pioneers</w:t>
      </w:r>
      <w:r>
        <w:rPr>
          <w:color w:val="000000"/>
        </w:rPr>
        <w:t>(Hartley, 2024)</w:t>
      </w:r>
      <w:r>
        <w:t>. Since the pioneers have already established the market, followers do not need to devote major resources in creating a market or teaching customers about the new product. This is because the market has already been formed. As an alternative, followers might concentrate on refining current items, increasing value, and upgrading features in order to better satisfy the requirements of consumers</w:t>
      </w:r>
      <w:r>
        <w:rPr>
          <w:color w:val="000000"/>
        </w:rPr>
        <w:t>(Hartley, 2024; Nardini et al., 2022)</w:t>
      </w:r>
      <w:r>
        <w:t>. Google, for instance, was not the first search engine to join the market when it was originally introduced. On the other hand, it made use of the knowledge gained from prior search engines such as Yahoo and AltaVista in order to develop a product that was superior in terms of its functionality, speed, and accuracy (Vogel, 2020). Similar to Apple, Samsung is an example of a follower that has learnt from the success that Apple has had with the iPhone. Samsung immediately adapted and developed the product, providing larger displays, improved cameras, and more configurable features, finally positioned itself as a serious rival in the smartphone sector. While Apple was the first company to launch the smartphone market</w:t>
      </w:r>
      <w:r>
        <w:rPr>
          <w:color w:val="000000"/>
        </w:rPr>
        <w:t>(Nardini et al., 2022)</w:t>
      </w:r>
      <w:r>
        <w:t>, Samsung quickly began to adapt and enhance the product. Followers also reap the benefits of reduced expenses associated with research and development. By virtue of the fact that the pioneer has already created the technology, subsequent generations are able to devote their efforts to the enhancement of previously existing items rather than developing brand new ones from start. This lowers the financial risk, which is especially beneficial in markets that are unpredictable. Those that follow the pioneer might also adjust their marketing methods in accordance with the reaction they receive to the pioneer's offerings</w:t>
      </w:r>
      <w:r>
        <w:rPr>
          <w:color w:val="000000"/>
        </w:rPr>
        <w:t>(Oberländer et al., 2024)</w:t>
      </w:r>
      <w:r>
        <w:t>. Following the example of the pioneer, a follower may choose to implement a particular feature or product trait that has shown to be effective for the pioneer into their own offers. One example is how Samsung capitalized on the popularity of the iPhone by providing alternatives that were more inexpensive and included features that were comparable to those of the iPhone, therefore establishing a significant position in the market</w:t>
      </w:r>
      <w:r>
        <w:rPr>
          <w:color w:val="000000"/>
        </w:rPr>
        <w:t>(Hartley, 2024)</w:t>
      </w:r>
      <w:r>
        <w:t>. Being a follower, on the other hand, is not always without its difficulties. It is one of the most significant dangers that followers face when they enter the market too late. When a pioneer has already created a devoted client base and brand awareness, it can be challenging for a follower to attract customers to their business. When it comes to distinguishing oneself from the pioneer, followers need to find a method to identify themselves in order to avoid being perceived as simple mimics</w:t>
      </w:r>
      <w:r>
        <w:rPr>
          <w:rFonts w:eastAsia="Times New Roman"/>
          <w:color w:val="000000"/>
        </w:rPr>
        <w:t>(Furlonger &amp; Uzureau, 2019)</w:t>
      </w:r>
      <w:r>
        <w:t>. In an oversaturated market, followers run the danger of being marginalized or neglected if there is no obvious separation between them.</w:t>
      </w:r>
    </w:p>
    <w:p w14:paraId="3645064D" w14:textId="77777777" w:rsidR="00BA6BD0" w:rsidRDefault="0060519D">
      <w:pPr>
        <w:jc w:val="both"/>
      </w:pPr>
      <w:r>
        <w:rPr>
          <w:rStyle w:val="Strong"/>
          <w:rFonts w:ascii="Source Sans Pro" w:hAnsi="Source Sans Pro"/>
          <w:color w:val="000000"/>
          <w:sz w:val="24"/>
          <w:szCs w:val="24"/>
        </w:rPr>
        <w:t>Product Life Cycle Strategies for Success</w:t>
      </w:r>
      <w:r>
        <w:t xml:space="preserve"> </w:t>
      </w:r>
    </w:p>
    <w:p w14:paraId="110F7A36" w14:textId="77777777" w:rsidR="00BA6BD0" w:rsidRDefault="0060519D">
      <w:pPr>
        <w:jc w:val="both"/>
      </w:pPr>
      <w:r>
        <w:t>The product life cycle, sometimes known as the PLC, is a series of stages that a product goes through from the time it is first introduced until the time it is eventually discontinued. There are four stages that make up the PLC: the introduction stage, the growth stage</w:t>
      </w:r>
      <w:r>
        <w:rPr>
          <w:rFonts w:eastAsia="Times New Roman"/>
          <w:color w:val="000000"/>
        </w:rPr>
        <w:t>(Przegalinska &amp; Jemielniak, 2023)</w:t>
      </w:r>
      <w:r>
        <w:t>, the maturity stage, and the decline stage. The tactics that businesses implement at each stage can have a huge influence on how successful they are in the market. Understanding and effectively managing the product life cycle stages and strategies is the key to agile product management. The product life cycle, a journey that every product must go through, consists of six distinct stages demanding unique strategies for optimal outcomes</w:t>
      </w:r>
      <w:r>
        <w:rPr>
          <w:color w:val="000000"/>
        </w:rPr>
        <w:t>(Hartley, 2024)</w:t>
      </w:r>
      <w:r>
        <w:rPr>
          <w:rFonts w:ascii="Arial" w:hAnsi="Arial" w:cs="Arial"/>
          <w:color w:val="212324"/>
          <w:sz w:val="23"/>
          <w:szCs w:val="23"/>
          <w:shd w:val="clear" w:color="auto" w:fill="F4F4F4"/>
        </w:rPr>
        <w:t>.</w:t>
      </w:r>
      <w:r>
        <w:t xml:space="preserve"> To preserve their competitive edge and guarantee that they will continue to expand, firms that are pioneers and companies who are followers are required to implement different strategies at each stage of the PLC.</w:t>
      </w:r>
    </w:p>
    <w:p w14:paraId="19D032FA" w14:textId="77777777" w:rsidR="00BA6BD0" w:rsidRDefault="0060519D">
      <w:pPr>
        <w:jc w:val="both"/>
      </w:pPr>
      <w:r>
        <w:br/>
      </w:r>
      <w:r>
        <w:rPr>
          <w:rStyle w:val="Strong"/>
          <w:rFonts w:ascii="Source Sans Pro" w:hAnsi="Source Sans Pro"/>
          <w:color w:val="000000"/>
          <w:sz w:val="24"/>
          <w:szCs w:val="24"/>
        </w:rPr>
        <w:t>The Life Cycle of Pioneer Companies</w:t>
      </w:r>
    </w:p>
    <w:p w14:paraId="63404DA0" w14:textId="77777777" w:rsidR="00BA6BD0" w:rsidRDefault="0060519D">
      <w:pPr>
        <w:jc w:val="both"/>
      </w:pPr>
      <w:r>
        <w:rPr>
          <w:rStyle w:val="Strong"/>
          <w:rFonts w:ascii="Source Sans Pro" w:hAnsi="Source Sans Pro"/>
          <w:color w:val="000000"/>
          <w:sz w:val="24"/>
          <w:szCs w:val="24"/>
        </w:rPr>
        <w:t>Introduction Stage:</w:t>
      </w:r>
    </w:p>
    <w:p w14:paraId="34EEE4CB" w14:textId="77777777" w:rsidR="00BA6BD0" w:rsidRDefault="0060519D">
      <w:pPr>
        <w:jc w:val="both"/>
      </w:pPr>
      <w:r>
        <w:t>During the introduction stage, pioneering enterprises concentrate their efforts on developing new products, conducting tests, and increasing their clients' knowledge of their offerings</w:t>
      </w:r>
      <w:r>
        <w:rPr>
          <w:color w:val="000000"/>
        </w:rPr>
        <w:t>(Tanchangya et al., 2024)</w:t>
      </w:r>
      <w:r>
        <w:t>. They put a significant amount of money into marketing in order to generate demand from customers and educate prospective buyers about their new product or technology. For the purpose of generating excitement about the iPhone, Apple was able to effectively implement high-impact advertising campaigns and targeted product introductions</w:t>
      </w:r>
      <w:r>
        <w:rPr>
          <w:rFonts w:eastAsia="Times New Roman"/>
          <w:color w:val="000000"/>
        </w:rPr>
        <w:t>(</w:t>
      </w:r>
      <w:r>
        <w:rPr>
          <w:rFonts w:eastAsia="Times New Roman"/>
          <w:i/>
          <w:iCs/>
          <w:color w:val="000000"/>
        </w:rPr>
        <w:t>Three Essays on Innovation Catch-up in Emerging Markets</w:t>
      </w:r>
      <w:r>
        <w:rPr>
          <w:rFonts w:eastAsia="Times New Roman"/>
          <w:color w:val="000000"/>
        </w:rPr>
        <w:t>, 2025)</w:t>
      </w:r>
      <w:r>
        <w:t>. Apple's ability to establish a base of early adopters and achieve an early market lead was facilitated by the company's emphasis on the distinctive characteristics of the gadget. Pioneers frequently invest in extensive research and development in order to enhance product features and raise market appeal. One example of this is Tesla's ongoing efforts to improve battery technology and car design.</w:t>
      </w:r>
    </w:p>
    <w:p w14:paraId="4BCC0847" w14:textId="77777777" w:rsidR="00BA6BD0" w:rsidRDefault="0060519D">
      <w:pPr>
        <w:jc w:val="both"/>
      </w:pPr>
      <w:r>
        <w:rPr>
          <w:rStyle w:val="Strong"/>
          <w:rFonts w:ascii="Source Sans Pro" w:hAnsi="Source Sans Pro"/>
          <w:color w:val="000000"/>
          <w:sz w:val="24"/>
          <w:szCs w:val="24"/>
        </w:rPr>
        <w:t>Growth Stage:</w:t>
      </w:r>
      <w:r>
        <w:t> </w:t>
      </w:r>
    </w:p>
    <w:p w14:paraId="6D665F09" w14:textId="77777777" w:rsidR="00BA6BD0" w:rsidRDefault="0060519D">
      <w:pPr>
        <w:jc w:val="both"/>
      </w:pPr>
      <w:r>
        <w:t>The focus switches to extending market reach and scaling manufacturing when the product develops traction during the growth stage of the product's development. In addition, businesses may take use of economies of scale in order to lower their expenses and boost their profits</w:t>
      </w:r>
      <w:r>
        <w:rPr>
          <w:color w:val="000000"/>
        </w:rPr>
        <w:t>(Filatotchev et al., 2023)</w:t>
      </w:r>
      <w:r>
        <w:t>. The aggressive efforts that Tesla is making to increase its manufacturing capacity and construct Gigafactories all over the world in order to satisfy the ever-increasing demand for electric automobiles are a prime example of this stage according to Wells (2021). Additionally, at this stage, pioneers are confronted with growing competition; hence, in order to preserve their competitive advantage, they must continue to develop and provide new features.</w:t>
      </w:r>
    </w:p>
    <w:p w14:paraId="0B58D4E8" w14:textId="77777777" w:rsidR="00BA6BD0" w:rsidRDefault="0060519D">
      <w:pPr>
        <w:jc w:val="both"/>
      </w:pPr>
      <w:r>
        <w:t>The effect of market growth on followers' profitability (strategies comparison).</w:t>
      </w:r>
    </w:p>
    <w:p w14:paraId="69EC8CB0" w14:textId="77777777" w:rsidR="00BA6BD0" w:rsidRDefault="0060519D">
      <w:pPr>
        <w:jc w:val="both"/>
        <w:rPr>
          <w:rFonts w:eastAsia="Times New Roman"/>
          <w:kern w:val="0"/>
          <w:sz w:val="24"/>
          <w:szCs w:val="24"/>
        </w:rPr>
      </w:pPr>
      <w:r>
        <w:rPr>
          <w:rFonts w:eastAsia="Times New Roman"/>
          <w:kern w:val="0"/>
          <w:sz w:val="24"/>
          <w:szCs w:val="24"/>
        </w:rPr>
        <w:t>To test this, we performed two comparative analyses using the values at the left and right ends of Lines 1 and 2 in The results of these analyses confirm that, when market growth takes a low value (mean −1 s.d.), there is no significant difference in the performance of followers with a cost leadership or differentiation strategy (p &gt; 0.10). However, in a context of high market growth (mean + 1 s.d.), the performance of followers using a cost strategy is significantly larger (p &lt; 0.10) than the performance with a differentiation strategy (by 0.136 units).</w:t>
      </w:r>
    </w:p>
    <w:p w14:paraId="32DE35EC" w14:textId="77777777" w:rsidR="00BA6BD0" w:rsidRDefault="00BA6BD0"/>
    <w:p w14:paraId="11C76D7D" w14:textId="77777777" w:rsidR="00BA6BD0" w:rsidRDefault="0060519D">
      <w:pPr>
        <w:jc w:val="both"/>
      </w:pPr>
      <w:r>
        <w:rPr>
          <w:noProof/>
        </w:rPr>
        <w:drawing>
          <wp:inline distT="0" distB="0" distL="0" distR="0" wp14:anchorId="05FEFC48" wp14:editId="2220FC5F">
            <wp:extent cx="5493047" cy="2609990"/>
            <wp:effectExtent l="0" t="0" r="0" b="0"/>
            <wp:docPr id="745810510"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493047" cy="2609990"/>
                    </a:xfrm>
                    <a:prstGeom prst="rect">
                      <a:avLst/>
                    </a:prstGeom>
                    <a:noFill/>
                    <a:ln>
                      <a:noFill/>
                      <a:prstDash/>
                    </a:ln>
                  </pic:spPr>
                </pic:pic>
              </a:graphicData>
            </a:graphic>
          </wp:inline>
        </w:drawing>
      </w:r>
    </w:p>
    <w:p w14:paraId="2AC00437" w14:textId="77777777" w:rsidR="00BA6BD0" w:rsidRDefault="0060519D">
      <w:pPr>
        <w:jc w:val="both"/>
      </w:pPr>
      <w:r>
        <w:t xml:space="preserve">Source: </w:t>
      </w:r>
      <w:bookmarkStart w:id="0" w:name="bbib74"/>
      <w:r>
        <w:t>Aiken and West, 1991</w:t>
      </w:r>
      <w:bookmarkEnd w:id="0"/>
    </w:p>
    <w:p w14:paraId="236E877A" w14:textId="77777777" w:rsidR="00BA6BD0" w:rsidRDefault="0060519D">
      <w:pPr>
        <w:jc w:val="both"/>
      </w:pPr>
      <w:r>
        <w:rPr>
          <w:rStyle w:val="Strong"/>
          <w:rFonts w:ascii="Source Sans Pro" w:hAnsi="Source Sans Pro"/>
          <w:color w:val="000000"/>
          <w:sz w:val="24"/>
          <w:szCs w:val="24"/>
        </w:rPr>
        <w:t>Maturity Stage:</w:t>
      </w:r>
      <w:r>
        <w:t> </w:t>
      </w:r>
    </w:p>
    <w:p w14:paraId="62501076" w14:textId="77777777" w:rsidR="00BA6BD0" w:rsidRDefault="0060519D">
      <w:pPr>
        <w:jc w:val="both"/>
      </w:pPr>
      <w:r>
        <w:t>The product has reached the maturity stage when it has gained widespread acceptance and the level of competition has increased. It is common practice for pioneers to vary their product offers in order to sustain industry interest</w:t>
      </w:r>
      <w:r>
        <w:rPr>
          <w:color w:val="000000"/>
        </w:rPr>
        <w:t>(Filatotchev et al., 2023)</w:t>
      </w:r>
      <w:r>
        <w:t>. New versions of the iPhone, iPad, and MacBook have been produced by Apple. Each of these new versions features incremental improvements that are designed to maintain consumer engagement and loyalty to the company. The pioneers who are now at this stage may also be interested in expanding into other areas or sectors in order to further solidify their position as industry leaders.</w:t>
      </w:r>
    </w:p>
    <w:p w14:paraId="34946119" w14:textId="77777777" w:rsidR="00BA6BD0" w:rsidRDefault="0060519D">
      <w:pPr>
        <w:jc w:val="both"/>
      </w:pPr>
      <w:r>
        <w:rPr>
          <w:rStyle w:val="Strong"/>
          <w:rFonts w:ascii="Source Sans Pro" w:hAnsi="Source Sans Pro"/>
          <w:color w:val="000000"/>
          <w:sz w:val="24"/>
          <w:szCs w:val="24"/>
        </w:rPr>
        <w:t>Decline Stage:</w:t>
      </w:r>
      <w:r>
        <w:t> </w:t>
      </w:r>
    </w:p>
    <w:p w14:paraId="3B5DDAF1" w14:textId="77777777" w:rsidR="00BA6BD0" w:rsidRDefault="0060519D">
      <w:pPr>
        <w:jc w:val="both"/>
      </w:pPr>
      <w:r>
        <w:t>During the decline stage, pioneers are required to either innovate with completely new items or phase out existing models. This occurs when the market approaches maturity and competition reaches saturation</w:t>
      </w:r>
      <w:r>
        <w:rPr>
          <w:color w:val="000000"/>
        </w:rPr>
        <w:t>(Picone et al., 2014)</w:t>
      </w:r>
      <w:r>
        <w:t>. During this stage, businesses frequently turn their attention to technologies that are more recent and inventive in order to keep ahead of their competitors and to preserve their relevance.</w:t>
      </w:r>
    </w:p>
    <w:p w14:paraId="1AA527BE" w14:textId="77777777" w:rsidR="00BA6BD0" w:rsidRDefault="0060519D">
      <w:pPr>
        <w:jc w:val="both"/>
      </w:pPr>
      <w:r>
        <w:rPr>
          <w:rStyle w:val="Strong"/>
          <w:rFonts w:ascii="Source Sans Pro" w:hAnsi="Source Sans Pro"/>
          <w:color w:val="000000"/>
          <w:sz w:val="24"/>
          <w:szCs w:val="24"/>
        </w:rPr>
        <w:t>Strategies for Follower Companies</w:t>
      </w:r>
    </w:p>
    <w:p w14:paraId="4CF275D8" w14:textId="77777777" w:rsidR="00BA6BD0" w:rsidRDefault="0060519D">
      <w:pPr>
        <w:jc w:val="both"/>
      </w:pPr>
      <w:r>
        <w:rPr>
          <w:rStyle w:val="Strong"/>
          <w:rFonts w:ascii="Source Sans Pro" w:hAnsi="Source Sans Pro"/>
          <w:color w:val="000000"/>
          <w:sz w:val="24"/>
          <w:szCs w:val="24"/>
        </w:rPr>
        <w:t>Introduction Stage:</w:t>
      </w:r>
    </w:p>
    <w:p w14:paraId="0C9FC6CC" w14:textId="77777777" w:rsidR="00BA6BD0" w:rsidRDefault="0060519D">
      <w:pPr>
        <w:jc w:val="both"/>
      </w:pPr>
      <w:r>
        <w:t>The introduction stage is often when followers enter the market after the risks associated with the product have been mitigated and the product has been verified by pioneers</w:t>
      </w:r>
      <w:r>
        <w:rPr>
          <w:color w:val="000000"/>
        </w:rPr>
        <w:t>(Valmohammadi et al., 2024)</w:t>
      </w:r>
      <w:r>
        <w:t>. As an illustration, Samsung entered the market for smartphones after Apple had already debuted the iPhone. Additionally, Samsung modified the design of the iPhone to include features like as bigger displays and detachable batteries, which were not initially supplied by the pioneer.</w:t>
      </w:r>
    </w:p>
    <w:p w14:paraId="689A4617" w14:textId="77777777" w:rsidR="00BA6BD0" w:rsidRDefault="0060519D">
      <w:pPr>
        <w:jc w:val="both"/>
      </w:pPr>
      <w:r>
        <w:rPr>
          <w:rStyle w:val="Strong"/>
          <w:rFonts w:ascii="Source Sans Pro" w:hAnsi="Source Sans Pro"/>
          <w:color w:val="000000"/>
          <w:sz w:val="24"/>
          <w:szCs w:val="24"/>
        </w:rPr>
        <w:t>Growth Stage:</w:t>
      </w:r>
      <w:r>
        <w:t> </w:t>
      </w:r>
    </w:p>
    <w:p w14:paraId="017FD33A" w14:textId="77777777" w:rsidR="00BA6BD0" w:rsidRDefault="0060519D">
      <w:pPr>
        <w:jc w:val="both"/>
      </w:pPr>
      <w:r>
        <w:t>During this phase, followers concentrate on differentiating their products</w:t>
      </w:r>
      <w:r>
        <w:rPr>
          <w:color w:val="000000"/>
        </w:rPr>
        <w:t>(Filatotchev et al., 2023)</w:t>
      </w:r>
      <w:r>
        <w:t>, either by enhancing their product features or by providing more competitive price. Integration with other Google services, such as Gmail and Google Maps, was implemented by Google in order to improve the usefulness of the search engine and attract a wider user base (Vogel, 2020).</w:t>
      </w:r>
    </w:p>
    <w:p w14:paraId="1FD6F6A5" w14:textId="77777777" w:rsidR="00BA6BD0" w:rsidRDefault="0060519D">
      <w:pPr>
        <w:jc w:val="both"/>
      </w:pPr>
      <w:r>
        <w:rPr>
          <w:noProof/>
        </w:rPr>
        <w:drawing>
          <wp:inline distT="0" distB="0" distL="0" distR="0" wp14:anchorId="667E9469" wp14:editId="2110806D">
            <wp:extent cx="5935928" cy="1965960"/>
            <wp:effectExtent l="0" t="0" r="7672" b="0"/>
            <wp:docPr id="523588730"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35928" cy="1965960"/>
                    </a:xfrm>
                    <a:prstGeom prst="rect">
                      <a:avLst/>
                    </a:prstGeom>
                    <a:noFill/>
                    <a:ln>
                      <a:noFill/>
                      <a:prstDash/>
                    </a:ln>
                  </pic:spPr>
                </pic:pic>
              </a:graphicData>
            </a:graphic>
          </wp:inline>
        </w:drawing>
      </w:r>
    </w:p>
    <w:p w14:paraId="14C0CF9E" w14:textId="77777777" w:rsidR="00BA6BD0" w:rsidRDefault="0060519D">
      <w:pPr>
        <w:jc w:val="both"/>
      </w:pPr>
      <w:r>
        <w:rPr>
          <w:rStyle w:val="Strong"/>
          <w:rFonts w:ascii="Source Sans Pro" w:hAnsi="Source Sans Pro"/>
          <w:color w:val="000000"/>
          <w:sz w:val="24"/>
          <w:szCs w:val="24"/>
        </w:rPr>
        <w:t>Maturity Stage:</w:t>
      </w:r>
      <w:r>
        <w:t> </w:t>
      </w:r>
    </w:p>
    <w:p w14:paraId="43E99DCD" w14:textId="77777777" w:rsidR="00BA6BD0" w:rsidRDefault="0060519D">
      <w:pPr>
        <w:jc w:val="both"/>
      </w:pPr>
      <w:r>
        <w:t>The Maturity Stage is characterized by the diversification of product lines by followers, typically through the targeting of new consumer categories or the entry into international markets</w:t>
      </w:r>
      <w:r>
        <w:rPr>
          <w:color w:val="000000"/>
        </w:rPr>
        <w:t>(Szalavetz, 2019)</w:t>
      </w:r>
      <w:r>
        <w:t>. As an instance, Samsung has consistently updated its smartphone offerings and expanded into other electronic products, such as tablets, wearables, and televisions, in order to guarantee that it will continue to be competitive in a variety of technological industries.</w:t>
      </w:r>
    </w:p>
    <w:p w14:paraId="7457A8E9" w14:textId="77777777" w:rsidR="00BA6BD0" w:rsidRDefault="0060519D">
      <w:pPr>
        <w:jc w:val="both"/>
      </w:pPr>
      <w:r>
        <w:rPr>
          <w:rStyle w:val="Strong"/>
          <w:rFonts w:ascii="Source Sans Pro" w:hAnsi="Source Sans Pro"/>
          <w:color w:val="000000"/>
          <w:sz w:val="24"/>
          <w:szCs w:val="24"/>
        </w:rPr>
        <w:t>Decline Stage: </w:t>
      </w:r>
    </w:p>
    <w:p w14:paraId="61F7D64C" w14:textId="77777777" w:rsidR="00BA6BD0" w:rsidRDefault="0060519D">
      <w:pPr>
        <w:jc w:val="both"/>
      </w:pPr>
      <w:r>
        <w:t>The decline stage is characterized by the need for followers to innovate in order to maintain the relevance of their offerings. In order to keep its position as a major competitor in the smartphone industry, Samsung periodically upgrades its smartphone portfolio with new features</w:t>
      </w:r>
      <w:r>
        <w:rPr>
          <w:color w:val="000000"/>
        </w:rPr>
        <w:t>(Walzer et al., 2024)</w:t>
      </w:r>
      <w:r>
        <w:t>. These new features include enhanced camera technology and software improvements.</w:t>
      </w:r>
    </w:p>
    <w:p w14:paraId="7BE511C6" w14:textId="77777777" w:rsidR="00BA6BD0" w:rsidRDefault="0060519D">
      <w:pPr>
        <w:jc w:val="both"/>
      </w:pPr>
      <w:r>
        <w:rPr>
          <w:rStyle w:val="Strong"/>
          <w:rFonts w:ascii="Source Sans Pro" w:hAnsi="Source Sans Pro"/>
          <w:color w:val="000000"/>
          <w:sz w:val="24"/>
          <w:szCs w:val="24"/>
        </w:rPr>
        <w:t>Conclusion</w:t>
      </w:r>
      <w:r>
        <w:br/>
        <w:t>Whether a corporation chooses to be a pioneer or a follower in the market has long-term repercussions for the market strategy that the company employs. Pioneers are able to enjoy the benefits of early market domination, brand loyalty, and the opportunity to set industry standards; nevertheless, they are also subject to significant dangers associated with the formation of new markets, high expenses, and the obligation to continuously innovate. The ability to learn from the triumphs and failures of pioneers is something that followers, on the other hand, are able to take advantage of. This allows them to join the market with a polished product that has already been verified. Followers, on the other hand, have to handle the dangers associated with entering a market that may already be saturated, with pioneers perhaps having significant brand recognition and consumer loyalty.</w:t>
      </w:r>
    </w:p>
    <w:p w14:paraId="1DE7D5EA" w14:textId="77777777" w:rsidR="00BA6BD0" w:rsidRDefault="00BA6BD0"/>
    <w:p w14:paraId="62062495" w14:textId="77777777" w:rsidR="00BA6BD0" w:rsidRDefault="0060519D">
      <w:pPr>
        <w:jc w:val="both"/>
        <w:rPr>
          <w:b/>
          <w:sz w:val="28"/>
          <w:szCs w:val="28"/>
        </w:rPr>
      </w:pPr>
      <w:r>
        <w:rPr>
          <w:b/>
          <w:sz w:val="28"/>
          <w:szCs w:val="28"/>
        </w:rPr>
        <w:t>Reference:</w:t>
      </w:r>
    </w:p>
    <w:p w14:paraId="20B65946" w14:textId="77777777" w:rsidR="00BA6BD0" w:rsidRDefault="0060519D">
      <w:pPr>
        <w:autoSpaceDE w:val="0"/>
        <w:ind w:hanging="480"/>
      </w:pPr>
      <w:r>
        <w:rPr>
          <w:rFonts w:eastAsia="Times New Roman"/>
          <w:color w:val="000000"/>
        </w:rPr>
        <w:t xml:space="preserve">Ahmad, A., Alshurideh, M., Al Kurdi, B., Aburayya, A., &amp; Hamadneh, S. (2021). Digital transformation metrics: a conceptual view. In </w:t>
      </w:r>
      <w:r>
        <w:rPr>
          <w:rFonts w:eastAsia="Times New Roman"/>
          <w:i/>
          <w:iCs/>
          <w:color w:val="000000"/>
        </w:rPr>
        <w:t>Journal of Management Information and Decision Sciences</w:t>
      </w:r>
      <w:r>
        <w:rPr>
          <w:rFonts w:eastAsia="Times New Roman"/>
          <w:color w:val="000000"/>
        </w:rPr>
        <w:t xml:space="preserve"> (Vol. 24, Issue 2).</w:t>
      </w:r>
    </w:p>
    <w:p w14:paraId="0E8B908C" w14:textId="77777777" w:rsidR="00BA6BD0" w:rsidRDefault="0060519D">
      <w:pPr>
        <w:autoSpaceDE w:val="0"/>
        <w:ind w:hanging="480"/>
      </w:pPr>
      <w:r>
        <w:rPr>
          <w:rFonts w:eastAsia="Times New Roman"/>
          <w:color w:val="000000"/>
        </w:rPr>
        <w:t xml:space="preserve">Filatotchev, I., Lanzolla, G., &amp; Syrigos, E. (2023). Impact of CEO’s Digital Technology Orientation and Board Characteristics on Firm Value: A Signaling Perspective. </w:t>
      </w:r>
      <w:r>
        <w:rPr>
          <w:rFonts w:eastAsia="Times New Roman"/>
          <w:i/>
          <w:iCs/>
          <w:color w:val="000000"/>
        </w:rPr>
        <w:t>Journal of Management</w:t>
      </w:r>
      <w:r>
        <w:rPr>
          <w:rFonts w:eastAsia="Times New Roman"/>
          <w:color w:val="000000"/>
        </w:rPr>
        <w:t>. https://doi.org/10.1177/01492063231200819</w:t>
      </w:r>
    </w:p>
    <w:p w14:paraId="1B351497" w14:textId="77777777" w:rsidR="00BA6BD0" w:rsidRDefault="0060519D">
      <w:pPr>
        <w:autoSpaceDE w:val="0"/>
        <w:ind w:hanging="480"/>
      </w:pPr>
      <w:r>
        <w:rPr>
          <w:rFonts w:eastAsia="Times New Roman"/>
          <w:color w:val="000000"/>
        </w:rPr>
        <w:t xml:space="preserve">Furlonger, D., &amp; Uzureau, C. (2019). </w:t>
      </w:r>
      <w:r>
        <w:rPr>
          <w:rFonts w:eastAsia="Times New Roman"/>
          <w:i/>
          <w:iCs/>
          <w:color w:val="000000"/>
        </w:rPr>
        <w:t>THE REAL BUSINESS OF BLOCKCHAIN HOW LEADERS CAN CREATE VALUE IN A NEW DIGITAL AGE</w:t>
      </w:r>
      <w:r>
        <w:rPr>
          <w:rFonts w:eastAsia="Times New Roman"/>
          <w:color w:val="000000"/>
        </w:rPr>
        <w:t>.</w:t>
      </w:r>
    </w:p>
    <w:p w14:paraId="5E63B481" w14:textId="77777777" w:rsidR="00BA6BD0" w:rsidRDefault="0060519D">
      <w:pPr>
        <w:autoSpaceDE w:val="0"/>
        <w:ind w:hanging="480"/>
      </w:pPr>
      <w:r>
        <w:rPr>
          <w:rFonts w:eastAsia="Times New Roman"/>
          <w:color w:val="000000"/>
        </w:rPr>
        <w:t xml:space="preserve">Hartley, J. (2024). Public aspects of public manager training, education and development. </w:t>
      </w:r>
      <w:r>
        <w:rPr>
          <w:rFonts w:eastAsia="Times New Roman"/>
          <w:i/>
          <w:iCs/>
          <w:color w:val="000000"/>
        </w:rPr>
        <w:t>Public Money and Management</w:t>
      </w:r>
      <w:r>
        <w:rPr>
          <w:rFonts w:eastAsia="Times New Roman"/>
          <w:color w:val="000000"/>
        </w:rPr>
        <w:t>. https://doi.org/10.1080/09540962.2024.2398132</w:t>
      </w:r>
    </w:p>
    <w:p w14:paraId="321095ED" w14:textId="77777777" w:rsidR="00BA6BD0" w:rsidRDefault="0060519D">
      <w:pPr>
        <w:autoSpaceDE w:val="0"/>
        <w:ind w:hanging="480"/>
      </w:pPr>
      <w:r>
        <w:rPr>
          <w:rFonts w:eastAsia="Times New Roman"/>
          <w:color w:val="000000"/>
        </w:rPr>
        <w:t xml:space="preserve">Jia-Zheng, Y., &amp; Broggi, C. B. (2023). The metamorphosis of China’s automotive industry (1953–2001): Inward internationalisation, technological transfers and the making of a post-socialist market. </w:t>
      </w:r>
      <w:r>
        <w:rPr>
          <w:rFonts w:eastAsia="Times New Roman"/>
          <w:i/>
          <w:iCs/>
          <w:color w:val="000000"/>
        </w:rPr>
        <w:t>Business History</w:t>
      </w:r>
      <w:r>
        <w:rPr>
          <w:rFonts w:eastAsia="Times New Roman"/>
          <w:color w:val="000000"/>
        </w:rPr>
        <w:t>. https://doi.org/10.1080/00076791.2023.2247366</w:t>
      </w:r>
    </w:p>
    <w:p w14:paraId="41546F80" w14:textId="77777777" w:rsidR="00BA6BD0" w:rsidRDefault="0060519D">
      <w:pPr>
        <w:autoSpaceDE w:val="0"/>
        <w:ind w:hanging="480"/>
      </w:pPr>
      <w:r>
        <w:rPr>
          <w:rFonts w:eastAsia="Times New Roman"/>
          <w:color w:val="000000"/>
        </w:rPr>
        <w:t xml:space="preserve">Karagiannopoulou, S., Sariannidis, N., Ragazou, K., Passas, I., &amp; Garefalakis, A. (2023). Corporate Social Responsibility: A Business Strategy That Promotes Energy Environmental Transition and Combats Volatility in the Post-Pandemic World. </w:t>
      </w:r>
      <w:r>
        <w:rPr>
          <w:rFonts w:eastAsia="Times New Roman"/>
          <w:i/>
          <w:iCs/>
          <w:color w:val="000000"/>
        </w:rPr>
        <w:t>Energies</w:t>
      </w:r>
      <w:r>
        <w:rPr>
          <w:rFonts w:eastAsia="Times New Roman"/>
          <w:color w:val="000000"/>
        </w:rPr>
        <w:t xml:space="preserve">, </w:t>
      </w:r>
      <w:r>
        <w:rPr>
          <w:rFonts w:eastAsia="Times New Roman"/>
          <w:i/>
          <w:iCs/>
          <w:color w:val="000000"/>
        </w:rPr>
        <w:t>16</w:t>
      </w:r>
      <w:r>
        <w:rPr>
          <w:rFonts w:eastAsia="Times New Roman"/>
          <w:color w:val="000000"/>
        </w:rPr>
        <w:t>(3). https://doi.org/10.3390/en16031102</w:t>
      </w:r>
    </w:p>
    <w:p w14:paraId="5F466980" w14:textId="77777777" w:rsidR="00BA6BD0" w:rsidRDefault="0060519D">
      <w:pPr>
        <w:autoSpaceDE w:val="0"/>
        <w:ind w:hanging="480"/>
      </w:pPr>
      <w:r>
        <w:rPr>
          <w:rFonts w:eastAsia="Times New Roman"/>
          <w:color w:val="000000"/>
        </w:rPr>
        <w:t xml:space="preserve">Nardini, G., Bublitz, M. G., Butler, C., Croom-Raley, S., Edson Escalas, J., Hansen, J., &amp; Peracchio, L. A. (2022). Scaling Social Impact: Marketing to Grow Nonprofit Solutions. </w:t>
      </w:r>
      <w:r>
        <w:rPr>
          <w:rFonts w:eastAsia="Times New Roman"/>
          <w:i/>
          <w:iCs/>
          <w:color w:val="000000"/>
        </w:rPr>
        <w:t>Journal of Public Policy and Marketing</w:t>
      </w:r>
      <w:r>
        <w:rPr>
          <w:rFonts w:eastAsia="Times New Roman"/>
          <w:color w:val="000000"/>
        </w:rPr>
        <w:t xml:space="preserve">, </w:t>
      </w:r>
      <w:r>
        <w:rPr>
          <w:rFonts w:eastAsia="Times New Roman"/>
          <w:i/>
          <w:iCs/>
          <w:color w:val="000000"/>
        </w:rPr>
        <w:t>41</w:t>
      </w:r>
      <w:r>
        <w:rPr>
          <w:rFonts w:eastAsia="Times New Roman"/>
          <w:color w:val="000000"/>
        </w:rPr>
        <w:t>(3), 254–276. https://doi.org/10.1177/07439156221087997</w:t>
      </w:r>
    </w:p>
    <w:p w14:paraId="2B4A31D6" w14:textId="77777777" w:rsidR="00BA6BD0" w:rsidRDefault="0060519D">
      <w:pPr>
        <w:autoSpaceDE w:val="0"/>
        <w:ind w:hanging="480"/>
      </w:pPr>
      <w:r>
        <w:rPr>
          <w:rFonts w:eastAsia="Times New Roman"/>
          <w:color w:val="000000"/>
        </w:rPr>
        <w:t xml:space="preserve">Oberländer, A. M., Karnebogen, P., Rövekamp, P., Röglinger, M., &amp; Leidner, D. (2024, January 1). Understanding the influence of digital ecosystems on digital transformation: The OCO (orientation, cooperation, orchestration) theory. </w:t>
      </w:r>
      <w:r>
        <w:rPr>
          <w:rFonts w:eastAsia="Times New Roman"/>
          <w:i/>
          <w:iCs/>
          <w:color w:val="000000"/>
        </w:rPr>
        <w:t>Information Systems Journal</w:t>
      </w:r>
      <w:r>
        <w:rPr>
          <w:rFonts w:eastAsia="Times New Roman"/>
          <w:color w:val="000000"/>
        </w:rPr>
        <w:t>. https://doi.org/10.1111/isj.12539</w:t>
      </w:r>
    </w:p>
    <w:p w14:paraId="5866AC84" w14:textId="77777777" w:rsidR="00BA6BD0" w:rsidRDefault="0060519D">
      <w:pPr>
        <w:autoSpaceDE w:val="0"/>
        <w:ind w:hanging="480"/>
      </w:pPr>
      <w:r>
        <w:rPr>
          <w:rFonts w:eastAsia="Times New Roman"/>
          <w:color w:val="000000"/>
        </w:rPr>
        <w:t xml:space="preserve">Picone, P. M., Dagnino, G. B., &amp; Minà, A. (2014). The origin of failure: A multidisciplinary appraisal of the hubris hypothesis and proposed research agenda. </w:t>
      </w:r>
      <w:r>
        <w:rPr>
          <w:rFonts w:eastAsia="Times New Roman"/>
          <w:i/>
          <w:iCs/>
          <w:color w:val="000000"/>
        </w:rPr>
        <w:t>Academy of Management Perspectives</w:t>
      </w:r>
      <w:r>
        <w:rPr>
          <w:rFonts w:eastAsia="Times New Roman"/>
          <w:color w:val="000000"/>
        </w:rPr>
        <w:t xml:space="preserve">, </w:t>
      </w:r>
      <w:r>
        <w:rPr>
          <w:rFonts w:eastAsia="Times New Roman"/>
          <w:i/>
          <w:iCs/>
          <w:color w:val="000000"/>
        </w:rPr>
        <w:t>28</w:t>
      </w:r>
      <w:r>
        <w:rPr>
          <w:rFonts w:eastAsia="Times New Roman"/>
          <w:color w:val="000000"/>
        </w:rPr>
        <w:t>(4), 447–468. https://doi.org/10.5465/amp.2012.0177</w:t>
      </w:r>
    </w:p>
    <w:p w14:paraId="75F5329F" w14:textId="77777777" w:rsidR="00BA6BD0" w:rsidRDefault="0060519D">
      <w:pPr>
        <w:autoSpaceDE w:val="0"/>
        <w:ind w:hanging="480"/>
      </w:pPr>
      <w:r>
        <w:rPr>
          <w:rFonts w:eastAsia="Times New Roman"/>
          <w:color w:val="000000"/>
        </w:rPr>
        <w:t xml:space="preserve">Przegalinska, A., &amp; Jemielniak, D. (2023). Strategizing AI in Business and Education. In </w:t>
      </w:r>
      <w:r>
        <w:rPr>
          <w:rFonts w:eastAsia="Times New Roman"/>
          <w:i/>
          <w:iCs/>
          <w:color w:val="000000"/>
        </w:rPr>
        <w:t>Strategizing AI in Business and Education</w:t>
      </w:r>
      <w:r>
        <w:rPr>
          <w:rFonts w:eastAsia="Times New Roman"/>
          <w:color w:val="000000"/>
        </w:rPr>
        <w:t>. Cambridge University Press. https://doi.org/10.1017/9781009243520</w:t>
      </w:r>
    </w:p>
    <w:p w14:paraId="5AA3E277" w14:textId="77777777" w:rsidR="00BA6BD0" w:rsidRDefault="0060519D">
      <w:pPr>
        <w:autoSpaceDE w:val="0"/>
        <w:ind w:hanging="480"/>
      </w:pPr>
      <w:r>
        <w:rPr>
          <w:rFonts w:eastAsia="Times New Roman"/>
          <w:color w:val="000000"/>
        </w:rPr>
        <w:t xml:space="preserve">Szalavetz, A. (2019). Digitalisation, automation and upgrading in global value chains - factory economy actors versus lead companies. </w:t>
      </w:r>
      <w:r>
        <w:rPr>
          <w:rFonts w:eastAsia="Times New Roman"/>
          <w:i/>
          <w:iCs/>
          <w:color w:val="000000"/>
        </w:rPr>
        <w:t>Post-Communist Economies</w:t>
      </w:r>
      <w:r>
        <w:rPr>
          <w:rFonts w:eastAsia="Times New Roman"/>
          <w:color w:val="000000"/>
        </w:rPr>
        <w:t xml:space="preserve">, </w:t>
      </w:r>
      <w:r>
        <w:rPr>
          <w:rFonts w:eastAsia="Times New Roman"/>
          <w:i/>
          <w:iCs/>
          <w:color w:val="000000"/>
        </w:rPr>
        <w:t>31</w:t>
      </w:r>
      <w:r>
        <w:rPr>
          <w:rFonts w:eastAsia="Times New Roman"/>
          <w:color w:val="000000"/>
        </w:rPr>
        <w:t>(5), 646–670. https://doi.org/10.1080/14631377.2019.1578584</w:t>
      </w:r>
    </w:p>
    <w:p w14:paraId="5C33CDDD" w14:textId="77777777" w:rsidR="00BA6BD0" w:rsidRDefault="0060519D">
      <w:pPr>
        <w:autoSpaceDE w:val="0"/>
        <w:ind w:hanging="480"/>
      </w:pPr>
      <w:r>
        <w:rPr>
          <w:rFonts w:eastAsia="Times New Roman"/>
          <w:color w:val="000000"/>
        </w:rPr>
        <w:t xml:space="preserve">Tanchangya, T., Raihan, A., Chowdhury, S., Islam, A., Islam, F., &amp; Chakma, J. (2024). Practices of Green Marketing and Corporate Social Responsibility (CSR) to Promote Sustainable Business in Emerging Country. </w:t>
      </w:r>
      <w:r>
        <w:rPr>
          <w:rFonts w:eastAsia="Times New Roman"/>
          <w:i/>
          <w:iCs/>
          <w:color w:val="000000"/>
        </w:rPr>
        <w:t>Frontiers of Finance</w:t>
      </w:r>
      <w:r>
        <w:rPr>
          <w:rFonts w:eastAsia="Times New Roman"/>
          <w:color w:val="000000"/>
        </w:rPr>
        <w:t xml:space="preserve">, </w:t>
      </w:r>
      <w:r>
        <w:rPr>
          <w:rFonts w:eastAsia="Times New Roman"/>
          <w:i/>
          <w:iCs/>
          <w:color w:val="000000"/>
        </w:rPr>
        <w:t>2</w:t>
      </w:r>
      <w:r>
        <w:rPr>
          <w:rFonts w:eastAsia="Times New Roman"/>
          <w:color w:val="000000"/>
        </w:rPr>
        <w:t>(2). https://doi.org/10.59429/ff.v2i2.7202</w:t>
      </w:r>
    </w:p>
    <w:p w14:paraId="4A6D80EF" w14:textId="77777777" w:rsidR="00BA6BD0" w:rsidRDefault="0060519D">
      <w:pPr>
        <w:autoSpaceDE w:val="0"/>
        <w:ind w:hanging="480"/>
      </w:pPr>
      <w:r>
        <w:rPr>
          <w:rFonts w:eastAsia="Times New Roman"/>
          <w:i/>
          <w:iCs/>
          <w:color w:val="000000"/>
        </w:rPr>
        <w:t>Three essays on innovation catch-up in emerging markets</w:t>
      </w:r>
      <w:r>
        <w:rPr>
          <w:rFonts w:eastAsia="Times New Roman"/>
          <w:color w:val="000000"/>
        </w:rPr>
        <w:t>. (2025). [Nanyang Technological University]. https://doi.org/10.32657/10356/182670</w:t>
      </w:r>
    </w:p>
    <w:p w14:paraId="65F82F02" w14:textId="77777777" w:rsidR="00BA6BD0" w:rsidRDefault="0060519D">
      <w:pPr>
        <w:autoSpaceDE w:val="0"/>
        <w:ind w:hanging="480"/>
      </w:pPr>
      <w:r>
        <w:rPr>
          <w:rFonts w:eastAsia="Times New Roman"/>
          <w:color w:val="000000"/>
        </w:rPr>
        <w:t xml:space="preserve">Valmohammadi, C., Sadeghi, M., Taraz, R., &amp; Mehdikhani, R. (2024). Business analytics, corporate entrepreneurship, and open innovation. </w:t>
      </w:r>
      <w:r>
        <w:rPr>
          <w:rFonts w:eastAsia="Times New Roman"/>
          <w:i/>
          <w:iCs/>
          <w:color w:val="000000"/>
        </w:rPr>
        <w:t>Management Decision</w:t>
      </w:r>
      <w:r>
        <w:rPr>
          <w:rFonts w:eastAsia="Times New Roman"/>
          <w:color w:val="000000"/>
        </w:rPr>
        <w:t xml:space="preserve">, </w:t>
      </w:r>
      <w:r>
        <w:rPr>
          <w:rFonts w:eastAsia="Times New Roman"/>
          <w:i/>
          <w:iCs/>
          <w:color w:val="000000"/>
        </w:rPr>
        <w:t>62</w:t>
      </w:r>
      <w:r>
        <w:rPr>
          <w:rFonts w:eastAsia="Times New Roman"/>
          <w:color w:val="000000"/>
        </w:rPr>
        <w:t>(6), 1977–2001. https://doi.org/10.1108/MD-04-2023-0502</w:t>
      </w:r>
    </w:p>
    <w:p w14:paraId="7D3045ED" w14:textId="77777777" w:rsidR="00BA6BD0" w:rsidRDefault="0060519D">
      <w:pPr>
        <w:autoSpaceDE w:val="0"/>
        <w:ind w:hanging="480"/>
      </w:pPr>
      <w:r>
        <w:rPr>
          <w:rFonts w:eastAsia="Times New Roman"/>
          <w:color w:val="000000"/>
        </w:rPr>
        <w:t xml:space="preserve">Walzer, A. N., Tan, T., Graser, K., &amp; Hall, D. M. (2024). Bug or feature? Institutional misalignments between construction technology and venture capital. </w:t>
      </w:r>
      <w:r>
        <w:rPr>
          <w:rFonts w:eastAsia="Times New Roman"/>
          <w:i/>
          <w:iCs/>
          <w:color w:val="000000"/>
        </w:rPr>
        <w:t>Construction Management and Economics</w:t>
      </w:r>
      <w:r>
        <w:rPr>
          <w:rFonts w:eastAsia="Times New Roman"/>
          <w:color w:val="000000"/>
        </w:rPr>
        <w:t>. https://doi.org/10.1080/01446193.2024.2401818</w:t>
      </w:r>
    </w:p>
    <w:p w14:paraId="3FF78C02" w14:textId="77777777" w:rsidR="00BA6BD0" w:rsidRDefault="0060519D">
      <w:pPr>
        <w:jc w:val="both"/>
      </w:pPr>
      <w:r>
        <w:rPr>
          <w:rFonts w:eastAsia="Times New Roman"/>
          <w:color w:val="000000"/>
        </w:rPr>
        <w:t> </w:t>
      </w:r>
    </w:p>
    <w:p w14:paraId="16C30CC2" w14:textId="77777777" w:rsidR="00BA6BD0" w:rsidRDefault="00BA6BD0">
      <w:pPr>
        <w:jc w:val="both"/>
      </w:pPr>
    </w:p>
    <w:p w14:paraId="53CD34C2" w14:textId="77777777" w:rsidR="00BA6BD0" w:rsidRDefault="00BA6BD0">
      <w:pPr>
        <w:jc w:val="both"/>
      </w:pPr>
    </w:p>
    <w:p w14:paraId="026DDEDB" w14:textId="77777777" w:rsidR="00BA6BD0" w:rsidRDefault="00BA6BD0"/>
    <w:sectPr w:rsidR="00BA6BD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5D8A1" w14:textId="77777777" w:rsidR="0060519D" w:rsidRDefault="0060519D">
      <w:pPr>
        <w:spacing w:after="0" w:line="240" w:lineRule="auto"/>
      </w:pPr>
      <w:r>
        <w:separator/>
      </w:r>
    </w:p>
  </w:endnote>
  <w:endnote w:type="continuationSeparator" w:id="0">
    <w:p w14:paraId="5AD0A49B" w14:textId="77777777" w:rsidR="0060519D" w:rsidRDefault="00605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6C958A" w14:textId="77777777" w:rsidR="0060519D" w:rsidRDefault="0060519D">
      <w:pPr>
        <w:spacing w:after="0" w:line="240" w:lineRule="auto"/>
      </w:pPr>
      <w:r>
        <w:rPr>
          <w:color w:val="000000"/>
        </w:rPr>
        <w:separator/>
      </w:r>
    </w:p>
  </w:footnote>
  <w:footnote w:type="continuationSeparator" w:id="0">
    <w:p w14:paraId="35C8664E" w14:textId="77777777" w:rsidR="0060519D" w:rsidRDefault="006051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BD0"/>
    <w:rsid w:val="003B196B"/>
    <w:rsid w:val="003D5084"/>
    <w:rsid w:val="0060519D"/>
    <w:rsid w:val="007048FF"/>
    <w:rsid w:val="00BA6BD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E4D42AB"/>
  <w15:docId w15:val="{962988A9-B540-4F88-AF41-77A9EF85E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kern w:val="3"/>
        <w:sz w:val="22"/>
        <w:szCs w:val="22"/>
        <w:lang w:val="en-US" w:eastAsia="zh-CN"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kern w:val="0"/>
      <w:sz w:val="24"/>
      <w:szCs w:val="24"/>
    </w:rPr>
  </w:style>
  <w:style w:type="character" w:styleId="Strong">
    <w:name w:val="Strong"/>
    <w:basedOn w:val="DefaultParagraphFont"/>
    <w:rPr>
      <w:b/>
      <w:bCs/>
    </w:rPr>
  </w:style>
  <w:style w:type="character" w:styleId="PlaceholderText">
    <w:name w:val="Placeholder Text"/>
    <w:basedOn w:val="DefaultParagraphFont"/>
    <w:rPr>
      <w:color w:val="808080"/>
    </w:rPr>
  </w:style>
  <w:style w:type="character" w:customStyle="1" w:styleId="label">
    <w:name w:val="label"/>
    <w:basedOn w:val="DefaultParagraphFont"/>
  </w:style>
  <w:style w:type="character" w:customStyle="1" w:styleId="anchor-text">
    <w:name w:val="anchor-text"/>
    <w:basedOn w:val="DefaultParagraphFont"/>
  </w:style>
  <w:style w:type="character" w:customStyle="1" w:styleId="react-xocs-alternative-link">
    <w:name w:val="react-xocs-alternative-link"/>
    <w:basedOn w:val="DefaultParagraphFont"/>
  </w:style>
  <w:style w:type="character" w:customStyle="1" w:styleId="given-name">
    <w:name w:val="given-name"/>
    <w:basedOn w:val="DefaultParagraphFont"/>
  </w:style>
  <w:style w:type="character" w:customStyle="1" w:styleId="text">
    <w:name w:val="text"/>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webSettings" Target="webSettings.xml" /><Relationship Id="rId7" Type="http://schemas.openxmlformats.org/officeDocument/2006/relationships/image" Target="media/image2.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2994</Words>
  <Characters>17072</Characters>
  <Application>Microsoft Office Word</Application>
  <DocSecurity>0</DocSecurity>
  <Lines>142</Lines>
  <Paragraphs>40</Paragraphs>
  <ScaleCrop>false</ScaleCrop>
  <Company/>
  <LinksUpToDate>false</LinksUpToDate>
  <CharactersWithSpaces>20026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dc:description/>
  <cp:lastModifiedBy>Md Tareq Hossain (2408228)</cp:lastModifiedBy>
  <cp:revision>2</cp:revision>
  <dcterms:created xsi:type="dcterms:W3CDTF">2025-03-26T13:09:00Z</dcterms:created>
  <dcterms:modified xsi:type="dcterms:W3CDTF">2025-03-26T13:09:00Z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dcdfc2f1-41b6-46a0-a831-00148710b6c2</vt:lpwstr>
  </property>
</Properties>
</file>