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875514D" w14:textId="4FFD0944" w:rsidR="00A25A3E" w:rsidRPr="00A25A3E" w:rsidRDefault="00A25A3E" w:rsidP="00A25A3E">
      <w:pPr>
        <w:spacing w:after="0" w:line="240" w:lineRule="auto"/>
        <w:rPr>
          <w:rFonts w:ascii="Times New Roman" w:eastAsia="Times New Roman" w:hAnsi="Times New Roman" w:cs="Times New Roman"/>
          <w:sz w:val="24"/>
          <w:szCs w:val="24"/>
          <w:lang w:val="en-GB" w:eastAsia="en-GB"/>
        </w:rPr>
      </w:pPr>
    </w:p>
    <w:p w14:paraId="266646A1" w14:textId="532E31F5" w:rsidR="00893582" w:rsidRDefault="00A25A3E" w:rsidP="00893582">
      <w:pPr>
        <w:pStyle w:val="NormalWeb"/>
      </w:pPr>
      <w:r w:rsidRPr="00A25A3E">
        <w:t>SWOT Analysis: Harvard Referencing</w:t>
      </w:r>
      <w:r w:rsidR="00A6095A">
        <w:t xml:space="preserve"> </w:t>
      </w:r>
    </w:p>
    <w:p w14:paraId="2D40B3A7" w14:textId="7EF2CDB6" w:rsidR="003925BE" w:rsidRDefault="0097037E" w:rsidP="00893582">
      <w:pPr>
        <w:pStyle w:val="NormalWeb"/>
      </w:pPr>
      <w:r>
        <w:t>Name:</w:t>
      </w:r>
      <w:r w:rsidR="003925BE">
        <w:t xml:space="preserve"> Ebrima Njie</w:t>
      </w:r>
    </w:p>
    <w:p w14:paraId="782F83D3" w14:textId="1131834B" w:rsidR="003925BE" w:rsidRDefault="0097037E" w:rsidP="00893582">
      <w:pPr>
        <w:pStyle w:val="NormalWeb"/>
      </w:pPr>
      <w:r>
        <w:t xml:space="preserve">Student: </w:t>
      </w:r>
      <w:r w:rsidR="00582458">
        <w:t>2514125</w:t>
      </w:r>
    </w:p>
    <w:p w14:paraId="7B306680" w14:textId="718DE1F7" w:rsidR="003A60B9" w:rsidRDefault="003A60B9" w:rsidP="00A64BFB">
      <w:pPr>
        <w:spacing w:before="100" w:beforeAutospacing="1" w:after="100" w:afterAutospacing="1" w:line="240" w:lineRule="auto"/>
        <w:rPr>
          <w:rFonts w:ascii="Times New Roman" w:eastAsia="Times New Roman" w:hAnsi="Times New Roman" w:cs="Times New Roman"/>
          <w:sz w:val="24"/>
          <w:szCs w:val="24"/>
          <w:lang w:val="en-GB" w:eastAsia="en-GB"/>
        </w:rPr>
      </w:pPr>
      <w:r>
        <w:rPr>
          <w:rFonts w:ascii="Times New Roman" w:eastAsia="Times New Roman" w:hAnsi="Times New Roman" w:cs="Times New Roman"/>
          <w:sz w:val="24"/>
          <w:szCs w:val="24"/>
          <w:lang w:val="en-GB" w:eastAsia="en-GB"/>
        </w:rPr>
        <w:t>Introduction</w:t>
      </w:r>
      <w:r w:rsidR="00893582">
        <w:rPr>
          <w:rFonts w:ascii="Times New Roman" w:eastAsia="Times New Roman" w:hAnsi="Times New Roman" w:cs="Times New Roman"/>
          <w:sz w:val="24"/>
          <w:szCs w:val="24"/>
          <w:lang w:val="en-GB" w:eastAsia="en-GB"/>
        </w:rPr>
        <w:t>s</w:t>
      </w:r>
    </w:p>
    <w:p w14:paraId="0DBDCBA5" w14:textId="0DE10669" w:rsidR="00525FC6" w:rsidRDefault="00525FC6" w:rsidP="00AB3DF7">
      <w:pPr>
        <w:pStyle w:val="NormalWeb"/>
        <w:spacing w:line="360" w:lineRule="auto"/>
      </w:pPr>
      <w:r>
        <w:t>This SWOT analysis explores the development of my Harvard referencing skills during the PAPD module and how they support my academic progress. Harvard referencing is an essential academic skill that promotes integrity, credibility, and clear communication in my studies. It enables me to acknowledge sources correctly, avoid plagiarism, and demonstrate engagement with academic ideas (Pears and Shields, 20</w:t>
      </w:r>
      <w:r w:rsidR="002013F7">
        <w:t>25</w:t>
      </w:r>
      <w:r>
        <w:t>). Throughout</w:t>
      </w:r>
      <w:r>
        <w:t xml:space="preserve"> the module, I have developed my skills by attending lectures, participating in group discussions, and recording lectures on my phone during class to review later. This has helped me revisit difficult topics and improve my understanding at my own pace. Reflection has also supported my learning, as it allows me to think about my experiences and identify areas for improvement (Boud, Keogh and Walker, 2013).Overall, this SWOT analysis evaluates my strengths, weaknesses, opportunities, and threats in relation to developing effective Harvard referencing skills and highlights both my progress and areas for further development.</w:t>
      </w:r>
    </w:p>
    <w:p w14:paraId="0FFD2EAD" w14:textId="110A1023" w:rsidR="00CF7EB4" w:rsidRPr="00540F0A" w:rsidRDefault="000C603B" w:rsidP="00540F0A">
      <w:pPr>
        <w:spacing w:before="100" w:beforeAutospacing="1" w:after="0" w:line="360" w:lineRule="auto"/>
        <w:rPr>
          <w:rFonts w:ascii="Times New Roman" w:eastAsia="Times New Roman" w:hAnsi="Times New Roman" w:cs="Times New Roman"/>
          <w:sz w:val="24"/>
          <w:szCs w:val="24"/>
          <w:lang w:val="en-GB" w:eastAsia="en-GB"/>
        </w:rPr>
      </w:pPr>
      <w:r>
        <w:rPr>
          <w:rFonts w:ascii="Times New Roman" w:eastAsia="Times New Roman" w:hAnsi="Times New Roman" w:cs="Times New Roman"/>
          <w:sz w:val="24"/>
          <w:szCs w:val="24"/>
          <w:lang w:val="en-GB" w:eastAsia="en-GB"/>
        </w:rPr>
        <w:t>Streng</w:t>
      </w:r>
      <w:r w:rsidR="00540F0A">
        <w:rPr>
          <w:rFonts w:ascii="Times New Roman" w:eastAsia="Times New Roman" w:hAnsi="Times New Roman" w:cs="Times New Roman"/>
          <w:sz w:val="24"/>
          <w:szCs w:val="24"/>
          <w:lang w:val="en-GB" w:eastAsia="en-GB"/>
        </w:rPr>
        <w:t>ths</w:t>
      </w:r>
    </w:p>
    <w:p w14:paraId="3BD691D4" w14:textId="77777777" w:rsidR="00614A73" w:rsidRDefault="00E64CAF" w:rsidP="00FC71B2">
      <w:pPr>
        <w:spacing w:before="100" w:beforeAutospacing="1" w:after="100" w:afterAutospacing="1" w:line="360" w:lineRule="auto"/>
        <w:rPr>
          <w:rFonts w:ascii="Times New Roman" w:eastAsia="Times New Roman" w:hAnsi="Times New Roman" w:cs="Times New Roman"/>
          <w:sz w:val="24"/>
          <w:szCs w:val="24"/>
          <w:lang w:val="en-GB" w:eastAsia="en-GB"/>
        </w:rPr>
      </w:pPr>
      <w:r w:rsidRPr="00CF7EB4">
        <w:rPr>
          <w:rFonts w:ascii="Times New Roman" w:eastAsia="Times New Roman" w:hAnsi="Times New Roman" w:cs="Times New Roman"/>
          <w:sz w:val="24"/>
          <w:szCs w:val="24"/>
          <w:lang w:val="en-GB" w:eastAsia="en-GB"/>
        </w:rPr>
        <w:t>One</w:t>
      </w:r>
      <w:r w:rsidR="00846E1A">
        <w:rPr>
          <w:rFonts w:ascii="Times New Roman" w:eastAsia="Times New Roman" w:hAnsi="Times New Roman" w:cs="Times New Roman"/>
          <w:sz w:val="24"/>
          <w:szCs w:val="24"/>
          <w:lang w:val="en-GB" w:eastAsia="en-GB"/>
        </w:rPr>
        <w:t xml:space="preserve"> of</w:t>
      </w:r>
      <w:r w:rsidRPr="00CF7EB4">
        <w:rPr>
          <w:rFonts w:ascii="Times New Roman" w:eastAsia="Times New Roman" w:hAnsi="Times New Roman" w:cs="Times New Roman"/>
          <w:sz w:val="24"/>
          <w:szCs w:val="24"/>
          <w:lang w:val="en-GB" w:eastAsia="en-GB"/>
        </w:rPr>
        <w:t xml:space="preserve"> </w:t>
      </w:r>
      <w:r w:rsidR="00CF7EB4" w:rsidRPr="00CF7EB4">
        <w:rPr>
          <w:rFonts w:ascii="Times New Roman" w:eastAsia="Times New Roman" w:hAnsi="Times New Roman" w:cs="Times New Roman"/>
          <w:sz w:val="24"/>
          <w:szCs w:val="24"/>
          <w:lang w:val="en-GB" w:eastAsia="en-GB"/>
        </w:rPr>
        <w:t xml:space="preserve">my strengths in developing Harvard referencing skills is attending lectures, although I am not always able to attend every session. When I do attend, it helps me understand things better because tutors explain referencing clearly and give practical examples. It also helps me stay aware of assignment requirements, deadlines, and expectations, which reduces confusion when completing my work. Even though my attendance is sometimes inconsistent due to personal or other commitments, the lectures I do attend still play an important role in improving my understanding of Harvard referencing. Research shows that active learning environments can improve understanding and academic performance (Wood and Tanner, 2012; Stefanou et al., </w:t>
      </w:r>
      <w:r w:rsidR="00CF7EB4" w:rsidRPr="00CF7EB4">
        <w:rPr>
          <w:rFonts w:ascii="Times New Roman" w:eastAsia="Times New Roman" w:hAnsi="Times New Roman" w:cs="Times New Roman"/>
          <w:sz w:val="24"/>
          <w:szCs w:val="24"/>
          <w:lang w:val="en-GB" w:eastAsia="en-GB"/>
        </w:rPr>
        <w:lastRenderedPageBreak/>
        <w:t>2012).</w:t>
      </w:r>
      <w:r w:rsidR="00154FA5">
        <w:rPr>
          <w:rFonts w:ascii="Times New Roman" w:eastAsia="Times New Roman" w:hAnsi="Times New Roman" w:cs="Times New Roman"/>
          <w:sz w:val="24"/>
          <w:szCs w:val="24"/>
          <w:lang w:val="en-GB" w:eastAsia="en-GB"/>
        </w:rPr>
        <w:t xml:space="preserve"> </w:t>
      </w:r>
      <w:r w:rsidR="00CF7EB4" w:rsidRPr="00CF7EB4">
        <w:rPr>
          <w:rFonts w:ascii="Times New Roman" w:eastAsia="Times New Roman" w:hAnsi="Times New Roman" w:cs="Times New Roman"/>
          <w:sz w:val="24"/>
          <w:szCs w:val="24"/>
          <w:lang w:val="en-GB" w:eastAsia="en-GB"/>
        </w:rPr>
        <w:t>Another strength is that I ask questions when I am unsure. If I do not understand how to reference a source correctly, I feel comfortable asking my tutor for clarification. This helps me learn faster and avoid repeating the same mistakes in future assignments. Asking questions also increases my confidence because I can see my own progress over time. In addition, my classmates also ask questions during lectures, which helps me understand more. Sometimes they raise questions I had not thought about, and this gives me a deeper understanding of the topic and how to apply referencing correctly in</w:t>
      </w:r>
      <w:r w:rsidR="00540F0A">
        <w:rPr>
          <w:rFonts w:ascii="Times New Roman" w:eastAsia="Times New Roman" w:hAnsi="Times New Roman" w:cs="Times New Roman"/>
          <w:sz w:val="24"/>
          <w:szCs w:val="24"/>
          <w:lang w:val="en-GB" w:eastAsia="en-GB"/>
        </w:rPr>
        <w:t xml:space="preserve"> </w:t>
      </w:r>
      <w:r w:rsidR="00CF7EB4" w:rsidRPr="00CF7EB4">
        <w:rPr>
          <w:rFonts w:ascii="Times New Roman" w:eastAsia="Times New Roman" w:hAnsi="Times New Roman" w:cs="Times New Roman"/>
          <w:sz w:val="24"/>
          <w:szCs w:val="24"/>
          <w:lang w:val="en-GB" w:eastAsia="en-GB"/>
        </w:rPr>
        <w:t>different situations. Studies suggest that students who participate actively in class tend to develop stronger understanding (Ebert-May, Brewer and Allred, 1997; Fisher and Frey, 2014).</w:t>
      </w:r>
      <w:r w:rsidR="00154FA5">
        <w:rPr>
          <w:rFonts w:ascii="Times New Roman" w:eastAsia="Times New Roman" w:hAnsi="Times New Roman" w:cs="Times New Roman"/>
          <w:sz w:val="24"/>
          <w:szCs w:val="24"/>
          <w:lang w:val="en-GB" w:eastAsia="en-GB"/>
        </w:rPr>
        <w:t xml:space="preserve"> </w:t>
      </w:r>
      <w:r w:rsidR="00CF7EB4" w:rsidRPr="00CF7EB4">
        <w:rPr>
          <w:rFonts w:ascii="Times New Roman" w:eastAsia="Times New Roman" w:hAnsi="Times New Roman" w:cs="Times New Roman"/>
          <w:sz w:val="24"/>
          <w:szCs w:val="24"/>
          <w:lang w:val="en-GB" w:eastAsia="en-GB"/>
        </w:rPr>
        <w:t xml:space="preserve">I also record lectures on my phone during class, which is very helpful for my learning. Sometimes I do not fully understand everything in real time, so being able to listen again later helps me revise and clarify key points. I can pause, rewind, and replay important sections, which improves my </w:t>
      </w:r>
      <w:r w:rsidR="00154FA5" w:rsidRPr="00CF7EB4">
        <w:rPr>
          <w:rFonts w:ascii="Times New Roman" w:eastAsia="Times New Roman" w:hAnsi="Times New Roman" w:cs="Times New Roman"/>
          <w:sz w:val="24"/>
          <w:szCs w:val="24"/>
          <w:lang w:val="en-GB" w:eastAsia="en-GB"/>
        </w:rPr>
        <w:t>notetaking</w:t>
      </w:r>
      <w:r w:rsidR="00CF7EB4" w:rsidRPr="00CF7EB4">
        <w:rPr>
          <w:rFonts w:ascii="Times New Roman" w:eastAsia="Times New Roman" w:hAnsi="Times New Roman" w:cs="Times New Roman"/>
          <w:sz w:val="24"/>
          <w:szCs w:val="24"/>
          <w:lang w:val="en-GB" w:eastAsia="en-GB"/>
        </w:rPr>
        <w:t xml:space="preserve"> and helps me remember information more effectively. This is especially useful when I have other responsibilities and need to study at my own pace. Research shows that recorded lectures and reviewing material can improve understanding and long-term memory (Johnston, Massa and Burne, 2013; Luo, Kiewra and Samuelson, 2016).</w:t>
      </w:r>
      <w:r w:rsidR="00154FA5">
        <w:rPr>
          <w:rFonts w:ascii="Times New Roman" w:eastAsia="Times New Roman" w:hAnsi="Times New Roman" w:cs="Times New Roman"/>
          <w:sz w:val="24"/>
          <w:szCs w:val="24"/>
          <w:lang w:val="en-GB" w:eastAsia="en-GB"/>
        </w:rPr>
        <w:t xml:space="preserve"> </w:t>
      </w:r>
      <w:r w:rsidR="00CF7EB4" w:rsidRPr="00CF7EB4">
        <w:rPr>
          <w:rFonts w:ascii="Times New Roman" w:eastAsia="Times New Roman" w:hAnsi="Times New Roman" w:cs="Times New Roman"/>
          <w:sz w:val="24"/>
          <w:szCs w:val="24"/>
          <w:lang w:val="en-GB" w:eastAsia="en-GB"/>
        </w:rPr>
        <w:t>Overall, my strengths include attending lectures when possible, asking questions, learning from classmates, recording lectures, and gradually improving my understanding of Harvard referencing through reflection and practice</w:t>
      </w:r>
    </w:p>
    <w:p w14:paraId="6799B883" w14:textId="117C9975" w:rsidR="00614A73" w:rsidRDefault="00264AF8" w:rsidP="00FC71B2">
      <w:pPr>
        <w:spacing w:before="100" w:beforeAutospacing="1" w:after="100" w:afterAutospacing="1" w:line="360" w:lineRule="auto"/>
        <w:rPr>
          <w:rFonts w:ascii="Times New Roman" w:eastAsia="Times New Roman" w:hAnsi="Times New Roman" w:cs="Times New Roman"/>
          <w:sz w:val="24"/>
          <w:szCs w:val="24"/>
          <w:lang w:val="en-GB" w:eastAsia="en-GB"/>
        </w:rPr>
      </w:pPr>
      <w:r>
        <w:rPr>
          <w:rFonts w:ascii="Times New Roman" w:eastAsia="Times New Roman" w:hAnsi="Times New Roman" w:cs="Times New Roman"/>
          <w:sz w:val="24"/>
          <w:szCs w:val="24"/>
          <w:lang w:val="en-GB" w:eastAsia="en-GB"/>
        </w:rPr>
        <w:t>Weakness</w:t>
      </w:r>
      <w:r w:rsidR="00F113EC">
        <w:rPr>
          <w:rFonts w:ascii="Times New Roman" w:eastAsia="Times New Roman" w:hAnsi="Times New Roman" w:cs="Times New Roman"/>
          <w:sz w:val="24"/>
          <w:szCs w:val="24"/>
          <w:lang w:val="en-GB" w:eastAsia="en-GB"/>
        </w:rPr>
        <w:t>es</w:t>
      </w:r>
    </w:p>
    <w:p w14:paraId="7FB20A0A" w14:textId="672BFDFF" w:rsidR="00A92062" w:rsidRDefault="00A92062" w:rsidP="003F2CC6">
      <w:pPr>
        <w:pStyle w:val="NormalWeb"/>
        <w:spacing w:line="360" w:lineRule="auto"/>
      </w:pPr>
      <w:r>
        <w:t>Despite my strengths, I still have several weaknesses that affect my development of Harvard referencing skills. One of the main challenges is that I can become easily distracted during lectures. When this happens, I lose focus and may miss important explanations about referencing rules, which makes it harder for me to understand and apply them correctly in my assignments. Research shows that attention and effective learning strategies are important for academic success (</w:t>
      </w:r>
      <w:proofErr w:type="spellStart"/>
      <w:r>
        <w:t>Cicekci</w:t>
      </w:r>
      <w:proofErr w:type="spellEnd"/>
      <w:r>
        <w:t xml:space="preserve"> and Sadik, 2019; </w:t>
      </w:r>
      <w:proofErr w:type="spellStart"/>
      <w:r>
        <w:t>Deroey</w:t>
      </w:r>
      <w:proofErr w:type="spellEnd"/>
      <w:r>
        <w:t xml:space="preserve"> and </w:t>
      </w:r>
      <w:proofErr w:type="spellStart"/>
      <w:r>
        <w:t>Taverniers</w:t>
      </w:r>
      <w:proofErr w:type="spellEnd"/>
      <w:r>
        <w:t xml:space="preserve">, 2012; </w:t>
      </w:r>
      <w:proofErr w:type="spellStart"/>
      <w:r>
        <w:t>Merhavy</w:t>
      </w:r>
      <w:proofErr w:type="spellEnd"/>
      <w:r>
        <w:t xml:space="preserve"> et al., 2023). This highlights how important it is for me to stay focused during lectures </w:t>
      </w:r>
      <w:r>
        <w:t>to</w:t>
      </w:r>
      <w:r>
        <w:t xml:space="preserve"> develop strong academic skills such as Harvard referencing. In addition, reduced motivation and low engagement can also negatively affect learning and overall academic performance (Ahmad, 2021).</w:t>
      </w:r>
      <w:r>
        <w:t xml:space="preserve"> </w:t>
      </w:r>
      <w:r>
        <w:t xml:space="preserve">Another weakness is </w:t>
      </w:r>
      <w:r>
        <w:lastRenderedPageBreak/>
        <w:t xml:space="preserve">my irregular attendance and occasional lateness. When I do not attend lectures regularly or arrive late, I sometimes miss key explanations at the beginning of the session. This affects my understanding because I </w:t>
      </w:r>
      <w:r w:rsidR="00235516">
        <w:t>must</w:t>
      </w:r>
      <w:r>
        <w:t xml:space="preserve"> try to catch up while the lecture is already in progress. It can also reduce my confidence when applying Harvard referencing in assignments, as I may not fully grasp the examples and instructions provided in class. Research shows that consistent attendance and active engagement are strongly linked to better academic performance and understanding (Delaney and Ashton, 2024; </w:t>
      </w:r>
      <w:proofErr w:type="spellStart"/>
      <w:r>
        <w:t>Severiens</w:t>
      </w:r>
      <w:proofErr w:type="spellEnd"/>
      <w:r>
        <w:t xml:space="preserve"> et al., 2015).</w:t>
      </w:r>
      <w:r>
        <w:t xml:space="preserve"> </w:t>
      </w:r>
      <w:r>
        <w:t>I also find that I do not always understand some topics immediately, especially when the lecture moves quickly or the content is more complex. Although I use recorded lectures on my phone to review the material again, understanding things later rather than in the moment can slow my progress and make me less confident when using referencing in my work. Effective learning depends on both active engagement during teaching and timely support to strengthen understanding (Fisher and Frey, 2010; Hill et al., 2017).</w:t>
      </w:r>
      <w:r>
        <w:t xml:space="preserve"> </w:t>
      </w:r>
      <w:r>
        <w:t>Another weakness is that I sometimes rely too much on recording lectures on my phone during class. While this is helpful for revision, it can reduce my focus and active participation in the lecture itself. Instead of concentrating fully in the moment, I may depend on the recording later, which affects how much I absorb during the lesson. Time management is also a challenge for me. Balancing academic work with personal and work responsibilities can sometimes leave me tired, which affects my concentration and motivation during lectures and study time.</w:t>
      </w:r>
    </w:p>
    <w:p w14:paraId="4DFAD05A" w14:textId="77777777" w:rsidR="00C04390" w:rsidRDefault="00C04390" w:rsidP="00FC71B2">
      <w:pPr>
        <w:spacing w:before="100" w:beforeAutospacing="1" w:after="100" w:afterAutospacing="1" w:line="360" w:lineRule="auto"/>
        <w:rPr>
          <w:rFonts w:ascii="Times New Roman" w:eastAsia="Times New Roman" w:hAnsi="Times New Roman" w:cs="Times New Roman"/>
          <w:sz w:val="24"/>
          <w:szCs w:val="24"/>
          <w:lang w:val="en-GB" w:eastAsia="en-GB"/>
        </w:rPr>
      </w:pPr>
    </w:p>
    <w:p w14:paraId="5A11A4D7" w14:textId="77777777" w:rsidR="009E6F9E" w:rsidRPr="00A25A3E" w:rsidRDefault="009E6F9E" w:rsidP="009E6F9E">
      <w:pPr>
        <w:spacing w:before="100" w:beforeAutospacing="1" w:after="100" w:afterAutospacing="1" w:line="360" w:lineRule="auto"/>
        <w:rPr>
          <w:rFonts w:ascii="Times New Roman" w:eastAsia="Times New Roman" w:hAnsi="Times New Roman" w:cs="Times New Roman"/>
          <w:sz w:val="24"/>
          <w:szCs w:val="24"/>
          <w:lang w:val="en-GB" w:eastAsia="en-GB"/>
        </w:rPr>
      </w:pPr>
      <w:r w:rsidRPr="00A25A3E">
        <w:rPr>
          <w:rFonts w:ascii="Times New Roman" w:eastAsia="Times New Roman" w:hAnsi="Times New Roman" w:cs="Times New Roman"/>
          <w:sz w:val="24"/>
          <w:szCs w:val="24"/>
          <w:lang w:val="en-GB" w:eastAsia="en-GB"/>
        </w:rPr>
        <w:t>Opportunities</w:t>
      </w:r>
    </w:p>
    <w:p w14:paraId="77D67B4D" w14:textId="3CC2A0D2" w:rsidR="00AB2E7F" w:rsidRDefault="00AB2E7F" w:rsidP="00A6095A">
      <w:pPr>
        <w:pStyle w:val="NormalWeb"/>
        <w:spacing w:line="360" w:lineRule="auto"/>
      </w:pPr>
      <w:r>
        <w:t>There are several opportunities available to improve my Harvard referencing skills. One of the most useful opportunities is Moodle, which gives me access to lecture slides, reading materials, and other academic resources. Being able to go back over these materials helps me understand things more clearly, especially when I don’t fully understand something in class. Digital learning resources are helpful because revisiting information more than once improves understanding and memory (</w:t>
      </w:r>
      <w:proofErr w:type="spellStart"/>
      <w:r>
        <w:t>Sajjacholapunt</w:t>
      </w:r>
      <w:proofErr w:type="spellEnd"/>
      <w:r>
        <w:t xml:space="preserve"> and Joy, 2014).</w:t>
      </w:r>
      <w:r>
        <w:t xml:space="preserve"> </w:t>
      </w:r>
      <w:r>
        <w:t xml:space="preserve">Another important opportunity is practising Harvard referencing in different </w:t>
      </w:r>
      <w:r>
        <w:lastRenderedPageBreak/>
        <w:t>assignments. Each assignment gives me the chance to apply what I have learned and build on it over time. The more I practise, the more confident I become. Neville (2016) explains that repetition is key for developing academic skills and building confidence.</w:t>
      </w:r>
      <w:r>
        <w:t xml:space="preserve"> </w:t>
      </w:r>
      <w:r>
        <w:t>Peer learning is also a very important opportunity for me. This includes asking classmates questions and working together in group activities. Group work gives us the opportunity to talk through referencing rules, share ideas, and correct each other’s mistakes, which helps improve understanding. Asking questions in class is another opportunity that helps me clear up confusion quickly. In addition, online communication tools like a student WhatsApp group give me opportunities to ask questions, share ideas, and learn from others outside the classroom. These opportunities can improve collaboration and</w:t>
      </w:r>
      <w:r>
        <w:t xml:space="preserve"> </w:t>
      </w:r>
      <w:r>
        <w:t>engagement (Hertzog and Swart, 2018; Cronje and Van Zyl, 2022). Similarly, learning from peers gives opportunities to spot mistakes and understand topics better through discussion (Gravett and Kinchen, 2021; Larson et al., 2017).</w:t>
      </w:r>
      <w:r w:rsidR="00BC01E1">
        <w:t xml:space="preserve"> </w:t>
      </w:r>
      <w:r>
        <w:t>Seeking support from tutors and academic services is also an important opportunity. Asking for help means I can fix misunderstandings early and improve my learning (</w:t>
      </w:r>
      <w:proofErr w:type="spellStart"/>
      <w:r>
        <w:t>Karabenick</w:t>
      </w:r>
      <w:proofErr w:type="spellEnd"/>
      <w:r>
        <w:t xml:space="preserve"> and Newman, 2013). I also see improving my study habits, such as using a structured timetable and setting clear goals, as an opportunity to stay organised, manage my workload better, and reduce stress during busy periods (Mendizabal, 2013).</w:t>
      </w:r>
      <w:r w:rsidR="00BC01E1">
        <w:t xml:space="preserve"> </w:t>
      </w:r>
      <w:r>
        <w:t>These opportunities give me strong support to develop my Harvard referencing skills and improve my academic performance.</w:t>
      </w:r>
    </w:p>
    <w:p w14:paraId="4679B5C6" w14:textId="77777777" w:rsidR="009E6F9E" w:rsidRPr="00A25A3E" w:rsidRDefault="009E6F9E" w:rsidP="009E6F9E">
      <w:pPr>
        <w:spacing w:after="0" w:line="360" w:lineRule="auto"/>
        <w:rPr>
          <w:rFonts w:ascii="Times New Roman" w:eastAsia="Times New Roman" w:hAnsi="Times New Roman" w:cs="Times New Roman"/>
          <w:sz w:val="24"/>
          <w:szCs w:val="24"/>
          <w:lang w:val="en-GB" w:eastAsia="en-GB"/>
        </w:rPr>
      </w:pPr>
    </w:p>
    <w:p w14:paraId="463F47AB" w14:textId="77777777" w:rsidR="009E6F9E" w:rsidRPr="00A25A3E" w:rsidRDefault="009E6F9E" w:rsidP="009E6F9E">
      <w:pPr>
        <w:spacing w:before="100" w:beforeAutospacing="1" w:after="100" w:afterAutospacing="1" w:line="360" w:lineRule="auto"/>
        <w:rPr>
          <w:rFonts w:ascii="Times New Roman" w:eastAsia="Times New Roman" w:hAnsi="Times New Roman" w:cs="Times New Roman"/>
          <w:sz w:val="24"/>
          <w:szCs w:val="24"/>
          <w:lang w:val="en-GB" w:eastAsia="en-GB"/>
        </w:rPr>
      </w:pPr>
      <w:r w:rsidRPr="00A25A3E">
        <w:rPr>
          <w:rFonts w:ascii="Times New Roman" w:eastAsia="Times New Roman" w:hAnsi="Times New Roman" w:cs="Times New Roman"/>
          <w:sz w:val="24"/>
          <w:szCs w:val="24"/>
          <w:lang w:val="en-GB" w:eastAsia="en-GB"/>
        </w:rPr>
        <w:t>Threats</w:t>
      </w:r>
    </w:p>
    <w:p w14:paraId="2A5B035F" w14:textId="77777777" w:rsidR="00510971" w:rsidRDefault="00036BC3" w:rsidP="00436729">
      <w:pPr>
        <w:pStyle w:val="NormalWeb"/>
        <w:spacing w:line="360" w:lineRule="auto"/>
      </w:pPr>
      <w:r>
        <w:t>There are several threats that may affect the development of my Harvard referencing skills. One of the main challenges I face is managing family responsibilities alongside my studies. At times, these responsibilities can create distractions at home, which reduces my study time and makes it harder for me to concentrate properly on academic work. External distractions have been shown to negatively affect student engagement and academic performance (Silva and Carreira, 2012).</w:t>
      </w:r>
      <w:r>
        <w:t xml:space="preserve"> </w:t>
      </w:r>
      <w:r>
        <w:t xml:space="preserve">Another important challenge is balancing my studies with part-time work. Working while studying can sometimes leave me feeling tired, which affects my motivation and concentration during lectures and </w:t>
      </w:r>
      <w:r>
        <w:lastRenderedPageBreak/>
        <w:t>independent study. When I am fatigued, it becomes more difficult to focus on key details, including Harvard referencing rules, and this can impact the quality of my assignments. Research shows that stress and confidence levels have a strong influence on academic performance (</w:t>
      </w:r>
      <w:proofErr w:type="spellStart"/>
      <w:r>
        <w:t>Lessky</w:t>
      </w:r>
      <w:proofErr w:type="spellEnd"/>
      <w:r>
        <w:t xml:space="preserve"> and Unger, 2023).</w:t>
      </w:r>
      <w:r w:rsidR="00432BAE">
        <w:t xml:space="preserve"> </w:t>
      </w:r>
      <w:r>
        <w:t>Health issues are also a possible threat. If I become unwell, I may miss lectures or find it difficult to concentrate even when I attend. This can affect my understanding of important topics such as Harvard referencing and</w:t>
      </w:r>
    </w:p>
    <w:p w14:paraId="1C477962" w14:textId="63F0DCFF" w:rsidR="00036BC3" w:rsidRDefault="00036BC3" w:rsidP="00436729">
      <w:pPr>
        <w:pStyle w:val="NormalWeb"/>
        <w:spacing w:line="360" w:lineRule="auto"/>
      </w:pPr>
      <w:r>
        <w:t>slow down my overall progress. Missing classes can also make it harder to keep up with coursework expectations and deadlines (Delaney and Ashton, 2024</w:t>
      </w:r>
      <w:r w:rsidR="00432BAE">
        <w:t>). In</w:t>
      </w:r>
      <w:r>
        <w:t xml:space="preserve"> addition, technical problems can disrupt my learning. For example, poor internet connection or device issues can prevent me from accessing Moodle or lecture slides. This can interrupt my study routine and make it harder to revise important material when I need it most (</w:t>
      </w:r>
      <w:proofErr w:type="spellStart"/>
      <w:r>
        <w:t>Malinovskiy</w:t>
      </w:r>
      <w:proofErr w:type="spellEnd"/>
      <w:r>
        <w:t>, 2025</w:t>
      </w:r>
      <w:r w:rsidR="00432BAE">
        <w:t>). Finally</w:t>
      </w:r>
      <w:r>
        <w:t>, stress and mental fatigue are significant threats. When academic pressure builds up alongside personal responsibilities, it can reduce my focus, memory, and motivation to study effectively. Stress has been shown to negatively affect cognitive performance and how information is processed and retained (Jia, Guo and Tian, 2022</w:t>
      </w:r>
      <w:r w:rsidR="00432BAE">
        <w:t>). These</w:t>
      </w:r>
      <w:r>
        <w:t xml:space="preserve"> threats highlight the importance of managing my time effectively, staying organised, and finding ways to maintain a healthy balance between study, work, and personal life.</w:t>
      </w:r>
    </w:p>
    <w:p w14:paraId="060A853E" w14:textId="72BBF952" w:rsidR="009E6F9E" w:rsidRPr="00A25A3E" w:rsidRDefault="009E6F9E" w:rsidP="009E6F9E">
      <w:pPr>
        <w:spacing w:after="0" w:line="360" w:lineRule="auto"/>
        <w:rPr>
          <w:rFonts w:ascii="Times New Roman" w:eastAsia="Times New Roman" w:hAnsi="Times New Roman" w:cs="Times New Roman"/>
          <w:sz w:val="24"/>
          <w:szCs w:val="24"/>
          <w:lang w:val="en-GB" w:eastAsia="en-GB"/>
        </w:rPr>
      </w:pPr>
    </w:p>
    <w:p w14:paraId="5CA647E1" w14:textId="442EC89F" w:rsidR="009E6F9E" w:rsidRPr="00A25A3E" w:rsidRDefault="00FF5621" w:rsidP="009E6F9E">
      <w:pPr>
        <w:spacing w:before="100" w:beforeAutospacing="1" w:after="100" w:afterAutospacing="1" w:line="360" w:lineRule="auto"/>
        <w:rPr>
          <w:rFonts w:ascii="Times New Roman" w:eastAsia="Times New Roman" w:hAnsi="Times New Roman" w:cs="Times New Roman"/>
          <w:sz w:val="24"/>
          <w:szCs w:val="24"/>
          <w:lang w:val="en-GB" w:eastAsia="en-GB"/>
        </w:rPr>
      </w:pPr>
      <w:r>
        <w:rPr>
          <w:rFonts w:ascii="Times New Roman" w:eastAsia="Times New Roman" w:hAnsi="Times New Roman" w:cs="Times New Roman"/>
          <w:sz w:val="24"/>
          <w:szCs w:val="24"/>
          <w:lang w:val="en-GB" w:eastAsia="en-GB"/>
        </w:rPr>
        <w:t>Conclus</w:t>
      </w:r>
      <w:r w:rsidR="000A1B81">
        <w:rPr>
          <w:rFonts w:ascii="Times New Roman" w:eastAsia="Times New Roman" w:hAnsi="Times New Roman" w:cs="Times New Roman"/>
          <w:sz w:val="24"/>
          <w:szCs w:val="24"/>
          <w:lang w:val="en-GB" w:eastAsia="en-GB"/>
        </w:rPr>
        <w:t>ion</w:t>
      </w:r>
    </w:p>
    <w:p w14:paraId="3F9C5F23" w14:textId="593BD1F4" w:rsidR="009E6F9E" w:rsidRPr="000B6B7C" w:rsidRDefault="009E6F9E" w:rsidP="000B6B7C">
      <w:pPr>
        <w:spacing w:before="100" w:beforeAutospacing="1" w:after="100" w:afterAutospacing="1" w:line="360" w:lineRule="auto"/>
        <w:rPr>
          <w:rFonts w:ascii="Times New Roman" w:eastAsia="Times New Roman" w:hAnsi="Times New Roman" w:cs="Times New Roman"/>
          <w:sz w:val="24"/>
          <w:szCs w:val="24"/>
          <w:lang w:val="en-GB" w:eastAsia="en-GB"/>
        </w:rPr>
      </w:pPr>
      <w:r w:rsidRPr="00A25A3E">
        <w:rPr>
          <w:rFonts w:ascii="Times New Roman" w:eastAsia="Times New Roman" w:hAnsi="Times New Roman" w:cs="Times New Roman"/>
          <w:sz w:val="24"/>
          <w:szCs w:val="24"/>
          <w:lang w:val="en-GB" w:eastAsia="en-GB"/>
        </w:rPr>
        <w:t>In conclusion, this SWOT analysis has helped me reflect on my development of Harvard referencing skills and their impact on my academic progress. My strengths, including lecture attendance, active questioning and reflective learning, have supported my understanding. However, I need to improve my concentration, confidence and participation. Opportunities such as Moodle, peer learning and regular practice will further enhance my skills, while threats such as workload, stress and distractions must be managed effectively. Overall, this reflection has helped me identify clear strategies for improvement and supported my ongoing academic development.</w:t>
      </w:r>
    </w:p>
    <w:p w14:paraId="5A45E4F9" w14:textId="6CFA9050" w:rsidR="00224F99" w:rsidRDefault="00224F99" w:rsidP="00D813A0">
      <w:pPr>
        <w:spacing w:before="100" w:beforeAutospacing="1" w:after="100" w:afterAutospacing="1"/>
        <w:rPr>
          <w:rFonts w:ascii="Times New Roman" w:eastAsia="Times New Roman" w:hAnsi="Times New Roman" w:cs="Times New Roman"/>
          <w:sz w:val="24"/>
          <w:szCs w:val="24"/>
          <w:lang w:val="en-GB" w:eastAsia="en-GB"/>
        </w:rPr>
      </w:pPr>
    </w:p>
    <w:p w14:paraId="2C4E8B0F" w14:textId="77777777" w:rsidR="006D182A" w:rsidRDefault="006D182A" w:rsidP="009076FA">
      <w:pPr>
        <w:rPr>
          <w:rFonts w:ascii="Times New Roman" w:eastAsia="Times New Roman" w:hAnsi="Times New Roman" w:cs="Times New Roman"/>
          <w:sz w:val="24"/>
          <w:szCs w:val="24"/>
          <w:lang w:val="en-GB" w:eastAsia="en-GB"/>
        </w:rPr>
      </w:pPr>
      <w:r>
        <w:rPr>
          <w:rFonts w:ascii="Times New Roman" w:eastAsia="Times New Roman" w:hAnsi="Times New Roman" w:cs="Times New Roman"/>
          <w:sz w:val="24"/>
          <w:szCs w:val="24"/>
          <w:lang w:val="en-GB" w:eastAsia="en-GB"/>
        </w:rPr>
        <w:t>References</w:t>
      </w:r>
    </w:p>
    <w:p w14:paraId="31967027" w14:textId="77777777" w:rsidR="009076FA" w:rsidRDefault="009076FA" w:rsidP="009076FA">
      <w:pPr>
        <w:pStyle w:val="NormalWeb"/>
      </w:pPr>
      <w:r>
        <w:t xml:space="preserve">Ahmad, C.V. (2021) ‘What makes our students demotivated in learning?’, </w:t>
      </w:r>
      <w:r>
        <w:rPr>
          <w:rStyle w:val="Emphasis"/>
        </w:rPr>
        <w:t>Indonesian Journal of Educational Research and Technology</w:t>
      </w:r>
      <w:r>
        <w:t>, 1(2), pp. 51–56.</w:t>
      </w:r>
    </w:p>
    <w:p w14:paraId="73594CE0" w14:textId="77777777" w:rsidR="009076FA" w:rsidRDefault="009076FA" w:rsidP="009076FA">
      <w:pPr>
        <w:pStyle w:val="NormalWeb"/>
      </w:pPr>
      <w:r>
        <w:t xml:space="preserve">Boud, D., Keogh, R. and Walker, D. (2013) </w:t>
      </w:r>
      <w:r>
        <w:rPr>
          <w:rStyle w:val="Emphasis"/>
        </w:rPr>
        <w:t>Reflection: Turning experience into learning</w:t>
      </w:r>
      <w:r>
        <w:t>. London: Routledge.</w:t>
      </w:r>
    </w:p>
    <w:p w14:paraId="43E71CDE" w14:textId="77777777" w:rsidR="009076FA" w:rsidRDefault="009076FA" w:rsidP="009076FA">
      <w:pPr>
        <w:pStyle w:val="NormalWeb"/>
      </w:pPr>
      <w:proofErr w:type="spellStart"/>
      <w:r>
        <w:t>Cicekci</w:t>
      </w:r>
      <w:proofErr w:type="spellEnd"/>
      <w:r>
        <w:t xml:space="preserve">, M.A. and Sadik, F. (2019) ‘Teachers' and students' opinions about students' attention problems during the lesson’, </w:t>
      </w:r>
      <w:r>
        <w:rPr>
          <w:rStyle w:val="Emphasis"/>
        </w:rPr>
        <w:t>Journal of Education and Learning</w:t>
      </w:r>
      <w:r>
        <w:t>, 8(6), pp. 15–30.</w:t>
      </w:r>
    </w:p>
    <w:p w14:paraId="144B5548" w14:textId="77777777" w:rsidR="009076FA" w:rsidRDefault="009076FA" w:rsidP="009076FA">
      <w:pPr>
        <w:pStyle w:val="NormalWeb"/>
      </w:pPr>
      <w:r>
        <w:t xml:space="preserve">Cronje, J. and Van Zyl, I. (2022) ‘WhatsApp as a tool for building a learning community’, </w:t>
      </w:r>
      <w:r>
        <w:rPr>
          <w:rStyle w:val="Emphasis"/>
        </w:rPr>
        <w:t>Electronic Journal of e-Learning</w:t>
      </w:r>
      <w:r>
        <w:t>, 20(3), pp. 296–312.</w:t>
      </w:r>
    </w:p>
    <w:p w14:paraId="29135C76" w14:textId="77777777" w:rsidR="009076FA" w:rsidRDefault="009076FA" w:rsidP="009076FA">
      <w:pPr>
        <w:pStyle w:val="NormalWeb"/>
      </w:pPr>
      <w:r>
        <w:t xml:space="preserve">Delaney, E. and Ashton, M. (2024) ‘Does an attendance policy positively impact staff and student wellbeing?’, </w:t>
      </w:r>
      <w:r>
        <w:rPr>
          <w:rStyle w:val="Emphasis"/>
        </w:rPr>
        <w:t>Journal of Hospitality &amp; Tourism Education</w:t>
      </w:r>
      <w:r>
        <w:t>, 36(3), pp. 205–215.</w:t>
      </w:r>
    </w:p>
    <w:p w14:paraId="66CEE246" w14:textId="77777777" w:rsidR="009076FA" w:rsidRDefault="009076FA" w:rsidP="009076FA">
      <w:pPr>
        <w:pStyle w:val="NormalWeb"/>
      </w:pPr>
      <w:r>
        <w:t xml:space="preserve">Deroey, K.L. and </w:t>
      </w:r>
      <w:proofErr w:type="spellStart"/>
      <w:r>
        <w:t>Taverniers</w:t>
      </w:r>
      <w:proofErr w:type="spellEnd"/>
      <w:r>
        <w:t xml:space="preserve">, M. (2012) ‘Just remember this: </w:t>
      </w:r>
      <w:proofErr w:type="spellStart"/>
      <w:r>
        <w:t>Lexicogrammatical</w:t>
      </w:r>
      <w:proofErr w:type="spellEnd"/>
      <w:r>
        <w:t xml:space="preserve"> relevance markers in lectures’, </w:t>
      </w:r>
      <w:r>
        <w:rPr>
          <w:rStyle w:val="Emphasis"/>
        </w:rPr>
        <w:t>English for Specific Purposes</w:t>
      </w:r>
      <w:r>
        <w:t>, 31(4), pp. 221–233.</w:t>
      </w:r>
    </w:p>
    <w:p w14:paraId="29CB753E" w14:textId="77777777" w:rsidR="009076FA" w:rsidRDefault="009076FA" w:rsidP="009076FA">
      <w:pPr>
        <w:pStyle w:val="NormalWeb"/>
      </w:pPr>
      <w:r>
        <w:t xml:space="preserve">Ebert-May, D., Brewer, C. and Allred, S. (1997) ‘Innovation in large lectures: Teaching for active learning’, </w:t>
      </w:r>
      <w:r>
        <w:rPr>
          <w:rStyle w:val="Emphasis"/>
        </w:rPr>
        <w:t>Bioscience</w:t>
      </w:r>
      <w:r>
        <w:t>, 47(9), pp. 601–607.</w:t>
      </w:r>
    </w:p>
    <w:p w14:paraId="7D5D8EE1" w14:textId="77777777" w:rsidR="009076FA" w:rsidRDefault="009076FA" w:rsidP="009076FA">
      <w:pPr>
        <w:pStyle w:val="NormalWeb"/>
      </w:pPr>
      <w:r>
        <w:t xml:space="preserve">Fisher, D. and Frey, N. (2010) </w:t>
      </w:r>
      <w:r>
        <w:rPr>
          <w:rStyle w:val="Emphasis"/>
        </w:rPr>
        <w:t>Enhancing RTI: How to ensure success with effective classroom instruction and intervention</w:t>
      </w:r>
      <w:r>
        <w:t>. Alexandria, VA: ASCD.</w:t>
      </w:r>
    </w:p>
    <w:p w14:paraId="093F5942" w14:textId="77777777" w:rsidR="009076FA" w:rsidRDefault="009076FA" w:rsidP="009076FA">
      <w:pPr>
        <w:pStyle w:val="NormalWeb"/>
      </w:pPr>
      <w:r>
        <w:t xml:space="preserve">Fisher, D. and Frey, N. (2014) </w:t>
      </w:r>
      <w:r>
        <w:rPr>
          <w:rStyle w:val="Emphasis"/>
        </w:rPr>
        <w:t>Checking for understanding: Formative assessment techniques for your classroom</w:t>
      </w:r>
      <w:r>
        <w:t>. Alexandria, VA: ASCD.</w:t>
      </w:r>
    </w:p>
    <w:p w14:paraId="5E4FF4D8" w14:textId="77777777" w:rsidR="009076FA" w:rsidRDefault="009076FA" w:rsidP="009076FA">
      <w:pPr>
        <w:pStyle w:val="NormalWeb"/>
      </w:pPr>
      <w:r>
        <w:t xml:space="preserve">Gravett, K. and </w:t>
      </w:r>
      <w:proofErr w:type="spellStart"/>
      <w:r>
        <w:t>Kinchin</w:t>
      </w:r>
      <w:proofErr w:type="spellEnd"/>
      <w:r>
        <w:t xml:space="preserve">, I.M. (2021) ‘The role of academic referencing within students’ identity development’, </w:t>
      </w:r>
      <w:r>
        <w:rPr>
          <w:rStyle w:val="Emphasis"/>
        </w:rPr>
        <w:t>Journal of Further and Higher Education</w:t>
      </w:r>
      <w:r>
        <w:t>, 45(3), pp. 377–388.</w:t>
      </w:r>
    </w:p>
    <w:p w14:paraId="3C70E154" w14:textId="77777777" w:rsidR="009076FA" w:rsidRDefault="009076FA" w:rsidP="009076FA">
      <w:pPr>
        <w:pStyle w:val="NormalWeb"/>
      </w:pPr>
      <w:r>
        <w:t xml:space="preserve">Hertzog, P.E. and Swart, A.J. (2018) ‘Video reports by students in a design-based module’, in </w:t>
      </w:r>
      <w:r>
        <w:rPr>
          <w:rStyle w:val="Emphasis"/>
        </w:rPr>
        <w:t>IEEE Global Engineering Education Conference (EDUCON)</w:t>
      </w:r>
      <w:r>
        <w:t>, pp. 451–456.</w:t>
      </w:r>
    </w:p>
    <w:p w14:paraId="51812BB5" w14:textId="77777777" w:rsidR="009076FA" w:rsidRDefault="009076FA" w:rsidP="009076FA">
      <w:pPr>
        <w:pStyle w:val="NormalWeb"/>
      </w:pPr>
      <w:r>
        <w:t xml:space="preserve">Hill, M., Sharma, M.D. and Xu, Y. (2017) ‘Pre-lecture online learning modules in university physics’, </w:t>
      </w:r>
      <w:r>
        <w:rPr>
          <w:rStyle w:val="Emphasis"/>
        </w:rPr>
        <w:t>International Journal of Innovation in Science and Mathematics Education</w:t>
      </w:r>
      <w:r>
        <w:t>, 25(1).</w:t>
      </w:r>
    </w:p>
    <w:p w14:paraId="63769093" w14:textId="77777777" w:rsidR="009076FA" w:rsidRDefault="009076FA" w:rsidP="009076FA">
      <w:pPr>
        <w:pStyle w:val="NormalWeb"/>
      </w:pPr>
      <w:r>
        <w:t xml:space="preserve">Jia, Y., Guo, Y. and Tian, J. (2022) ‘Deep dual-resolution networks for real-time and accurate semantic segmentation of traffic scenes’, </w:t>
      </w:r>
      <w:r>
        <w:rPr>
          <w:rStyle w:val="Emphasis"/>
        </w:rPr>
        <w:t>IEEE Transactions on Intelligent Transportation Systems</w:t>
      </w:r>
      <w:r>
        <w:t>, 24(3), pp. 3448–3460.</w:t>
      </w:r>
    </w:p>
    <w:p w14:paraId="56953EBA" w14:textId="77777777" w:rsidR="009076FA" w:rsidRDefault="009076FA" w:rsidP="009076FA">
      <w:pPr>
        <w:pStyle w:val="NormalWeb"/>
      </w:pPr>
      <w:r>
        <w:lastRenderedPageBreak/>
        <w:t xml:space="preserve">Johnston, A.N., Massa, H. and Burne, T.H. (2013) ‘Digital lecture recording: A cautionary tale’, </w:t>
      </w:r>
      <w:r>
        <w:rPr>
          <w:rStyle w:val="Emphasis"/>
        </w:rPr>
        <w:t>Nurse Education in Practice</w:t>
      </w:r>
      <w:r>
        <w:t>, 13(1), pp. 40–47.</w:t>
      </w:r>
    </w:p>
    <w:p w14:paraId="369451EB" w14:textId="77777777" w:rsidR="009076FA" w:rsidRDefault="009076FA" w:rsidP="009076FA">
      <w:pPr>
        <w:pStyle w:val="NormalWeb"/>
      </w:pPr>
      <w:proofErr w:type="spellStart"/>
      <w:r>
        <w:t>Karabenick</w:t>
      </w:r>
      <w:proofErr w:type="spellEnd"/>
      <w:r>
        <w:t xml:space="preserve">, S.A. and Newman, R.S. (eds.) (2013) </w:t>
      </w:r>
      <w:r>
        <w:rPr>
          <w:rStyle w:val="Emphasis"/>
        </w:rPr>
        <w:t>Help seeking in academic settings: Goals, groups, and contexts</w:t>
      </w:r>
      <w:r>
        <w:t>. New York: Routledge.</w:t>
      </w:r>
    </w:p>
    <w:p w14:paraId="731770DF" w14:textId="77777777" w:rsidR="009076FA" w:rsidRDefault="009076FA" w:rsidP="009076FA">
      <w:pPr>
        <w:pStyle w:val="NormalWeb"/>
      </w:pPr>
      <w:r>
        <w:t xml:space="preserve">Lessky, F. and Unger, M. (2023) ‘Working long hours while studying’, </w:t>
      </w:r>
      <w:r>
        <w:rPr>
          <w:rStyle w:val="Emphasis"/>
        </w:rPr>
        <w:t>European Journal of Higher Education</w:t>
      </w:r>
      <w:r>
        <w:t>, 13(3), pp. 347–366.</w:t>
      </w:r>
    </w:p>
    <w:p w14:paraId="6552064F" w14:textId="77777777" w:rsidR="009076FA" w:rsidRDefault="009076FA" w:rsidP="009076FA">
      <w:pPr>
        <w:pStyle w:val="NormalWeb"/>
      </w:pPr>
      <w:r>
        <w:t xml:space="preserve">Larson, D.B. et al. (2017) ‘Peer feedback, learning, and improvement’, </w:t>
      </w:r>
      <w:r>
        <w:rPr>
          <w:rStyle w:val="Emphasis"/>
        </w:rPr>
        <w:t>Radiology</w:t>
      </w:r>
      <w:r>
        <w:t>, 283(1), pp. 231–241.</w:t>
      </w:r>
    </w:p>
    <w:p w14:paraId="16C8E2BD" w14:textId="77777777" w:rsidR="009076FA" w:rsidRDefault="009076FA" w:rsidP="009076FA">
      <w:pPr>
        <w:pStyle w:val="NormalWeb"/>
      </w:pPr>
      <w:r>
        <w:t xml:space="preserve">Luo, L., Kiewra, K.A. and Samuelson, L. (2016) ‘Revising lecture notes’, </w:t>
      </w:r>
      <w:r>
        <w:rPr>
          <w:rStyle w:val="Emphasis"/>
        </w:rPr>
        <w:t>Instructional Science</w:t>
      </w:r>
      <w:r>
        <w:t>, 44(1), pp. 45–67.</w:t>
      </w:r>
    </w:p>
    <w:p w14:paraId="33AF1E90" w14:textId="77777777" w:rsidR="009076FA" w:rsidRDefault="009076FA" w:rsidP="009076FA">
      <w:pPr>
        <w:pStyle w:val="NormalWeb"/>
      </w:pPr>
      <w:proofErr w:type="spellStart"/>
      <w:r>
        <w:t>Malinovskiy</w:t>
      </w:r>
      <w:proofErr w:type="spellEnd"/>
      <w:r>
        <w:t xml:space="preserve">, P. (2025) ‘Solving the problem of poor internet connectivity in Dhaka’, </w:t>
      </w:r>
      <w:proofErr w:type="spellStart"/>
      <w:r>
        <w:rPr>
          <w:rStyle w:val="Emphasis"/>
        </w:rPr>
        <w:t>arXiv</w:t>
      </w:r>
      <w:proofErr w:type="spellEnd"/>
      <w:r>
        <w:rPr>
          <w:rStyle w:val="Emphasis"/>
        </w:rPr>
        <w:t xml:space="preserve"> preprint</w:t>
      </w:r>
      <w:r>
        <w:t>, arXiv:2506.17343.</w:t>
      </w:r>
    </w:p>
    <w:p w14:paraId="6034531A" w14:textId="77777777" w:rsidR="009076FA" w:rsidRDefault="009076FA" w:rsidP="009076FA">
      <w:pPr>
        <w:pStyle w:val="NormalWeb"/>
      </w:pPr>
      <w:proofErr w:type="spellStart"/>
      <w:r>
        <w:t>Merhavy</w:t>
      </w:r>
      <w:proofErr w:type="spellEnd"/>
      <w:r>
        <w:t xml:space="preserve">, Z.I. et al. (2023) ‘The impact of lecture playback speeds’, </w:t>
      </w:r>
      <w:r>
        <w:rPr>
          <w:rStyle w:val="Emphasis"/>
        </w:rPr>
        <w:t>BMC Medical Education</w:t>
      </w:r>
      <w:r>
        <w:t>, 23(1), p. 515.</w:t>
      </w:r>
    </w:p>
    <w:p w14:paraId="5264EFA6" w14:textId="77777777" w:rsidR="009076FA" w:rsidRDefault="009076FA" w:rsidP="009076FA">
      <w:pPr>
        <w:pStyle w:val="NormalWeb"/>
      </w:pPr>
      <w:proofErr w:type="spellStart"/>
      <w:r>
        <w:t>Mendizábal</w:t>
      </w:r>
      <w:proofErr w:type="spellEnd"/>
      <w:r>
        <w:t xml:space="preserve">, Y., Llorens, S. and Nava, E. (2013) ‘Hypertension in metabolic syndrome: vascular pathophysiology’, </w:t>
      </w:r>
      <w:r>
        <w:rPr>
          <w:rStyle w:val="Emphasis"/>
        </w:rPr>
        <w:t>International Journal of Hypertension</w:t>
      </w:r>
      <w:r>
        <w:t>, 2013, p. 230868.</w:t>
      </w:r>
    </w:p>
    <w:p w14:paraId="054AA008" w14:textId="77777777" w:rsidR="009076FA" w:rsidRDefault="009076FA" w:rsidP="009076FA">
      <w:pPr>
        <w:pStyle w:val="NormalWeb"/>
      </w:pPr>
      <w:r>
        <w:t xml:space="preserve">Neville, C. (2016) </w:t>
      </w:r>
      <w:r>
        <w:rPr>
          <w:rStyle w:val="Emphasis"/>
        </w:rPr>
        <w:t>The complete guide to referencing and avoiding plagiarism</w:t>
      </w:r>
      <w:r>
        <w:t>. Maidenhead: McGraw-Hill Education.</w:t>
      </w:r>
    </w:p>
    <w:p w14:paraId="1AE9F587" w14:textId="77777777" w:rsidR="009076FA" w:rsidRDefault="009076FA" w:rsidP="009076FA">
      <w:pPr>
        <w:pStyle w:val="NormalWeb"/>
      </w:pPr>
      <w:r>
        <w:t xml:space="preserve">Pan, H., Hong, Y., Sun, W. and Jia, Y. (2022) ‘Deep dual-resolution networks for real-time and accurate semantic segmentation of traffic scenes’, </w:t>
      </w:r>
      <w:r>
        <w:rPr>
          <w:rStyle w:val="Emphasis"/>
        </w:rPr>
        <w:t>IEEE Transactions on Intelligent Transportation Systems</w:t>
      </w:r>
      <w:r>
        <w:t>, 24(3), pp. 3448–3460.</w:t>
      </w:r>
    </w:p>
    <w:p w14:paraId="1C7CEC60" w14:textId="77777777" w:rsidR="009076FA" w:rsidRDefault="009076FA" w:rsidP="009076FA">
      <w:pPr>
        <w:pStyle w:val="NormalWeb"/>
      </w:pPr>
      <w:r>
        <w:t xml:space="preserve">Pears, R. and Shields, G. (2025) </w:t>
      </w:r>
      <w:r>
        <w:rPr>
          <w:rStyle w:val="Emphasis"/>
        </w:rPr>
        <w:t>Cite them right: The essential referencing guide</w:t>
      </w:r>
      <w:r>
        <w:t>. London: Bloomsbury.</w:t>
      </w:r>
    </w:p>
    <w:p w14:paraId="7F84D86B" w14:textId="77777777" w:rsidR="009076FA" w:rsidRDefault="009076FA" w:rsidP="009076FA">
      <w:pPr>
        <w:pStyle w:val="NormalWeb"/>
      </w:pPr>
      <w:proofErr w:type="spellStart"/>
      <w:r>
        <w:t>Sajjacholapunt</w:t>
      </w:r>
      <w:proofErr w:type="spellEnd"/>
      <w:r>
        <w:t xml:space="preserve">, P. and Joy, M. (2014) ‘Using learning resources for self-revision’, in </w:t>
      </w:r>
      <w:r>
        <w:rPr>
          <w:rStyle w:val="Emphasis"/>
        </w:rPr>
        <w:t>INTED2014 Proceedings</w:t>
      </w:r>
      <w:r>
        <w:t>, pp. 5263–5271.</w:t>
      </w:r>
    </w:p>
    <w:p w14:paraId="266F6DE5" w14:textId="77777777" w:rsidR="009076FA" w:rsidRDefault="009076FA" w:rsidP="009076FA">
      <w:pPr>
        <w:pStyle w:val="NormalWeb"/>
      </w:pPr>
      <w:proofErr w:type="spellStart"/>
      <w:r>
        <w:t>Severiens</w:t>
      </w:r>
      <w:proofErr w:type="spellEnd"/>
      <w:r>
        <w:t xml:space="preserve">, S., </w:t>
      </w:r>
      <w:proofErr w:type="spellStart"/>
      <w:r>
        <w:t>Meeuwisse</w:t>
      </w:r>
      <w:proofErr w:type="spellEnd"/>
      <w:r>
        <w:t xml:space="preserve">, M. and Born, M. (2015) ‘Student experience and academic success’, </w:t>
      </w:r>
      <w:r>
        <w:rPr>
          <w:rStyle w:val="Emphasis"/>
        </w:rPr>
        <w:t>Higher Education</w:t>
      </w:r>
      <w:r>
        <w:t>, 70(1), pp. 1–17.</w:t>
      </w:r>
    </w:p>
    <w:p w14:paraId="1BD7A8C2" w14:textId="77777777" w:rsidR="009076FA" w:rsidRDefault="009076FA" w:rsidP="009076FA">
      <w:pPr>
        <w:pStyle w:val="NormalWeb"/>
      </w:pPr>
      <w:r>
        <w:t xml:space="preserve">Silva, F. and Carreira, C. (2012) ‘Do financial constraints threaten innovation?’, </w:t>
      </w:r>
      <w:r>
        <w:rPr>
          <w:rStyle w:val="Emphasis"/>
        </w:rPr>
        <w:t>Economics of Innovation and New Technology</w:t>
      </w:r>
      <w:r>
        <w:t>, 21(8), pp. 701–736.</w:t>
      </w:r>
    </w:p>
    <w:p w14:paraId="3B71E7A7" w14:textId="77777777" w:rsidR="009076FA" w:rsidRDefault="009076FA" w:rsidP="009076FA">
      <w:pPr>
        <w:pStyle w:val="NormalWeb"/>
      </w:pPr>
      <w:r>
        <w:t xml:space="preserve">Stefanou, C. et al. (2012) ‘Active learning environments and student outcomes’, </w:t>
      </w:r>
      <w:r>
        <w:rPr>
          <w:rStyle w:val="Emphasis"/>
        </w:rPr>
        <w:t>International Journal of Engineering Education</w:t>
      </w:r>
      <w:r>
        <w:t>, 28(3), pp. 606–620.</w:t>
      </w:r>
    </w:p>
    <w:p w14:paraId="1BD0CEF5" w14:textId="77777777" w:rsidR="009076FA" w:rsidRDefault="009076FA" w:rsidP="009076FA">
      <w:pPr>
        <w:pStyle w:val="NormalWeb"/>
      </w:pPr>
      <w:r>
        <w:lastRenderedPageBreak/>
        <w:t xml:space="preserve">Waring, H.Z. (2012) ‘“Any questions?” in the classroom’, </w:t>
      </w:r>
      <w:r>
        <w:rPr>
          <w:rStyle w:val="Emphasis"/>
        </w:rPr>
        <w:t>TESOL Quarterly</w:t>
      </w:r>
      <w:r>
        <w:t>, 46(4), pp. 722–733.</w:t>
      </w:r>
    </w:p>
    <w:p w14:paraId="34A045F3" w14:textId="77777777" w:rsidR="009076FA" w:rsidRDefault="009076FA" w:rsidP="009076FA">
      <w:pPr>
        <w:pStyle w:val="NormalWeb"/>
      </w:pPr>
      <w:r>
        <w:t xml:space="preserve">Wood, W.B. and Tanner, K.D. (2012) ‘The role of the lecturer as tutor’, </w:t>
      </w:r>
      <w:r>
        <w:rPr>
          <w:rStyle w:val="Emphasis"/>
        </w:rPr>
        <w:t>CBE—Life Sciences Education</w:t>
      </w:r>
      <w:r>
        <w:t>, 11(1), pp. 3–9.</w:t>
      </w:r>
    </w:p>
    <w:p w14:paraId="10DFD6E9" w14:textId="77777777" w:rsidR="00785100" w:rsidRDefault="00785100"/>
    <w:sectPr w:rsidR="00785100" w:rsidSect="00034616">
      <w:pgSz w:w="12240" w:h="15840"/>
      <w:pgMar w:top="1440" w:right="1800" w:bottom="1440" w:left="180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BF57E92" w14:textId="77777777" w:rsidR="003241BE" w:rsidRDefault="003241BE" w:rsidP="00633090">
      <w:pPr>
        <w:spacing w:after="0" w:line="240" w:lineRule="auto"/>
      </w:pPr>
      <w:r>
        <w:separator/>
      </w:r>
    </w:p>
  </w:endnote>
  <w:endnote w:type="continuationSeparator" w:id="0">
    <w:p w14:paraId="4DEF7A4B" w14:textId="77777777" w:rsidR="003241BE" w:rsidRDefault="003241BE" w:rsidP="0063309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MS Mincho">
    <w:panose1 w:val="02020609040205080304"/>
    <w:charset w:val="80"/>
    <w:family w:val="modern"/>
    <w:pitch w:val="fixed"/>
    <w:sig w:usb0="E00002FF" w:usb1="6AC7FDFB" w:usb2="08000012" w:usb3="00000000" w:csb0="0002009F" w:csb1="00000000"/>
  </w:font>
  <w:font w:name="Calibri">
    <w:panose1 w:val="020F0502020204030204"/>
    <w:charset w:val="00"/>
    <w:family w:val="swiss"/>
    <w:pitch w:val="variable"/>
    <w:sig w:usb0="E4002EFF" w:usb1="C2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ourier">
    <w:panose1 w:val="02070409020205020404"/>
    <w:charset w:val="00"/>
    <w:family w:val="auto"/>
    <w:pitch w:val="variable"/>
    <w:sig w:usb0="00000003" w:usb1="00000000" w:usb2="00000000" w:usb3="00000000" w:csb0="00000001"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BBAF894" w14:textId="77777777" w:rsidR="003241BE" w:rsidRDefault="003241BE" w:rsidP="00633090">
      <w:pPr>
        <w:spacing w:after="0" w:line="240" w:lineRule="auto"/>
      </w:pPr>
      <w:r>
        <w:separator/>
      </w:r>
    </w:p>
  </w:footnote>
  <w:footnote w:type="continuationSeparator" w:id="0">
    <w:p w14:paraId="2FBE1B23" w14:textId="77777777" w:rsidR="003241BE" w:rsidRDefault="003241BE" w:rsidP="0063309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abstractNum w:abstractNumId="9" w15:restartNumberingAfterBreak="0">
    <w:nsid w:val="07422DDE"/>
    <w:multiLevelType w:val="multilevel"/>
    <w:tmpl w:val="D70A35F2"/>
    <w:lvl w:ilvl="0">
      <w:start w:val="6"/>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0E3A7934"/>
    <w:multiLevelType w:val="multilevel"/>
    <w:tmpl w:val="1F52DC8E"/>
    <w:lvl w:ilvl="0">
      <w:start w:val="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11B92A9F"/>
    <w:multiLevelType w:val="multilevel"/>
    <w:tmpl w:val="A3462990"/>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2DE02317"/>
    <w:multiLevelType w:val="multilevel"/>
    <w:tmpl w:val="B8DA1ED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445D75DB"/>
    <w:multiLevelType w:val="multilevel"/>
    <w:tmpl w:val="557619E2"/>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695709CA"/>
    <w:multiLevelType w:val="multilevel"/>
    <w:tmpl w:val="962E0DFE"/>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7B385CF6"/>
    <w:multiLevelType w:val="hybridMultilevel"/>
    <w:tmpl w:val="10B69B5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6686024">
    <w:abstractNumId w:val="8"/>
  </w:num>
  <w:num w:numId="2" w16cid:durableId="1676224000">
    <w:abstractNumId w:val="6"/>
  </w:num>
  <w:num w:numId="3" w16cid:durableId="1888376689">
    <w:abstractNumId w:val="5"/>
  </w:num>
  <w:num w:numId="4" w16cid:durableId="1711758202">
    <w:abstractNumId w:val="4"/>
  </w:num>
  <w:num w:numId="5" w16cid:durableId="263079538">
    <w:abstractNumId w:val="7"/>
  </w:num>
  <w:num w:numId="6" w16cid:durableId="854612114">
    <w:abstractNumId w:val="3"/>
  </w:num>
  <w:num w:numId="7" w16cid:durableId="671183854">
    <w:abstractNumId w:val="2"/>
  </w:num>
  <w:num w:numId="8" w16cid:durableId="838665265">
    <w:abstractNumId w:val="1"/>
  </w:num>
  <w:num w:numId="9" w16cid:durableId="665977557">
    <w:abstractNumId w:val="0"/>
  </w:num>
  <w:num w:numId="10" w16cid:durableId="1548300384">
    <w:abstractNumId w:val="12"/>
  </w:num>
  <w:num w:numId="11" w16cid:durableId="1813328146">
    <w:abstractNumId w:val="11"/>
  </w:num>
  <w:num w:numId="12" w16cid:durableId="1038511864">
    <w:abstractNumId w:val="13"/>
  </w:num>
  <w:num w:numId="13" w16cid:durableId="642807365">
    <w:abstractNumId w:val="14"/>
  </w:num>
  <w:num w:numId="14" w16cid:durableId="1934392238">
    <w:abstractNumId w:val="10"/>
  </w:num>
  <w:num w:numId="15" w16cid:durableId="2059089721">
    <w:abstractNumId w:val="9"/>
  </w:num>
  <w:num w:numId="16" w16cid:durableId="2097433104">
    <w:abstractNumId w:val="1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B47730"/>
    <w:rsid w:val="000318D3"/>
    <w:rsid w:val="00034616"/>
    <w:rsid w:val="00036BC3"/>
    <w:rsid w:val="0004591F"/>
    <w:rsid w:val="0006063C"/>
    <w:rsid w:val="000770BB"/>
    <w:rsid w:val="00083D0E"/>
    <w:rsid w:val="000A1B81"/>
    <w:rsid w:val="000B4008"/>
    <w:rsid w:val="000B5B52"/>
    <w:rsid w:val="000B6B7C"/>
    <w:rsid w:val="000C603B"/>
    <w:rsid w:val="000D299D"/>
    <w:rsid w:val="000D62AD"/>
    <w:rsid w:val="000E3BF3"/>
    <w:rsid w:val="00140BF4"/>
    <w:rsid w:val="0015074B"/>
    <w:rsid w:val="00154FA5"/>
    <w:rsid w:val="00161D10"/>
    <w:rsid w:val="001937F2"/>
    <w:rsid w:val="001A382B"/>
    <w:rsid w:val="001E2848"/>
    <w:rsid w:val="002013F7"/>
    <w:rsid w:val="00216484"/>
    <w:rsid w:val="00224F99"/>
    <w:rsid w:val="00235516"/>
    <w:rsid w:val="00247CD9"/>
    <w:rsid w:val="00264AF8"/>
    <w:rsid w:val="0029639D"/>
    <w:rsid w:val="002B5642"/>
    <w:rsid w:val="002C2B9C"/>
    <w:rsid w:val="002F7CD6"/>
    <w:rsid w:val="00300BED"/>
    <w:rsid w:val="003241BE"/>
    <w:rsid w:val="00326F90"/>
    <w:rsid w:val="00344380"/>
    <w:rsid w:val="0038616B"/>
    <w:rsid w:val="003925BE"/>
    <w:rsid w:val="00396EA3"/>
    <w:rsid w:val="003A60B9"/>
    <w:rsid w:val="003E3762"/>
    <w:rsid w:val="003F2CC6"/>
    <w:rsid w:val="00432BAE"/>
    <w:rsid w:val="00436729"/>
    <w:rsid w:val="00457C4A"/>
    <w:rsid w:val="00481A20"/>
    <w:rsid w:val="00510971"/>
    <w:rsid w:val="00520DED"/>
    <w:rsid w:val="00525FC6"/>
    <w:rsid w:val="00540F0A"/>
    <w:rsid w:val="00576B43"/>
    <w:rsid w:val="00582458"/>
    <w:rsid w:val="00587F3D"/>
    <w:rsid w:val="005E1E65"/>
    <w:rsid w:val="00605F92"/>
    <w:rsid w:val="00614A73"/>
    <w:rsid w:val="006245C8"/>
    <w:rsid w:val="00633090"/>
    <w:rsid w:val="006528C8"/>
    <w:rsid w:val="00686BDF"/>
    <w:rsid w:val="006B66E7"/>
    <w:rsid w:val="006D182A"/>
    <w:rsid w:val="006E54B5"/>
    <w:rsid w:val="00760ED8"/>
    <w:rsid w:val="007643CC"/>
    <w:rsid w:val="0078051E"/>
    <w:rsid w:val="00785100"/>
    <w:rsid w:val="00787E61"/>
    <w:rsid w:val="007E4DA8"/>
    <w:rsid w:val="0080533F"/>
    <w:rsid w:val="00820C8F"/>
    <w:rsid w:val="00846E1A"/>
    <w:rsid w:val="008551F6"/>
    <w:rsid w:val="00893582"/>
    <w:rsid w:val="008A30E7"/>
    <w:rsid w:val="008B569B"/>
    <w:rsid w:val="008D5223"/>
    <w:rsid w:val="008E6078"/>
    <w:rsid w:val="009076FA"/>
    <w:rsid w:val="00931900"/>
    <w:rsid w:val="00931AE0"/>
    <w:rsid w:val="0094027D"/>
    <w:rsid w:val="00946D46"/>
    <w:rsid w:val="0097037E"/>
    <w:rsid w:val="009860C2"/>
    <w:rsid w:val="00996B36"/>
    <w:rsid w:val="009E6F9E"/>
    <w:rsid w:val="00A25A3E"/>
    <w:rsid w:val="00A31357"/>
    <w:rsid w:val="00A57A89"/>
    <w:rsid w:val="00A6095A"/>
    <w:rsid w:val="00A64BFB"/>
    <w:rsid w:val="00A75EC5"/>
    <w:rsid w:val="00A83A6B"/>
    <w:rsid w:val="00A92062"/>
    <w:rsid w:val="00AA1D8D"/>
    <w:rsid w:val="00AB2E7F"/>
    <w:rsid w:val="00AB3DF7"/>
    <w:rsid w:val="00B06698"/>
    <w:rsid w:val="00B0791C"/>
    <w:rsid w:val="00B13081"/>
    <w:rsid w:val="00B408FA"/>
    <w:rsid w:val="00B46DC3"/>
    <w:rsid w:val="00B47730"/>
    <w:rsid w:val="00BB4513"/>
    <w:rsid w:val="00BC01E1"/>
    <w:rsid w:val="00BF49EE"/>
    <w:rsid w:val="00C04390"/>
    <w:rsid w:val="00C6153B"/>
    <w:rsid w:val="00CB0664"/>
    <w:rsid w:val="00CE55B4"/>
    <w:rsid w:val="00CF7EB4"/>
    <w:rsid w:val="00D45DC2"/>
    <w:rsid w:val="00D81287"/>
    <w:rsid w:val="00D813A0"/>
    <w:rsid w:val="00DF24AB"/>
    <w:rsid w:val="00E0274B"/>
    <w:rsid w:val="00E06E32"/>
    <w:rsid w:val="00E25DE1"/>
    <w:rsid w:val="00E42D58"/>
    <w:rsid w:val="00E64CAF"/>
    <w:rsid w:val="00E655D1"/>
    <w:rsid w:val="00F102C3"/>
    <w:rsid w:val="00F113EC"/>
    <w:rsid w:val="00F20E2D"/>
    <w:rsid w:val="00F37835"/>
    <w:rsid w:val="00F62293"/>
    <w:rsid w:val="00F6745E"/>
    <w:rsid w:val="00F81039"/>
    <w:rsid w:val="00F86F99"/>
    <w:rsid w:val="00FC693F"/>
    <w:rsid w:val="00FC71B2"/>
    <w:rsid w:val="00FE6B81"/>
    <w:rsid w:val="00FF5621"/>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5DBADDA4"/>
  <w14:defaultImageDpi w14:val="300"/>
  <w15:docId w15:val="{5DACF478-0F28-40EF-9C88-C141DA051E6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C693F"/>
  </w:style>
  <w:style w:type="paragraph" w:styleId="Heading1">
    <w:name w:val="heading 1"/>
    <w:basedOn w:val="Normal"/>
    <w:next w:val="Normal"/>
    <w:link w:val="Heading1Char"/>
    <w:uiPriority w:val="9"/>
    <w:qFormat/>
    <w:rsid w:val="00FC693F"/>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FC693F"/>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pPr>
      <w:spacing w:after="120"/>
    </w:pPr>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after="120"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pPr>
      <w:spacing w:after="120"/>
    </w:pPr>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semiHidden/>
    <w:unhideWhenUsed/>
    <w:qFormat/>
    <w:rsid w:val="00FC693F"/>
    <w:pPr>
      <w:outlineLvl w:val="9"/>
    </w:pPr>
  </w:style>
  <w:style w:type="table" w:styleId="TableGrid">
    <w:name w:val="Table Grid"/>
    <w:basedOn w:val="TableNormal"/>
    <w:uiPriority w:val="5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character" w:styleId="Hyperlink">
    <w:name w:val="Hyperlink"/>
    <w:basedOn w:val="DefaultParagraphFont"/>
    <w:uiPriority w:val="99"/>
    <w:semiHidden/>
    <w:unhideWhenUsed/>
    <w:rsid w:val="00FE6B81"/>
    <w:rPr>
      <w:color w:val="0000FF"/>
      <w:u w:val="single"/>
    </w:rPr>
  </w:style>
  <w:style w:type="paragraph" w:styleId="NormalWeb">
    <w:name w:val="Normal (Web)"/>
    <w:basedOn w:val="Normal"/>
    <w:uiPriority w:val="99"/>
    <w:semiHidden/>
    <w:unhideWhenUsed/>
    <w:rsid w:val="006D182A"/>
    <w:pPr>
      <w:spacing w:before="100" w:beforeAutospacing="1" w:after="100" w:afterAutospacing="1" w:line="240" w:lineRule="auto"/>
    </w:pPr>
    <w:rPr>
      <w:rFonts w:ascii="Times New Roman" w:eastAsia="Times New Roman" w:hAnsi="Times New Roman" w:cs="Times New Roman"/>
      <w:sz w:val="24"/>
      <w:szCs w:val="24"/>
      <w:lang w:val="en-GB"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fontTable" Target="fontTable.xml"/><Relationship Id="rId5" Type="http://schemas.openxmlformats.org/officeDocument/2006/relationships/numbering" Target="numbering.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b4f9f7ee-5770-4a14-8925-17f3d16e50b7" xsi:nil="true"/>
  </documentManagement>
</p:properties>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ct:contentTypeSchema xmlns:ct="http://schemas.microsoft.com/office/2006/metadata/contentType" xmlns:ma="http://schemas.microsoft.com/office/2006/metadata/properties/metaAttributes" ct:_="" ma:_="" ma:contentTypeName="Document" ma:contentTypeID="0x01010060C4E9246EAD664A9A522726E403CA17" ma:contentTypeVersion="5" ma:contentTypeDescription="Create a new document." ma:contentTypeScope="" ma:versionID="8494253ead0e9d555274507181a85169">
  <xsd:schema xmlns:xsd="http://www.w3.org/2001/XMLSchema" xmlns:xs="http://www.w3.org/2001/XMLSchema" xmlns:p="http://schemas.microsoft.com/office/2006/metadata/properties" xmlns:ns3="b4f9f7ee-5770-4a14-8925-17f3d16e50b7" targetNamespace="http://schemas.microsoft.com/office/2006/metadata/properties" ma:root="true" ma:fieldsID="e60b12282a3c783e20aeb3cd5cc3c403" ns3:_="">
    <xsd:import namespace="b4f9f7ee-5770-4a14-8925-17f3d16e50b7"/>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4f9f7ee-5770-4a14-8925-17f3d16e50b7"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_activity" ma:index="12"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E3D77E8E-8A8C-42BB-ABF3-559F99082742}">
  <ds:schemaRefs>
    <ds:schemaRef ds:uri="http://schemas.microsoft.com/office/2006/metadata/properties"/>
    <ds:schemaRef ds:uri="http://schemas.microsoft.com/office/infopath/2007/PartnerControls"/>
    <ds:schemaRef ds:uri="b4f9f7ee-5770-4a14-8925-17f3d16e50b7"/>
  </ds:schemaRefs>
</ds:datastoreItem>
</file>

<file path=customXml/itemProps2.xml><?xml version="1.0" encoding="utf-8"?>
<ds:datastoreItem xmlns:ds="http://schemas.openxmlformats.org/officeDocument/2006/customXml" ds:itemID="{EF278816-EC6F-A645-907D-7F25AECB1D4A}">
  <ds:schemaRefs>
    <ds:schemaRef ds:uri="http://schemas.openxmlformats.org/officeDocument/2006/bibliography"/>
  </ds:schemaRefs>
</ds:datastoreItem>
</file>

<file path=customXml/itemProps3.xml><?xml version="1.0" encoding="utf-8"?>
<ds:datastoreItem xmlns:ds="http://schemas.openxmlformats.org/officeDocument/2006/customXml" ds:itemID="{4C04B120-E8DB-480C-9CDD-E9CC4B5266D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4f9f7ee-5770-4a14-8925-17f3d16e50b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43128881-BA78-467E-AA41-FAA0BB743B06}">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8</Pages>
  <Words>2304</Words>
  <Characters>13136</Characters>
  <Application>Microsoft Office Word</Application>
  <DocSecurity>0</DocSecurity>
  <Lines>109</Lines>
  <Paragraphs>30</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15410</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python-docx</dc:creator>
  <cp:keywords/>
  <dc:description>generated by python-docx</dc:description>
  <cp:lastModifiedBy>Ebrima Njie (2514125)</cp:lastModifiedBy>
  <cp:revision>2</cp:revision>
  <cp:lastPrinted>2026-05-06T12:25:00Z</cp:lastPrinted>
  <dcterms:created xsi:type="dcterms:W3CDTF">2026-05-08T02:08:00Z</dcterms:created>
  <dcterms:modified xsi:type="dcterms:W3CDTF">2026-05-08T02:08:00Z</dcterms:modified>
  <cp:category/>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0x01010060C4E9246EAD664A9A522726E403CA17</vt:lpwstr>
  </property>
</Properties>
</file>