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AEAE6" w14:textId="77777777" w:rsidR="00011593" w:rsidRDefault="00011593"/>
    <w:p w14:paraId="1F525F16" w14:textId="77777777" w:rsidR="00011593" w:rsidRDefault="00011593"/>
    <w:p w14:paraId="36168744" w14:textId="77777777" w:rsidR="00011593" w:rsidRDefault="00011593"/>
    <w:p w14:paraId="194FFEFE" w14:textId="77777777" w:rsidR="00011593" w:rsidRDefault="00011593"/>
    <w:p w14:paraId="2CF60E19" w14:textId="77777777" w:rsidR="00011593" w:rsidRDefault="00000000">
      <w:pPr>
        <w:jc w:val="center"/>
      </w:pPr>
      <w:r>
        <w:rPr>
          <w:noProof/>
        </w:rPr>
        <w:drawing>
          <wp:inline distT="114300" distB="114300" distL="114300" distR="114300" wp14:anchorId="43A19E4D" wp14:editId="2A42BFFF">
            <wp:extent cx="947738" cy="105139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947738" cy="1051396"/>
                    </a:xfrm>
                    <a:prstGeom prst="rect">
                      <a:avLst/>
                    </a:prstGeom>
                    <a:ln/>
                  </pic:spPr>
                </pic:pic>
              </a:graphicData>
            </a:graphic>
          </wp:inline>
        </w:drawing>
      </w:r>
    </w:p>
    <w:p w14:paraId="768794EB" w14:textId="77777777" w:rsidR="00011593" w:rsidRDefault="00000000">
      <w:pPr>
        <w:jc w:val="center"/>
        <w:rPr>
          <w:b/>
          <w:bCs/>
          <w:sz w:val="36"/>
          <w:szCs w:val="36"/>
        </w:rPr>
      </w:pPr>
      <w:r>
        <w:rPr>
          <w:b/>
          <w:bCs/>
          <w:sz w:val="36"/>
          <w:szCs w:val="36"/>
        </w:rPr>
        <w:t>EC982 HEALTH ECONOMICS POLICY</w:t>
      </w:r>
    </w:p>
    <w:p w14:paraId="4A68F248" w14:textId="77777777" w:rsidR="00011593" w:rsidRDefault="00000000">
      <w:pPr>
        <w:jc w:val="center"/>
        <w:rPr>
          <w:b/>
          <w:bCs/>
          <w:sz w:val="36"/>
          <w:szCs w:val="36"/>
        </w:rPr>
      </w:pPr>
      <w:r>
        <w:rPr>
          <w:b/>
          <w:bCs/>
          <w:sz w:val="36"/>
          <w:szCs w:val="36"/>
        </w:rPr>
        <w:t>ASSESSMENT 2025/2026</w:t>
      </w:r>
    </w:p>
    <w:p w14:paraId="37239830" w14:textId="77777777" w:rsidR="00011593" w:rsidRDefault="00011593">
      <w:pPr>
        <w:jc w:val="center"/>
        <w:rPr>
          <w:b/>
          <w:bCs/>
          <w:sz w:val="36"/>
          <w:szCs w:val="36"/>
        </w:rPr>
      </w:pPr>
    </w:p>
    <w:p w14:paraId="6B922FB8" w14:textId="77777777" w:rsidR="00011593" w:rsidRDefault="00011593">
      <w:pPr>
        <w:jc w:val="center"/>
        <w:rPr>
          <w:b/>
          <w:bCs/>
          <w:sz w:val="36"/>
          <w:szCs w:val="36"/>
        </w:rPr>
      </w:pPr>
    </w:p>
    <w:p w14:paraId="623D8E38" w14:textId="77777777" w:rsidR="00011593" w:rsidRDefault="00011593">
      <w:pPr>
        <w:jc w:val="center"/>
        <w:rPr>
          <w:b/>
          <w:bCs/>
          <w:sz w:val="36"/>
          <w:szCs w:val="36"/>
        </w:rPr>
      </w:pPr>
    </w:p>
    <w:p w14:paraId="0B47FE41" w14:textId="337D24F5" w:rsidR="001C6FC9" w:rsidRDefault="00BE6F3C" w:rsidP="00BE6F3C">
      <w:pPr>
        <w:jc w:val="center"/>
        <w:rPr>
          <w:b/>
          <w:bCs/>
          <w:sz w:val="28"/>
          <w:szCs w:val="28"/>
        </w:rPr>
      </w:pPr>
      <w:r w:rsidRPr="00BE6F3C">
        <w:rPr>
          <w:b/>
          <w:bCs/>
          <w:sz w:val="36"/>
          <w:szCs w:val="36"/>
        </w:rPr>
        <w:t>Marek Horvath - 2438124</w:t>
      </w:r>
      <w:r w:rsidR="001C6FC9">
        <w:rPr>
          <w:b/>
          <w:bCs/>
          <w:sz w:val="28"/>
          <w:szCs w:val="28"/>
        </w:rPr>
        <w:br w:type="page"/>
      </w:r>
    </w:p>
    <w:sdt>
      <w:sdtPr>
        <w:rPr>
          <w:rFonts w:ascii="Times New Roman" w:eastAsia="Times New Roman" w:hAnsi="Times New Roman" w:cs="Times New Roman"/>
          <w:b/>
          <w:bCs/>
          <w:color w:val="000000" w:themeColor="text1"/>
          <w:sz w:val="28"/>
          <w:szCs w:val="28"/>
          <w:lang w:val="en-GB" w:eastAsia="zh-CN"/>
        </w:rPr>
        <w:id w:val="1784695729"/>
        <w:docPartObj>
          <w:docPartGallery w:val="Table of Contents"/>
          <w:docPartUnique/>
        </w:docPartObj>
      </w:sdtPr>
      <w:sdtEndPr>
        <w:rPr>
          <w:noProof/>
          <w:color w:val="auto"/>
          <w:sz w:val="24"/>
          <w:szCs w:val="24"/>
        </w:rPr>
      </w:sdtEndPr>
      <w:sdtContent>
        <w:p w14:paraId="6322744D" w14:textId="3638DB88" w:rsidR="001C6FC9" w:rsidRPr="001C6FC9" w:rsidRDefault="001C6FC9" w:rsidP="001C6FC9">
          <w:pPr>
            <w:pStyle w:val="TOCHeading"/>
            <w:jc w:val="center"/>
            <w:rPr>
              <w:rFonts w:ascii="Times New Roman" w:hAnsi="Times New Roman" w:cs="Times New Roman"/>
              <w:b/>
              <w:bCs/>
              <w:color w:val="000000" w:themeColor="text1"/>
              <w:sz w:val="28"/>
              <w:szCs w:val="28"/>
            </w:rPr>
          </w:pPr>
          <w:r w:rsidRPr="001C6FC9">
            <w:rPr>
              <w:rFonts w:ascii="Times New Roman" w:hAnsi="Times New Roman" w:cs="Times New Roman"/>
              <w:b/>
              <w:bCs/>
              <w:color w:val="000000" w:themeColor="text1"/>
              <w:sz w:val="28"/>
              <w:szCs w:val="28"/>
            </w:rPr>
            <w:t>Table of Contents</w:t>
          </w:r>
        </w:p>
        <w:p w14:paraId="29DCE735" w14:textId="505BA87A" w:rsidR="001C6FC9" w:rsidRDefault="001C6FC9">
          <w:pPr>
            <w:pStyle w:val="TOC1"/>
            <w:tabs>
              <w:tab w:val="right" w:leader="dot" w:pos="9019"/>
            </w:tabs>
            <w:rPr>
              <w:noProof/>
            </w:rPr>
          </w:pPr>
          <w:r>
            <w:fldChar w:fldCharType="begin"/>
          </w:r>
          <w:r>
            <w:instrText xml:space="preserve"> TOC \o "1-3" \h \z \u </w:instrText>
          </w:r>
          <w:r>
            <w:fldChar w:fldCharType="separate"/>
          </w:r>
          <w:hyperlink w:anchor="_Toc227773544" w:history="1">
            <w:r w:rsidRPr="0033099D">
              <w:rPr>
                <w:rStyle w:val="Hyperlink"/>
                <w:noProof/>
              </w:rPr>
              <w:t>1. Introduction</w:t>
            </w:r>
            <w:r>
              <w:rPr>
                <w:noProof/>
                <w:webHidden/>
              </w:rPr>
              <w:tab/>
            </w:r>
            <w:r>
              <w:rPr>
                <w:noProof/>
                <w:webHidden/>
              </w:rPr>
              <w:fldChar w:fldCharType="begin"/>
            </w:r>
            <w:r>
              <w:rPr>
                <w:noProof/>
                <w:webHidden/>
              </w:rPr>
              <w:instrText xml:space="preserve"> PAGEREF _Toc227773544 \h </w:instrText>
            </w:r>
            <w:r>
              <w:rPr>
                <w:noProof/>
                <w:webHidden/>
              </w:rPr>
            </w:r>
            <w:r>
              <w:rPr>
                <w:noProof/>
                <w:webHidden/>
              </w:rPr>
              <w:fldChar w:fldCharType="separate"/>
            </w:r>
            <w:r>
              <w:rPr>
                <w:noProof/>
                <w:webHidden/>
              </w:rPr>
              <w:t>3</w:t>
            </w:r>
            <w:r>
              <w:rPr>
                <w:noProof/>
                <w:webHidden/>
              </w:rPr>
              <w:fldChar w:fldCharType="end"/>
            </w:r>
          </w:hyperlink>
        </w:p>
        <w:p w14:paraId="1A9EA563" w14:textId="3294F43A" w:rsidR="001C6FC9" w:rsidRDefault="00000000">
          <w:pPr>
            <w:pStyle w:val="TOC1"/>
            <w:tabs>
              <w:tab w:val="right" w:leader="dot" w:pos="9019"/>
            </w:tabs>
            <w:rPr>
              <w:noProof/>
            </w:rPr>
          </w:pPr>
          <w:hyperlink w:anchor="_Toc227773545" w:history="1">
            <w:r w:rsidR="001C6FC9" w:rsidRPr="0033099D">
              <w:rPr>
                <w:rStyle w:val="Hyperlink"/>
                <w:noProof/>
              </w:rPr>
              <w:t>2. Globalisation and the current global business environment</w:t>
            </w:r>
            <w:r w:rsidR="001C6FC9">
              <w:rPr>
                <w:noProof/>
                <w:webHidden/>
              </w:rPr>
              <w:tab/>
            </w:r>
            <w:r w:rsidR="001C6FC9">
              <w:rPr>
                <w:noProof/>
                <w:webHidden/>
              </w:rPr>
              <w:fldChar w:fldCharType="begin"/>
            </w:r>
            <w:r w:rsidR="001C6FC9">
              <w:rPr>
                <w:noProof/>
                <w:webHidden/>
              </w:rPr>
              <w:instrText xml:space="preserve"> PAGEREF _Toc227773545 \h </w:instrText>
            </w:r>
            <w:r w:rsidR="001C6FC9">
              <w:rPr>
                <w:noProof/>
                <w:webHidden/>
              </w:rPr>
            </w:r>
            <w:r w:rsidR="001C6FC9">
              <w:rPr>
                <w:noProof/>
                <w:webHidden/>
              </w:rPr>
              <w:fldChar w:fldCharType="separate"/>
            </w:r>
            <w:r w:rsidR="001C6FC9">
              <w:rPr>
                <w:noProof/>
                <w:webHidden/>
              </w:rPr>
              <w:t>3</w:t>
            </w:r>
            <w:r w:rsidR="001C6FC9">
              <w:rPr>
                <w:noProof/>
                <w:webHidden/>
              </w:rPr>
              <w:fldChar w:fldCharType="end"/>
            </w:r>
          </w:hyperlink>
        </w:p>
        <w:p w14:paraId="533B853B" w14:textId="5E741F60" w:rsidR="001C6FC9" w:rsidRDefault="00000000">
          <w:pPr>
            <w:pStyle w:val="TOC1"/>
            <w:tabs>
              <w:tab w:val="right" w:leader="dot" w:pos="9019"/>
            </w:tabs>
            <w:rPr>
              <w:noProof/>
            </w:rPr>
          </w:pPr>
          <w:hyperlink w:anchor="_Toc227773546" w:history="1">
            <w:r w:rsidR="001C6FC9" w:rsidRPr="0033099D">
              <w:rPr>
                <w:rStyle w:val="Hyperlink"/>
                <w:noProof/>
              </w:rPr>
              <w:t>3. Opportunities created by current global forces</w:t>
            </w:r>
            <w:r w:rsidR="001C6FC9">
              <w:rPr>
                <w:noProof/>
                <w:webHidden/>
              </w:rPr>
              <w:tab/>
            </w:r>
            <w:r w:rsidR="001C6FC9">
              <w:rPr>
                <w:noProof/>
                <w:webHidden/>
              </w:rPr>
              <w:fldChar w:fldCharType="begin"/>
            </w:r>
            <w:r w:rsidR="001C6FC9">
              <w:rPr>
                <w:noProof/>
                <w:webHidden/>
              </w:rPr>
              <w:instrText xml:space="preserve"> PAGEREF _Toc227773546 \h </w:instrText>
            </w:r>
            <w:r w:rsidR="001C6FC9">
              <w:rPr>
                <w:noProof/>
                <w:webHidden/>
              </w:rPr>
            </w:r>
            <w:r w:rsidR="001C6FC9">
              <w:rPr>
                <w:noProof/>
                <w:webHidden/>
              </w:rPr>
              <w:fldChar w:fldCharType="separate"/>
            </w:r>
            <w:r w:rsidR="001C6FC9">
              <w:rPr>
                <w:noProof/>
                <w:webHidden/>
              </w:rPr>
              <w:t>4</w:t>
            </w:r>
            <w:r w:rsidR="001C6FC9">
              <w:rPr>
                <w:noProof/>
                <w:webHidden/>
              </w:rPr>
              <w:fldChar w:fldCharType="end"/>
            </w:r>
          </w:hyperlink>
        </w:p>
        <w:p w14:paraId="2D73001A" w14:textId="08D589AD" w:rsidR="001C6FC9" w:rsidRDefault="00000000">
          <w:pPr>
            <w:pStyle w:val="TOC1"/>
            <w:tabs>
              <w:tab w:val="right" w:leader="dot" w:pos="9019"/>
            </w:tabs>
            <w:rPr>
              <w:noProof/>
            </w:rPr>
          </w:pPr>
          <w:hyperlink w:anchor="_Toc227773547" w:history="1">
            <w:r w:rsidR="001C6FC9" w:rsidRPr="0033099D">
              <w:rPr>
                <w:rStyle w:val="Hyperlink"/>
                <w:noProof/>
              </w:rPr>
              <w:t>4. Challenges created by current global forces</w:t>
            </w:r>
            <w:r w:rsidR="001C6FC9">
              <w:rPr>
                <w:noProof/>
                <w:webHidden/>
              </w:rPr>
              <w:tab/>
            </w:r>
            <w:r w:rsidR="001C6FC9">
              <w:rPr>
                <w:noProof/>
                <w:webHidden/>
              </w:rPr>
              <w:fldChar w:fldCharType="begin"/>
            </w:r>
            <w:r w:rsidR="001C6FC9">
              <w:rPr>
                <w:noProof/>
                <w:webHidden/>
              </w:rPr>
              <w:instrText xml:space="preserve"> PAGEREF _Toc227773547 \h </w:instrText>
            </w:r>
            <w:r w:rsidR="001C6FC9">
              <w:rPr>
                <w:noProof/>
                <w:webHidden/>
              </w:rPr>
            </w:r>
            <w:r w:rsidR="001C6FC9">
              <w:rPr>
                <w:noProof/>
                <w:webHidden/>
              </w:rPr>
              <w:fldChar w:fldCharType="separate"/>
            </w:r>
            <w:r w:rsidR="001C6FC9">
              <w:rPr>
                <w:noProof/>
                <w:webHidden/>
              </w:rPr>
              <w:t>5</w:t>
            </w:r>
            <w:r w:rsidR="001C6FC9">
              <w:rPr>
                <w:noProof/>
                <w:webHidden/>
              </w:rPr>
              <w:fldChar w:fldCharType="end"/>
            </w:r>
          </w:hyperlink>
        </w:p>
        <w:p w14:paraId="2FD7ACDA" w14:textId="0022192A" w:rsidR="001C6FC9" w:rsidRDefault="00000000">
          <w:pPr>
            <w:pStyle w:val="TOC1"/>
            <w:tabs>
              <w:tab w:val="right" w:leader="dot" w:pos="9019"/>
            </w:tabs>
            <w:rPr>
              <w:noProof/>
            </w:rPr>
          </w:pPr>
          <w:hyperlink w:anchor="_Toc227773548" w:history="1">
            <w:r w:rsidR="001C6FC9" w:rsidRPr="0033099D">
              <w:rPr>
                <w:rStyle w:val="Hyperlink"/>
                <w:noProof/>
              </w:rPr>
              <w:t>5. Impact on Unilever’s market position, innovation, talent, and competitiveness</w:t>
            </w:r>
            <w:r w:rsidR="001C6FC9">
              <w:rPr>
                <w:noProof/>
                <w:webHidden/>
              </w:rPr>
              <w:tab/>
            </w:r>
            <w:r w:rsidR="001C6FC9">
              <w:rPr>
                <w:noProof/>
                <w:webHidden/>
              </w:rPr>
              <w:fldChar w:fldCharType="begin"/>
            </w:r>
            <w:r w:rsidR="001C6FC9">
              <w:rPr>
                <w:noProof/>
                <w:webHidden/>
              </w:rPr>
              <w:instrText xml:space="preserve"> PAGEREF _Toc227773548 \h </w:instrText>
            </w:r>
            <w:r w:rsidR="001C6FC9">
              <w:rPr>
                <w:noProof/>
                <w:webHidden/>
              </w:rPr>
            </w:r>
            <w:r w:rsidR="001C6FC9">
              <w:rPr>
                <w:noProof/>
                <w:webHidden/>
              </w:rPr>
              <w:fldChar w:fldCharType="separate"/>
            </w:r>
            <w:r w:rsidR="001C6FC9">
              <w:rPr>
                <w:noProof/>
                <w:webHidden/>
              </w:rPr>
              <w:t>6</w:t>
            </w:r>
            <w:r w:rsidR="001C6FC9">
              <w:rPr>
                <w:noProof/>
                <w:webHidden/>
              </w:rPr>
              <w:fldChar w:fldCharType="end"/>
            </w:r>
          </w:hyperlink>
        </w:p>
        <w:p w14:paraId="000F0502" w14:textId="3270CB49" w:rsidR="001C6FC9" w:rsidRDefault="00000000">
          <w:pPr>
            <w:pStyle w:val="TOC1"/>
            <w:tabs>
              <w:tab w:val="right" w:leader="dot" w:pos="9019"/>
            </w:tabs>
            <w:rPr>
              <w:noProof/>
            </w:rPr>
          </w:pPr>
          <w:hyperlink w:anchor="_Toc227773549" w:history="1">
            <w:r w:rsidR="001C6FC9" w:rsidRPr="0033099D">
              <w:rPr>
                <w:rStyle w:val="Hyperlink"/>
                <w:noProof/>
              </w:rPr>
              <w:t>6. Strategic recommendations</w:t>
            </w:r>
            <w:r w:rsidR="001C6FC9">
              <w:rPr>
                <w:noProof/>
                <w:webHidden/>
              </w:rPr>
              <w:tab/>
            </w:r>
            <w:r w:rsidR="001C6FC9">
              <w:rPr>
                <w:noProof/>
                <w:webHidden/>
              </w:rPr>
              <w:fldChar w:fldCharType="begin"/>
            </w:r>
            <w:r w:rsidR="001C6FC9">
              <w:rPr>
                <w:noProof/>
                <w:webHidden/>
              </w:rPr>
              <w:instrText xml:space="preserve"> PAGEREF _Toc227773549 \h </w:instrText>
            </w:r>
            <w:r w:rsidR="001C6FC9">
              <w:rPr>
                <w:noProof/>
                <w:webHidden/>
              </w:rPr>
            </w:r>
            <w:r w:rsidR="001C6FC9">
              <w:rPr>
                <w:noProof/>
                <w:webHidden/>
              </w:rPr>
              <w:fldChar w:fldCharType="separate"/>
            </w:r>
            <w:r w:rsidR="001C6FC9">
              <w:rPr>
                <w:noProof/>
                <w:webHidden/>
              </w:rPr>
              <w:t>7</w:t>
            </w:r>
            <w:r w:rsidR="001C6FC9">
              <w:rPr>
                <w:noProof/>
                <w:webHidden/>
              </w:rPr>
              <w:fldChar w:fldCharType="end"/>
            </w:r>
          </w:hyperlink>
        </w:p>
        <w:p w14:paraId="5B3FE116" w14:textId="4D1E6324" w:rsidR="001C6FC9" w:rsidRDefault="00000000">
          <w:pPr>
            <w:pStyle w:val="TOC1"/>
            <w:tabs>
              <w:tab w:val="right" w:leader="dot" w:pos="9019"/>
            </w:tabs>
            <w:rPr>
              <w:noProof/>
            </w:rPr>
          </w:pPr>
          <w:hyperlink w:anchor="_Toc227773550" w:history="1">
            <w:r w:rsidR="001C6FC9" w:rsidRPr="0033099D">
              <w:rPr>
                <w:rStyle w:val="Hyperlink"/>
                <w:noProof/>
              </w:rPr>
              <w:t>7. Conclusion</w:t>
            </w:r>
            <w:r w:rsidR="001C6FC9">
              <w:rPr>
                <w:noProof/>
                <w:webHidden/>
              </w:rPr>
              <w:tab/>
            </w:r>
            <w:r w:rsidR="001C6FC9">
              <w:rPr>
                <w:noProof/>
                <w:webHidden/>
              </w:rPr>
              <w:fldChar w:fldCharType="begin"/>
            </w:r>
            <w:r w:rsidR="001C6FC9">
              <w:rPr>
                <w:noProof/>
                <w:webHidden/>
              </w:rPr>
              <w:instrText xml:space="preserve"> PAGEREF _Toc227773550 \h </w:instrText>
            </w:r>
            <w:r w:rsidR="001C6FC9">
              <w:rPr>
                <w:noProof/>
                <w:webHidden/>
              </w:rPr>
            </w:r>
            <w:r w:rsidR="001C6FC9">
              <w:rPr>
                <w:noProof/>
                <w:webHidden/>
              </w:rPr>
              <w:fldChar w:fldCharType="separate"/>
            </w:r>
            <w:r w:rsidR="001C6FC9">
              <w:rPr>
                <w:noProof/>
                <w:webHidden/>
              </w:rPr>
              <w:t>7</w:t>
            </w:r>
            <w:r w:rsidR="001C6FC9">
              <w:rPr>
                <w:noProof/>
                <w:webHidden/>
              </w:rPr>
              <w:fldChar w:fldCharType="end"/>
            </w:r>
          </w:hyperlink>
        </w:p>
        <w:p w14:paraId="3CAAEE26" w14:textId="7F89E372" w:rsidR="001C6FC9" w:rsidRDefault="00000000">
          <w:pPr>
            <w:pStyle w:val="TOC1"/>
            <w:tabs>
              <w:tab w:val="right" w:leader="dot" w:pos="9019"/>
            </w:tabs>
            <w:rPr>
              <w:noProof/>
            </w:rPr>
          </w:pPr>
          <w:hyperlink w:anchor="_Toc227773551" w:history="1">
            <w:r w:rsidR="001C6FC9" w:rsidRPr="0033099D">
              <w:rPr>
                <w:rStyle w:val="Hyperlink"/>
                <w:noProof/>
              </w:rPr>
              <w:t>References</w:t>
            </w:r>
            <w:r w:rsidR="001C6FC9">
              <w:rPr>
                <w:noProof/>
                <w:webHidden/>
              </w:rPr>
              <w:tab/>
            </w:r>
            <w:r w:rsidR="001C6FC9">
              <w:rPr>
                <w:noProof/>
                <w:webHidden/>
              </w:rPr>
              <w:fldChar w:fldCharType="begin"/>
            </w:r>
            <w:r w:rsidR="001C6FC9">
              <w:rPr>
                <w:noProof/>
                <w:webHidden/>
              </w:rPr>
              <w:instrText xml:space="preserve"> PAGEREF _Toc227773551 \h </w:instrText>
            </w:r>
            <w:r w:rsidR="001C6FC9">
              <w:rPr>
                <w:noProof/>
                <w:webHidden/>
              </w:rPr>
            </w:r>
            <w:r w:rsidR="001C6FC9">
              <w:rPr>
                <w:noProof/>
                <w:webHidden/>
              </w:rPr>
              <w:fldChar w:fldCharType="separate"/>
            </w:r>
            <w:r w:rsidR="001C6FC9">
              <w:rPr>
                <w:noProof/>
                <w:webHidden/>
              </w:rPr>
              <w:t>8</w:t>
            </w:r>
            <w:r w:rsidR="001C6FC9">
              <w:rPr>
                <w:noProof/>
                <w:webHidden/>
              </w:rPr>
              <w:fldChar w:fldCharType="end"/>
            </w:r>
          </w:hyperlink>
        </w:p>
        <w:p w14:paraId="3BD49047" w14:textId="67E779CF" w:rsidR="001C6FC9" w:rsidRDefault="001C6FC9">
          <w:r>
            <w:rPr>
              <w:b/>
              <w:bCs/>
              <w:noProof/>
            </w:rPr>
            <w:fldChar w:fldCharType="end"/>
          </w:r>
        </w:p>
      </w:sdtContent>
    </w:sdt>
    <w:p w14:paraId="7C54DE4F" w14:textId="77777777" w:rsidR="00011593" w:rsidRDefault="00011593">
      <w:pPr>
        <w:jc w:val="center"/>
        <w:rPr>
          <w:b/>
          <w:bCs/>
          <w:sz w:val="28"/>
          <w:szCs w:val="28"/>
        </w:rPr>
      </w:pPr>
    </w:p>
    <w:p w14:paraId="51787B5B" w14:textId="77777777" w:rsidR="00011593" w:rsidRDefault="00000000">
      <w:r>
        <w:br w:type="page"/>
      </w:r>
    </w:p>
    <w:p w14:paraId="1621393D" w14:textId="77777777" w:rsidR="00011593" w:rsidRDefault="00000000">
      <w:pPr>
        <w:pStyle w:val="Heading1"/>
      </w:pPr>
      <w:bookmarkStart w:id="0" w:name="_64hmdqahv40d" w:colFirst="0" w:colLast="0"/>
      <w:bookmarkStart w:id="1" w:name="_Toc227773544"/>
      <w:bookmarkEnd w:id="0"/>
      <w:r>
        <w:lastRenderedPageBreak/>
        <w:t>1. Introduction</w:t>
      </w:r>
      <w:bookmarkEnd w:id="1"/>
      <w:r>
        <w:t xml:space="preserve"> </w:t>
      </w:r>
    </w:p>
    <w:p w14:paraId="139D9136" w14:textId="77777777" w:rsidR="00011593" w:rsidRDefault="00000000">
      <w:r>
        <w:t>Globalisation may also be referred to as the increase in the level of interconnectedness among economies, markets, and societies across the borders of nations in the aspects of trade, technology, and investment (Alkharafi and Alsabah, 2025). In the contemporary business environment, organisations are not shaped by domestic issues anymore but rather by world trends, variations in regulations and technological development. This is particularly true of multinational corporations such as Unilever that operate in a large number of foreign markets and deal with a large variety of consumer products. It is a critical reflection essay on the impact of significant trends in the world on the strategy and operations of Unilever, which are: artificial intelligence, geopolitical tensions across the supply chains and the growing sustainability standards. It evaluates the threats and the prospects of these forces, and evaluates their implications for organisational performance.</w:t>
      </w:r>
    </w:p>
    <w:p w14:paraId="1ED87300" w14:textId="77777777" w:rsidR="00011593" w:rsidRDefault="00000000">
      <w:pPr>
        <w:pStyle w:val="Heading1"/>
      </w:pPr>
      <w:bookmarkStart w:id="2" w:name="_ijsefudt8thc" w:colFirst="0" w:colLast="0"/>
      <w:bookmarkStart w:id="3" w:name="_Toc227773545"/>
      <w:bookmarkEnd w:id="2"/>
      <w:r>
        <w:t>2. Globalisation and the current global business environment</w:t>
      </w:r>
      <w:bookmarkEnd w:id="3"/>
      <w:r>
        <w:t xml:space="preserve"> </w:t>
      </w:r>
    </w:p>
    <w:p w14:paraId="70C08B2F" w14:textId="77777777" w:rsidR="00011593" w:rsidRDefault="00000000">
      <w:r>
        <w:t xml:space="preserve">Alkharafi and Alsabah (2025) indicate that globalisation has created openness to international markets, which, at the same time, has subjected multinational firms to a more intricate and unstable external environment. The world has been changing politically, technologically, legally, and in environmental conditions that require organisations to constantly adapt to changes in order to influence global business. </w:t>
      </w:r>
    </w:p>
    <w:p w14:paraId="25A86F28" w14:textId="77777777" w:rsidR="00011593" w:rsidRDefault="00000000">
      <w:r>
        <w:t xml:space="preserve">The PESTEL model is a helpful analogy to examine these influences and has underscored the most important external influences on the performance of multinationals. On a political front, geopolitical tensions, including the disturbances in the Red Sea shipping line, have escalated the costs of freight around the world by billions of dollars every year and made the sourcing and distribution uncertain (Yap and Yang, 2024). Quick and dynamic changes in the sphere of artificial intelligence improve and shift the way decisions are made. The world Artificial Intelligence market is projected to attain an impressive US value of 335.29bn by 2026, as companies will be in a position to enhance efficiency and predict (Statista, 2026). Meanwhile, the legal and environmental pressure is also growing due to laws like the Corporate Sustainability Reporting Directive of the EU, which stipulate in-depth sustainability reporting and accountability (EU, 2025). These forces and the interrelations of these forces to each other </w:t>
      </w:r>
      <w:r>
        <w:lastRenderedPageBreak/>
        <w:t>present strategic opportunities and major operational threats to companies like Unilever in the global business environment.</w:t>
      </w:r>
    </w:p>
    <w:p w14:paraId="49BD065B" w14:textId="77777777" w:rsidR="00011593" w:rsidRDefault="00000000">
      <w:pPr>
        <w:pStyle w:val="Heading1"/>
      </w:pPr>
      <w:bookmarkStart w:id="4" w:name="_agd6w1k15e7l" w:colFirst="0" w:colLast="0"/>
      <w:bookmarkStart w:id="5" w:name="_Toc227773546"/>
      <w:bookmarkEnd w:id="4"/>
      <w:r>
        <w:t>3. Opportunities created by current global forces</w:t>
      </w:r>
      <w:bookmarkEnd w:id="5"/>
      <w:r>
        <w:t xml:space="preserve"> </w:t>
      </w:r>
    </w:p>
    <w:p w14:paraId="73A9AD11" w14:textId="77777777" w:rsidR="00011593" w:rsidRDefault="00000000">
      <w:r>
        <w:t>According to Aiden and Michael (2024), Artificial intelligence (AI) is transforming how international business is being carried out to become efficient and strategic when it comes to decision-making processes. With a multinational company, such as Unilever, AI can serve to make complex predictions of demand and inventory and marketing customisation in different markets (Unilever, 2024). Having the opportunity to effectively analyze bulk consumer data in real time, the company will be able to better handle its product availability, reduce waste and have the capacity to react to the changing demand trends more quickly. On an indicative basis, the statistics of international companies that have paid billions or dollars in AI-based supply chain systems have reported a significant decrease in the stock levels of surplus and loss of logistics. Ali et al. (2025) specify the scope through which the use of AI supply chain visibility solution could reduce inventory costs by 20-30 percent and stockouts by 30-50 percent, and also improve the precision of forecasts by 65 percent. However, AI can be tactically useful as it not only leads to automation, but also helps in making coherent data-driven decisions in the global processes with high complexity.</w:t>
      </w:r>
    </w:p>
    <w:p w14:paraId="4F61677A" w14:textId="77777777" w:rsidR="00011593" w:rsidRDefault="00000000">
      <w:r>
        <w:t xml:space="preserve">Sustainability is also a great opportunity since it aids in the creation of brand recognition and trust between the stakeholders (Sujanska and Nadanyiova, 2023). The increasing needs of the customers and investors have brought about companies involving themselves in integrating business strategy with environmental and social responsibility. Unilever, which has invested heavily in sustainable sourcing and packaging, is able to pursue this promise and embrace a globally conscious customer base by establishing long-term legitimacy in foreign markets (Unilever, 2025). </w:t>
      </w:r>
    </w:p>
    <w:p w14:paraId="66CB885D" w14:textId="77777777" w:rsidR="00011593" w:rsidRDefault="00000000">
      <w:r>
        <w:t>Disruptions occurring globally can be sources of organisational resilience and strategic adaptation. The issues of geopolitical tension and sourcing allow sourcing diversification among the firms, investing in manufacturing in the region, and additional sourcing system adaptations. This transformation can in the case of Unilever, reduce the dependence on vulnerable trade routes and increase durability in operations. Despite the possibility of incurring during these changes.</w:t>
      </w:r>
    </w:p>
    <w:p w14:paraId="293B37D8" w14:textId="77777777" w:rsidR="00011593" w:rsidRDefault="00000000">
      <w:pPr>
        <w:pStyle w:val="Heading1"/>
      </w:pPr>
      <w:bookmarkStart w:id="6" w:name="_eujrri5jjy6h" w:colFirst="0" w:colLast="0"/>
      <w:bookmarkStart w:id="7" w:name="_Toc227773547"/>
      <w:bookmarkEnd w:id="6"/>
      <w:r>
        <w:lastRenderedPageBreak/>
        <w:t>4. Challenges created by current global forces</w:t>
      </w:r>
      <w:bookmarkEnd w:id="7"/>
    </w:p>
    <w:p w14:paraId="5FDA2E10" w14:textId="77777777" w:rsidR="00011593" w:rsidRDefault="00000000">
      <w:r>
        <w:rPr>
          <w:b/>
          <w:bCs/>
          <w:i/>
          <w:iCs/>
        </w:rPr>
        <w:t>Geopolitical and supply chain disruption</w:t>
      </w:r>
    </w:p>
    <w:p w14:paraId="5025F86C" w14:textId="46F2B263" w:rsidR="00011593" w:rsidRDefault="00DD243D">
      <w:r w:rsidRPr="00DD243D">
        <w:t>Geopolitical tensions are causing a lot of uncertainty in world trade with a direct impact on supply chains and operational stability as Lopez et al. (2025) emphasize. Among the turmoils that Yap and Yang (2024) validated are the Red Sea shipping crisis, the China-Taiwan predicaments that have added billions of dollars of transportation and delivery duration and enabled the global shipping to be punctuated by seven digits annually as a result of the rerouted cargoes. Such upheavals may be accompanied by the following; delayed transportation, sourcing turmoil, and increased operational risks to such a multinational company like Unilever, where the sources and distribution lines are complexified because it is in the global arena. This will not only force the company to re-evaluate the selection of the supplier, but it will also put an addition of the inventory buffer and can even go as far as to move production to a region.</w:t>
      </w:r>
    </w:p>
    <w:p w14:paraId="5BB8348E" w14:textId="77777777" w:rsidR="00011593" w:rsidRDefault="00000000">
      <w:r>
        <w:rPr>
          <w:b/>
          <w:bCs/>
          <w:i/>
          <w:iCs/>
        </w:rPr>
        <w:t>Sustainability regulation and compliance pressure</w:t>
      </w:r>
    </w:p>
    <w:p w14:paraId="44C505F3" w14:textId="77777777" w:rsidR="00011593" w:rsidRDefault="00000000">
      <w:r>
        <w:t>Another crucial challenge to sustainability regulation is increasing compliance. Other reporting frameworks, such as the scheme of the Corporate Sustainability Reporting Directive by the EU, ensure that companies collect, certify, and disclose specific environmental and social information during their global business operations (EU, 2025). With big organisations like Unilever, it involves huge investment and monitoring systems, supplier audits, and reporting structures which may run into millions of dollars a year. Though the brand value is strengthened, it creates a tension between the long-term and the short-term environmental and profit goals of sustainability. Cardillo and Basso (2024) observe that a company failing its regulatory expectations can lose reputation and be fined, and therefore, sustainability is a legal obligation, not a voluntary initiative.</w:t>
      </w:r>
    </w:p>
    <w:p w14:paraId="5582175D" w14:textId="77777777" w:rsidR="00011593" w:rsidRDefault="00000000">
      <w:r>
        <w:rPr>
          <w:b/>
          <w:bCs/>
          <w:i/>
          <w:iCs/>
        </w:rPr>
        <w:t>Risks and limitations of AI adoption</w:t>
      </w:r>
    </w:p>
    <w:p w14:paraId="7AC72DB0" w14:textId="77777777" w:rsidR="00011593" w:rsidRDefault="00000000">
      <w:pPr>
        <w:rPr>
          <w:b/>
          <w:bCs/>
          <w:i/>
          <w:iCs/>
        </w:rPr>
      </w:pPr>
      <w:r>
        <w:t xml:space="preserve">Despite its advantages, implementing AI has operational and organisational issues. Smith et al. (2025) address the fact that the implementation of AI systems is expensive, and in most cases, projects of digital transformation in the world may cost more than billions of dollars. With Unilever, the application of AI in different markets and business units could become clumsy </w:t>
      </w:r>
      <w:r>
        <w:lastRenderedPageBreak/>
        <w:t>and time-consuming (Unilever, 2025). Moreover, Cieslak and Valor (2024) believe that the resistance to the workforce change may also manifest itself as workers remain unsure of their future jobs and the need to develop new digital skills. Hence, although the AI makes processes more efficient, it will also bring in a degree of disruption to the organisation structures, and mass change management will no doubt follow.</w:t>
      </w:r>
    </w:p>
    <w:p w14:paraId="4630B026" w14:textId="77777777" w:rsidR="00011593" w:rsidRDefault="00000000">
      <w:pPr>
        <w:pStyle w:val="Heading1"/>
      </w:pPr>
      <w:bookmarkStart w:id="8" w:name="_b7lfcyike4f5" w:colFirst="0" w:colLast="0"/>
      <w:bookmarkStart w:id="9" w:name="_Toc227773548"/>
      <w:bookmarkEnd w:id="8"/>
      <w:r>
        <w:t>5. Impact on Unilever’s market position, innovation, talent, and competitiveness</w:t>
      </w:r>
      <w:bookmarkEnd w:id="9"/>
      <w:r>
        <w:t xml:space="preserve"> </w:t>
      </w:r>
    </w:p>
    <w:p w14:paraId="54E27B58" w14:textId="77777777" w:rsidR="00011593" w:rsidRDefault="00000000">
      <w:pPr>
        <w:rPr>
          <w:b/>
          <w:bCs/>
          <w:i/>
          <w:iCs/>
        </w:rPr>
      </w:pPr>
      <w:r>
        <w:rPr>
          <w:b/>
          <w:bCs/>
          <w:i/>
          <w:iCs/>
        </w:rPr>
        <w:t>Market positioning</w:t>
      </w:r>
    </w:p>
    <w:p w14:paraId="0FA2BB22" w14:textId="77777777" w:rsidR="00011593" w:rsidRDefault="00000000">
      <w:r>
        <w:t>These global forces combined influence the market position of Unilever to a significant extent. Sujanska and Nadanyiova (2023) emphasize that its Strong sustainability promises and investment in digital capability increase its global brand image, which draws environmentally conscious customers and long-term investors. An example is that the further investment in sustainable sourcing and packaging of Unilever, of several billion euros, is a contribution to a positive image of a socially responsible company (Unilever, 2025). Nevertheless, Lopez et al. (2025) assert that increased compliance expenses and supply chain interruptions can raise product prices.</w:t>
      </w:r>
    </w:p>
    <w:p w14:paraId="70F1CADC" w14:textId="77777777" w:rsidR="00011593" w:rsidRDefault="00000000">
      <w:pPr>
        <w:rPr>
          <w:b/>
          <w:bCs/>
          <w:i/>
          <w:iCs/>
        </w:rPr>
      </w:pPr>
      <w:r>
        <w:rPr>
          <w:b/>
          <w:bCs/>
          <w:i/>
          <w:iCs/>
        </w:rPr>
        <w:t>Innovation</w:t>
      </w:r>
    </w:p>
    <w:p w14:paraId="07004D04" w14:textId="77777777" w:rsidR="00011593" w:rsidRDefault="00000000">
      <w:r>
        <w:t>The idea of artificial intelligence plays a crucial role in the creation of products that would be faster to become marketable and more responsive to the demand requirements of consumers in terms of innovation (Aiden and Michael, 2024). With the ability to wield the might of data analytics and AI-informed information, Unilever can respond more swiftly to the novel trends rippling through the world markets within a shorter period, particularly in such segments of its product range as personal care and food. Nonetheless, Hayes and Downie (2025) assert that this innovation can only be successful under the condition related to the ability of the company to self-implement its AI systems in its worldwide business, which can be quite tricky and resource-consuming.</w:t>
      </w:r>
    </w:p>
    <w:p w14:paraId="319745EE" w14:textId="77777777" w:rsidR="00011593" w:rsidRDefault="00000000">
      <w:pPr>
        <w:rPr>
          <w:b/>
          <w:bCs/>
          <w:i/>
          <w:iCs/>
        </w:rPr>
      </w:pPr>
      <w:r>
        <w:rPr>
          <w:b/>
          <w:bCs/>
          <w:i/>
          <w:iCs/>
        </w:rPr>
        <w:t>Talent management</w:t>
      </w:r>
    </w:p>
    <w:p w14:paraId="13628D23" w14:textId="77777777" w:rsidR="00011593" w:rsidRDefault="00000000">
      <w:r>
        <w:t xml:space="preserve">These forces are also beginning to be more and more critical in talent management. Implementing AI and sustainability reporting will need personnel who are highly computer- </w:t>
      </w:r>
      <w:r>
        <w:lastRenderedPageBreak/>
        <w:t>and analytics-savvy and those with experience in environmental governance (Liu et al., 2025). This not only opens opportunities to workforce development but also poses challenges in terms of retraining costs and employee resistance to technological change.</w:t>
      </w:r>
    </w:p>
    <w:p w14:paraId="46CD2ABE" w14:textId="77777777" w:rsidR="00011593" w:rsidRDefault="00000000">
      <w:pPr>
        <w:rPr>
          <w:b/>
          <w:bCs/>
          <w:i/>
          <w:iCs/>
        </w:rPr>
      </w:pPr>
      <w:r>
        <w:rPr>
          <w:b/>
          <w:bCs/>
          <w:i/>
          <w:iCs/>
        </w:rPr>
        <w:t>Competitiveness</w:t>
      </w:r>
    </w:p>
    <w:p w14:paraId="47ED8940" w14:textId="77777777" w:rsidR="00011593" w:rsidRDefault="00000000">
      <w:r>
        <w:t>In a competitiveness view, such forces transform industry dynamics, which is a major focus of Porter's Five Forces framework. The AI will lower the operational expenses and increase competition, whereas the demands of sustainability increase the entry barriers (OCED, 2025). The benefits of successful adaptability in the firms include taking a front seat, but the companies that fail in managing disruptions in the supply chains tend to lose share and position in the market.</w:t>
      </w:r>
    </w:p>
    <w:p w14:paraId="7EB72800" w14:textId="77777777" w:rsidR="00011593" w:rsidRDefault="00000000">
      <w:pPr>
        <w:pStyle w:val="Heading1"/>
      </w:pPr>
      <w:bookmarkStart w:id="10" w:name="_9ehravinbkig" w:colFirst="0" w:colLast="0"/>
      <w:bookmarkStart w:id="11" w:name="_Toc227773549"/>
      <w:bookmarkEnd w:id="10"/>
      <w:r>
        <w:t>6. Strategic recommendations</w:t>
      </w:r>
      <w:bookmarkEnd w:id="11"/>
    </w:p>
    <w:p w14:paraId="53867A57" w14:textId="77777777" w:rsidR="00011593" w:rsidRDefault="00000000">
      <w:r>
        <w:t>There are three strategic moves that Unilever should adopt to enhance its performance internationally. First of all, according to Papagiannidis et al. (2025), it should focus on responsible AI and balance the development of technology and good governance of employees, employee training, and ethical treatment of employees to make sure that efficiency and operational risk are at the highest level. Second, Rashid (2020) recommends that it needs to diversify and consolidate its supply networks by expanding its sourcing locations and establishing a more mobile logistic networks, which will reduce susceptibility to geopolitical shocks. Third, Unilever should go a step further to govern its sustainability by establishing reporting and environmental objectives as part of its strategic plan and supplier relations such that sustainability indices and environmental certainty are achieved without putting its competitiveness at stake in the long-run, and enhance trust of its stakeholders.</w:t>
      </w:r>
    </w:p>
    <w:p w14:paraId="69103CA3" w14:textId="77777777" w:rsidR="00011593" w:rsidRDefault="00000000">
      <w:pPr>
        <w:pStyle w:val="Heading1"/>
      </w:pPr>
      <w:bookmarkStart w:id="12" w:name="_g1owmf5ha1j4" w:colFirst="0" w:colLast="0"/>
      <w:bookmarkStart w:id="13" w:name="_Toc227773550"/>
      <w:bookmarkEnd w:id="12"/>
      <w:r>
        <w:t>7. Conclusion</w:t>
      </w:r>
      <w:bookmarkEnd w:id="13"/>
      <w:r>
        <w:t xml:space="preserve"> </w:t>
      </w:r>
    </w:p>
    <w:p w14:paraId="2EF31BAC" w14:textId="77777777" w:rsidR="00011593" w:rsidRDefault="00000000">
      <w:r>
        <w:t>In conclusion, AI and global forces, geopolitical tension, and sustainability demand constitute opportunities and challenges to Unilever. Strategic adaptation is a key element in long-term success, and the need to learn more about how the global environment is changing to develop an effective international business strategy.</w:t>
      </w:r>
    </w:p>
    <w:p w14:paraId="3F7962E3" w14:textId="77777777" w:rsidR="00011593" w:rsidRDefault="00000000">
      <w:pPr>
        <w:pStyle w:val="Heading1"/>
        <w:keepNext w:val="0"/>
        <w:keepLines w:val="0"/>
        <w:spacing w:before="0" w:after="360"/>
        <w:jc w:val="left"/>
        <w:rPr>
          <w:sz w:val="36"/>
          <w:szCs w:val="36"/>
        </w:rPr>
      </w:pPr>
      <w:bookmarkStart w:id="14" w:name="_3lz1siplhzin" w:colFirst="0" w:colLast="0"/>
      <w:bookmarkEnd w:id="14"/>
      <w:r>
        <w:br w:type="page"/>
      </w:r>
    </w:p>
    <w:p w14:paraId="2ED36A4B" w14:textId="77777777" w:rsidR="00011593" w:rsidRDefault="00000000">
      <w:pPr>
        <w:pStyle w:val="Heading1"/>
      </w:pPr>
      <w:bookmarkStart w:id="15" w:name="_tzhwm5jq75rb" w:colFirst="0" w:colLast="0"/>
      <w:bookmarkStart w:id="16" w:name="_Toc227773551"/>
      <w:bookmarkEnd w:id="15"/>
      <w:r>
        <w:lastRenderedPageBreak/>
        <w:t>References</w:t>
      </w:r>
      <w:bookmarkEnd w:id="16"/>
    </w:p>
    <w:p w14:paraId="7FA19230" w14:textId="77777777" w:rsidR="00011593" w:rsidRDefault="00000000">
      <w:pPr>
        <w:spacing w:before="0"/>
      </w:pPr>
      <w:r>
        <w:t xml:space="preserve">Aiden, D. and Michael, L. (2024). Artificial Intelligence in Business: Enhancing Operational Efficiency and Navigating Ethical Challenges. </w:t>
      </w:r>
      <w:r>
        <w:rPr>
          <w:i/>
          <w:iCs/>
        </w:rPr>
        <w:t>ResearchGate</w:t>
      </w:r>
      <w:r>
        <w:t>. [online] doi:https://doi.org/10.13140/RG.2.2.30525.27363.</w:t>
      </w:r>
    </w:p>
    <w:p w14:paraId="74723E8F" w14:textId="77777777" w:rsidR="00011593" w:rsidRDefault="00000000">
      <w:pPr>
        <w:spacing w:before="0"/>
      </w:pPr>
      <w:r>
        <w:t xml:space="preserve">Ali, H., Bilal Mhanna, Assad, A.L.I., Walaa Zreqa and Kanaan, S.S. (2025). The Impact of Artificial Intelligence (AI) on Supply Chain Visibility and Decision-Making. </w:t>
      </w:r>
      <w:r>
        <w:rPr>
          <w:i/>
          <w:iCs/>
        </w:rPr>
        <w:t>International Journal of Logistics Systems and Management</w:t>
      </w:r>
      <w:r>
        <w:t>, [online] 1(1). doi:https://doi.org/10.1504/ijlsm.2025.10070949.</w:t>
      </w:r>
    </w:p>
    <w:p w14:paraId="5DD6EF5B" w14:textId="77777777" w:rsidR="00011593" w:rsidRDefault="00000000">
      <w:pPr>
        <w:spacing w:before="0"/>
      </w:pPr>
      <w:r>
        <w:t xml:space="preserve">Alkharafi, N. and Alsabah, M. (2025). Globalization: an Overview of Its Main Characteristics and Types, and an Exploration of Its Impacts on Individuals, Firms, and Nations. </w:t>
      </w:r>
      <w:r>
        <w:rPr>
          <w:i/>
          <w:iCs/>
        </w:rPr>
        <w:t>Economies</w:t>
      </w:r>
      <w:r>
        <w:t>, [online] 13(4), pp.1–33. Available at: https://www.mdpi.com/2227-7099/13/4/91 [Accessed 22 Apr. 2026].</w:t>
      </w:r>
    </w:p>
    <w:p w14:paraId="19A95632" w14:textId="77777777" w:rsidR="00011593" w:rsidRDefault="00000000">
      <w:pPr>
        <w:spacing w:before="0"/>
      </w:pPr>
      <w:r>
        <w:t xml:space="preserve">C. López, M.F. Morales-Contreras, Langella, I.M. and J. Alonso-Monge (2025). Modeling supply chain disruptions due to geopolitical Reasons: A systematic literature review. </w:t>
      </w:r>
      <w:r>
        <w:rPr>
          <w:i/>
          <w:iCs/>
        </w:rPr>
        <w:t>Transportation Research Part E Logistics and Transportation Review</w:t>
      </w:r>
      <w:r>
        <w:t>, [online] 202, pp.104290–104290. doi:https://doi.org/10.1016/j.tre.2025.104290.</w:t>
      </w:r>
    </w:p>
    <w:p w14:paraId="105C715E" w14:textId="77777777" w:rsidR="00011593" w:rsidRDefault="00000000">
      <w:pPr>
        <w:spacing w:before="0"/>
      </w:pPr>
      <w:r>
        <w:t xml:space="preserve">Cardillo, M.A. dos R. and Basso, L.F.C. (2024). Revisiting Knowledge on ESG/CSR and Financial performance: a Bibliometric and Systematic Review of Moderating Variables. </w:t>
      </w:r>
      <w:r>
        <w:rPr>
          <w:i/>
          <w:iCs/>
        </w:rPr>
        <w:t>Journal of Innovation &amp; Knowledge</w:t>
      </w:r>
      <w:r>
        <w:t>, [online] 10(1), p.100648. doi:https://doi.org/10.1016/j.jik.2024.100648.</w:t>
      </w:r>
    </w:p>
    <w:p w14:paraId="4575D547" w14:textId="77777777" w:rsidR="00011593" w:rsidRDefault="00000000">
      <w:pPr>
        <w:spacing w:before="0"/>
      </w:pPr>
      <w:r>
        <w:t xml:space="preserve">Cieslak, V. and Valor, C. (2024). Moving beyond conventional resistance and resistors: an integrative review of employee resistance to digital transformation. </w:t>
      </w:r>
      <w:r>
        <w:rPr>
          <w:i/>
          <w:iCs/>
        </w:rPr>
        <w:t>Cogent Business &amp; Management</w:t>
      </w:r>
      <w:r>
        <w:t>, [online] 12(1). doi:https://doi.org/10.1080/23311975.2024.2442550.</w:t>
      </w:r>
    </w:p>
    <w:p w14:paraId="5483CC20" w14:textId="77777777" w:rsidR="00011593" w:rsidRDefault="00000000">
      <w:pPr>
        <w:spacing w:before="0"/>
      </w:pPr>
      <w:r>
        <w:t xml:space="preserve">EU (2025). </w:t>
      </w:r>
      <w:r>
        <w:rPr>
          <w:i/>
          <w:iCs/>
        </w:rPr>
        <w:t>Corporate sustainability reporting</w:t>
      </w:r>
      <w:r>
        <w:t>. [online] Finance. Available at: https://finance.ec.europa.eu/financial-markets/company-reporting-and-auditing/company-reporting/corporate-sustainability-reporting_en [Accessed 22 Apr. 2026].</w:t>
      </w:r>
    </w:p>
    <w:p w14:paraId="5F3ABE77" w14:textId="77777777" w:rsidR="00011593" w:rsidRDefault="00000000">
      <w:pPr>
        <w:spacing w:before="0"/>
      </w:pPr>
      <w:r>
        <w:t xml:space="preserve">Hayes, M. and Downie, A. (2025). </w:t>
      </w:r>
      <w:r>
        <w:rPr>
          <w:i/>
          <w:iCs/>
        </w:rPr>
        <w:t>AI and the future of work</w:t>
      </w:r>
      <w:r>
        <w:t>. [online] IBM. Available at: https://www.ibm.com/think/insights/ai-and-the-future-of-work [Accessed 22 Apr. 2026].</w:t>
      </w:r>
    </w:p>
    <w:p w14:paraId="6BA9C913" w14:textId="77777777" w:rsidR="00011593" w:rsidRDefault="00000000">
      <w:pPr>
        <w:spacing w:before="0"/>
      </w:pPr>
      <w:r>
        <w:lastRenderedPageBreak/>
        <w:t xml:space="preserve">Liu, Y., Song, J., Zhou, B. and Liu, J. (2025). Artificial Intelligence Applications and Corporate ESG Performance. </w:t>
      </w:r>
      <w:r>
        <w:rPr>
          <w:i/>
          <w:iCs/>
        </w:rPr>
        <w:t>International Review of Economics &amp; Finance</w:t>
      </w:r>
      <w:r>
        <w:t>, [online] p.104559. doi:https://doi.org/10.1016/j.iref.2025.104559.</w:t>
      </w:r>
    </w:p>
    <w:p w14:paraId="6B93C2AE" w14:textId="77777777" w:rsidR="00011593" w:rsidRDefault="00000000">
      <w:pPr>
        <w:spacing w:before="0"/>
      </w:pPr>
      <w:r>
        <w:t xml:space="preserve">OCED (2025). </w:t>
      </w:r>
      <w:r>
        <w:rPr>
          <w:i/>
          <w:iCs/>
        </w:rPr>
        <w:t>The impact of AI adoption on market dynamics: Artificial intelligence and competitive dynamics in downstream markets</w:t>
      </w:r>
      <w:r>
        <w:t>. [online] OECD. Available at: https://www.oecd.org/en/publications/artificial-intelligence-and-competitive-dynamics-in-downstream-markets_ccf0624a-en/full-report/component-5.html [Accessed 22 Apr. 2026].</w:t>
      </w:r>
    </w:p>
    <w:p w14:paraId="1EA072E4" w14:textId="77777777" w:rsidR="00011593" w:rsidRDefault="00000000">
      <w:pPr>
        <w:spacing w:before="0"/>
      </w:pPr>
      <w:r>
        <w:t xml:space="preserve">Papagiannidis, E., Mikalef, P. and Conboy, K. (2025). Responsible artificial intelligence governance: A review and research framework. </w:t>
      </w:r>
      <w:r>
        <w:rPr>
          <w:i/>
          <w:iCs/>
        </w:rPr>
        <w:t>The Journal of Strategic Information Systems</w:t>
      </w:r>
      <w:r>
        <w:t>, [online] 34(2). doi:https://doi.org/10.1016/j.jsis.2024.101885.</w:t>
      </w:r>
    </w:p>
    <w:p w14:paraId="0C645B0A" w14:textId="77777777" w:rsidR="00011593" w:rsidRDefault="00000000">
      <w:pPr>
        <w:spacing w:before="0"/>
      </w:pPr>
      <w:r>
        <w:t xml:space="preserve">Rashid, H. (2020). Mitigating Supply Chain Risks through Diversified Sourcing Strategies in Manufacturing. </w:t>
      </w:r>
      <w:r>
        <w:rPr>
          <w:i/>
          <w:iCs/>
        </w:rPr>
        <w:t>International Journal of Innovative Research in Engineering &amp; Multidisciplinary Physical Sciences</w:t>
      </w:r>
      <w:r>
        <w:t>, [online] 8(1), pp.1–11. doi:https://doi.org/10.5281/zenodo.14280019.</w:t>
      </w:r>
    </w:p>
    <w:p w14:paraId="010549AE" w14:textId="77777777" w:rsidR="00011593" w:rsidRDefault="00000000">
      <w:pPr>
        <w:spacing w:before="0"/>
      </w:pPr>
      <w:r>
        <w:t xml:space="preserve">Smith , T., Dost, G., Dhasmana , G., Patwari , P. and Kearns-Manolatos , D. (2025). </w:t>
      </w:r>
      <w:r>
        <w:rPr>
          <w:i/>
          <w:iCs/>
        </w:rPr>
        <w:t>Digital budgets are rising, but investment strategies may need a recalibration</w:t>
      </w:r>
      <w:r>
        <w:t>. [online] Deloitte Insights. Available at: https://www.deloitte.com/us/en/insights/topics/digital-transformation/ai-tech-investment-roi.html [Accessed 22 Apr. 2026].</w:t>
      </w:r>
    </w:p>
    <w:p w14:paraId="42E850C8" w14:textId="77777777" w:rsidR="00011593" w:rsidRDefault="00000000">
      <w:pPr>
        <w:spacing w:before="0"/>
      </w:pPr>
      <w:r>
        <w:t xml:space="preserve">Statista (2026). </w:t>
      </w:r>
      <w:r>
        <w:rPr>
          <w:i/>
          <w:iCs/>
        </w:rPr>
        <w:t>Artificial Intelligence - Worldwide | Market Forecast</w:t>
      </w:r>
      <w:r>
        <w:t>. [online] Statista. Available at: https://www.statista.com/outlook/tmo/artificial-intelligence/worldwide?srsltid=AfmBOoo2hGvyOUkUO9slBuAOhBIGhvEyINY4UEXVW15Esg1l6zOgbWlU#market-size [Accessed 22 Apr. 2026].</w:t>
      </w:r>
    </w:p>
    <w:p w14:paraId="656FE7D0" w14:textId="77777777" w:rsidR="00011593" w:rsidRDefault="00000000">
      <w:pPr>
        <w:spacing w:before="0"/>
      </w:pPr>
      <w:r>
        <w:t xml:space="preserve">Sujanska, L. and Nadanyiova, M. (2023). Sustainable Marketing and its Impact on the Image of the Company. </w:t>
      </w:r>
      <w:r>
        <w:rPr>
          <w:i/>
          <w:iCs/>
        </w:rPr>
        <w:t>Marketing ì menedžment ìnnovacìj</w:t>
      </w:r>
      <w:r>
        <w:t>, [online] 14(2), pp.51–57. doi:https://doi.org/10.21272/mmi.2023.2-06.</w:t>
      </w:r>
    </w:p>
    <w:p w14:paraId="111D1618" w14:textId="77777777" w:rsidR="00011593" w:rsidRDefault="00000000">
      <w:pPr>
        <w:spacing w:before="0"/>
      </w:pPr>
      <w:r>
        <w:t xml:space="preserve">Unilever (2024). </w:t>
      </w:r>
      <w:r>
        <w:rPr>
          <w:i/>
          <w:iCs/>
        </w:rPr>
        <w:t>Utilising AI to Redefine the Future of Customer Connectivity</w:t>
      </w:r>
      <w:r>
        <w:t>. [online] Unilever. Available at: https://www.unilever.com/news/news-search/2024/utilising-ai-to-redefine-the-future-of-customer-connectivity/ [Accessed 22 Apr. 2026].</w:t>
      </w:r>
    </w:p>
    <w:p w14:paraId="23E5500A" w14:textId="77777777" w:rsidR="00011593" w:rsidRDefault="00000000">
      <w:pPr>
        <w:spacing w:before="0"/>
      </w:pPr>
      <w:r>
        <w:lastRenderedPageBreak/>
        <w:t xml:space="preserve">Unilever (2025). </w:t>
      </w:r>
      <w:r>
        <w:rPr>
          <w:i/>
          <w:iCs/>
        </w:rPr>
        <w:t>Leading in the next era of corporate sustainability</w:t>
      </w:r>
      <w:r>
        <w:t>. [online] Unilever. Available at: https://www.unilever.com/sustainability/ [Accessed 22 Apr. 2026].</w:t>
      </w:r>
    </w:p>
    <w:p w14:paraId="2F3C67C0" w14:textId="77777777" w:rsidR="00011593" w:rsidRDefault="00000000">
      <w:pPr>
        <w:spacing w:before="0"/>
      </w:pPr>
      <w:r>
        <w:t xml:space="preserve">Unilever (2025). </w:t>
      </w:r>
      <w:r>
        <w:rPr>
          <w:i/>
          <w:iCs/>
        </w:rPr>
        <w:t>How AI is helping drive Desire at Scale across Unilever</w:t>
      </w:r>
      <w:r>
        <w:t>. [online] Unilever. Available at: https://www.unilever.com/news/news-search/2025/how-ai-is-helping-drive-desire-at-scale-across-unilever/ [Accessed 22 Apr. 2026].</w:t>
      </w:r>
    </w:p>
    <w:p w14:paraId="3B64FB9B" w14:textId="77777777" w:rsidR="00011593" w:rsidRDefault="00000000">
      <w:pPr>
        <w:spacing w:before="0"/>
      </w:pPr>
      <w:r>
        <w:t xml:space="preserve">Yap, W.Y. and Yang, D. (2024). Geopolitical tension and shipping network disruption: Analysis of the Red Sea crisis on container port calls. </w:t>
      </w:r>
      <w:r>
        <w:rPr>
          <w:i/>
          <w:iCs/>
        </w:rPr>
        <w:t>Journal of Transport Geography</w:t>
      </w:r>
      <w:r>
        <w:t>, [online] 121, pp.104004–104004. doi:https://doi.org/10.1016/j.jtrangeo.2024.104004.</w:t>
      </w:r>
    </w:p>
    <w:p w14:paraId="2C152E65" w14:textId="77777777" w:rsidR="00011593" w:rsidRDefault="00011593"/>
    <w:sectPr w:rsidR="00011593" w:rsidSect="001C6FC9">
      <w:headerReference w:type="default" r:id="rId8"/>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CF125" w14:textId="77777777" w:rsidR="00752185" w:rsidRDefault="00752185">
      <w:pPr>
        <w:spacing w:before="0" w:after="0" w:line="240" w:lineRule="auto"/>
      </w:pPr>
      <w:r>
        <w:separator/>
      </w:r>
    </w:p>
  </w:endnote>
  <w:endnote w:type="continuationSeparator" w:id="0">
    <w:p w14:paraId="090A6F20" w14:textId="77777777" w:rsidR="00752185" w:rsidRDefault="007521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C7613DB-2A28-4FEE-89E7-90FBBC95CE05}"/>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87BD96B3-DE21-49DE-8110-39DD9BCEFA76}"/>
  </w:font>
  <w:font w:name="Cambria">
    <w:panose1 w:val="02040503050406030204"/>
    <w:charset w:val="00"/>
    <w:family w:val="roman"/>
    <w:pitch w:val="variable"/>
    <w:sig w:usb0="E00006FF" w:usb1="420024FF" w:usb2="02000000" w:usb3="00000000" w:csb0="0000019F" w:csb1="00000000"/>
    <w:embedRegular r:id="rId3" w:fontKey="{3A03B713-01E5-49B3-8B38-8973AC5F154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C3286" w14:textId="77777777" w:rsidR="00011593" w:rsidRDefault="00000000">
    <w:pPr>
      <w:spacing w:line="240" w:lineRule="auto"/>
      <w:jc w:val="right"/>
      <w:rPr>
        <w:sz w:val="20"/>
        <w:szCs w:val="20"/>
      </w:rPr>
    </w:pPr>
    <w:r>
      <w:rPr>
        <w:sz w:val="20"/>
        <w:szCs w:val="20"/>
      </w:rPr>
      <w:fldChar w:fldCharType="begin"/>
    </w:r>
    <w:r>
      <w:rPr>
        <w:sz w:val="20"/>
        <w:szCs w:val="20"/>
      </w:rPr>
      <w:instrText>PAGE</w:instrText>
    </w:r>
    <w:r>
      <w:rPr>
        <w:sz w:val="20"/>
        <w:szCs w:val="20"/>
      </w:rPr>
      <w:fldChar w:fldCharType="separate"/>
    </w:r>
    <w:r w:rsidR="001C6FC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71A3C" w14:textId="77777777" w:rsidR="00752185" w:rsidRDefault="00752185">
      <w:pPr>
        <w:spacing w:before="0" w:after="0" w:line="240" w:lineRule="auto"/>
      </w:pPr>
      <w:r>
        <w:separator/>
      </w:r>
    </w:p>
  </w:footnote>
  <w:footnote w:type="continuationSeparator" w:id="0">
    <w:p w14:paraId="7A4E6591" w14:textId="77777777" w:rsidR="00752185" w:rsidRDefault="0075218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A95C1" w14:textId="77777777" w:rsidR="00011593" w:rsidRDefault="0001159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593"/>
    <w:rsid w:val="00011593"/>
    <w:rsid w:val="001C6FC9"/>
    <w:rsid w:val="003C1702"/>
    <w:rsid w:val="00433EEC"/>
    <w:rsid w:val="00752185"/>
    <w:rsid w:val="0097716A"/>
    <w:rsid w:val="00B661CF"/>
    <w:rsid w:val="00BE6F3C"/>
    <w:rsid w:val="00C132D3"/>
    <w:rsid w:val="00DD243D"/>
    <w:rsid w:val="00EC0BEB"/>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88EB1"/>
  <w15:docId w15:val="{FAC35B57-D469-44CD-86DC-08CF9B611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1C6FC9"/>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C6FC9"/>
    <w:pPr>
      <w:spacing w:after="100"/>
    </w:pPr>
  </w:style>
  <w:style w:type="character" w:styleId="Hyperlink">
    <w:name w:val="Hyperlink"/>
    <w:basedOn w:val="DefaultParagraphFont"/>
    <w:uiPriority w:val="99"/>
    <w:unhideWhenUsed/>
    <w:rsid w:val="001C6F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32D5C-C924-4B6F-AE55-80DDF5CBC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2601</Words>
  <Characters>14829</Characters>
  <DocSecurity>0</DocSecurity>
  <Lines>123</Lines>
  <Paragraphs>34</Paragraphs>
  <ScaleCrop>false</ScaleCrop>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2026-04-22T12:35:00Z</dcterms:created>
  <dcterms:modified xsi:type="dcterms:W3CDTF">2026-04-26T17:49:00Z</dcterms:modified>
</cp:coreProperties>
</file>