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rPr>
          <w:rFonts w:ascii="Arial" w:cs="Arial" w:hAnsi="Arial"/>
        </w:rPr>
      </w:pPr>
    </w:p>
    <w:p>
      <w:pPr>
        <w:pStyle w:val="style0"/>
        <w:jc w:val="center"/>
        <w:rPr>
          <w:rFonts w:ascii="Arial" w:cs="Arial" w:hAnsi="Arial"/>
          <w:b/>
          <w:bCs/>
          <w:sz w:val="32"/>
          <w:szCs w:val="32"/>
        </w:rPr>
      </w:pPr>
    </w:p>
    <w:p>
      <w:pPr>
        <w:pStyle w:val="style0"/>
        <w:jc w:val="center"/>
        <w:rPr>
          <w:rFonts w:ascii="Arial" w:cs="Arial" w:hAnsi="Arial"/>
          <w:b/>
          <w:bCs/>
          <w:sz w:val="32"/>
          <w:szCs w:val="32"/>
        </w:rPr>
      </w:pPr>
    </w:p>
    <w:p>
      <w:pPr>
        <w:pStyle w:val="style0"/>
        <w:jc w:val="center"/>
        <w:rPr>
          <w:rFonts w:ascii="Arial" w:cs="Arial" w:hAnsi="Arial"/>
          <w:b/>
          <w:bCs/>
          <w:sz w:val="32"/>
          <w:szCs w:val="32"/>
        </w:rPr>
      </w:pPr>
    </w:p>
    <w:p>
      <w:pPr>
        <w:pStyle w:val="style0"/>
        <w:jc w:val="center"/>
        <w:rPr>
          <w:rFonts w:ascii="Arial" w:cs="Arial" w:hAnsi="Arial"/>
          <w:b/>
          <w:bCs/>
          <w:sz w:val="32"/>
          <w:szCs w:val="32"/>
        </w:rPr>
      </w:pPr>
    </w:p>
    <w:p>
      <w:pPr>
        <w:pStyle w:val="style0"/>
        <w:jc w:val="center"/>
        <w:rPr>
          <w:rFonts w:ascii="Arial" w:cs="Arial" w:hAnsi="Arial"/>
          <w:b/>
          <w:bCs/>
          <w:sz w:val="32"/>
          <w:szCs w:val="32"/>
        </w:rPr>
      </w:pPr>
    </w:p>
    <w:p>
      <w:pPr>
        <w:pStyle w:val="style0"/>
        <w:jc w:val="center"/>
        <w:rPr>
          <w:rFonts w:ascii="Arial" w:cs="Arial" w:hAnsi="Arial"/>
          <w:b/>
          <w:bCs/>
          <w:sz w:val="32"/>
          <w:szCs w:val="32"/>
        </w:rPr>
      </w:pPr>
    </w:p>
    <w:p>
      <w:pPr>
        <w:pStyle w:val="style0"/>
        <w:jc w:val="center"/>
        <w:rPr>
          <w:rFonts w:ascii="Arial" w:cs="Arial" w:hAnsi="Arial"/>
          <w:b/>
          <w:bCs/>
          <w:sz w:val="32"/>
          <w:szCs w:val="32"/>
        </w:rPr>
      </w:pPr>
    </w:p>
    <w:p>
      <w:pPr>
        <w:pStyle w:val="style0"/>
        <w:jc w:val="center"/>
        <w:rPr>
          <w:rFonts w:ascii="Arial" w:cs="Arial" w:hAnsi="Arial"/>
          <w:b/>
          <w:bCs/>
          <w:sz w:val="32"/>
          <w:szCs w:val="32"/>
        </w:rPr>
      </w:pPr>
    </w:p>
    <w:p>
      <w:pPr>
        <w:pStyle w:val="style0"/>
        <w:rPr>
          <w:rFonts w:ascii="Arial" w:cs="Arial" w:hAnsi="Arial"/>
          <w:b/>
          <w:bCs/>
        </w:rPr>
      </w:pPr>
    </w:p>
    <w:p>
      <w:pPr>
        <w:pStyle w:val="style0"/>
        <w:rPr>
          <w:rFonts w:ascii="Arial" w:cs="Arial" w:hAnsi="Arial"/>
          <w:b/>
          <w:bCs/>
        </w:rPr>
      </w:pPr>
    </w:p>
    <w:p>
      <w:pPr>
        <w:pStyle w:val="style0"/>
        <w:rPr>
          <w:rFonts w:ascii="Arial" w:cs="Arial" w:hAnsi="Arial"/>
          <w:b/>
          <w:bCs/>
        </w:rPr>
      </w:pPr>
    </w:p>
    <w:p>
      <w:pPr>
        <w:pStyle w:val="style0"/>
        <w:jc w:val="center"/>
        <w:rPr>
          <w:rFonts w:ascii="Arial" w:cs="Arial" w:hAnsi="Arial"/>
          <w:b/>
          <w:bCs/>
          <w:sz w:val="32"/>
          <w:szCs w:val="32"/>
        </w:rPr>
      </w:pPr>
    </w:p>
    <w:p>
      <w:pPr>
        <w:pStyle w:val="style0"/>
        <w:jc w:val="center"/>
        <w:rPr>
          <w:rFonts w:ascii="Arial" w:cs="Arial" w:hAnsi="Arial"/>
        </w:rPr>
      </w:pPr>
      <w:r>
        <w:rPr>
          <w:rFonts w:ascii="Arial" w:cs="Arial" w:hAnsi="Arial"/>
          <w:b/>
          <w:bCs/>
          <w:sz w:val="32"/>
          <w:szCs w:val="32"/>
        </w:rPr>
        <w:t>REHOMEX: HOME DECLUTTERING, ORGANISING &amp; RESELLING SERVICE</w:t>
      </w:r>
      <w:r>
        <w:rPr>
          <w:rFonts w:ascii="Arial" w:cs="Arial" w:hAnsi="Arial"/>
        </w:rPr>
        <w:br w:type="page"/>
      </w:r>
    </w:p>
    <w:p>
      <w:pPr>
        <w:pStyle w:val="style266"/>
        <w:spacing w:lineRule="auto" w:line="360"/>
        <w:jc w:val="center"/>
        <w:rPr>
          <w:rFonts w:ascii="Arial" w:cs="Arial" w:hAnsi="Arial"/>
          <w:b/>
          <w:bCs/>
          <w:color w:val="000000"/>
          <w:sz w:val="28"/>
          <w:szCs w:val="28"/>
        </w:rPr>
      </w:pPr>
      <w:r>
        <w:rPr>
          <w:rFonts w:ascii="Arial" w:cs="Arial" w:hAnsi="Arial"/>
          <w:b/>
          <w:bCs/>
          <w:color w:val="000000"/>
          <w:sz w:val="28"/>
          <w:szCs w:val="28"/>
        </w:rPr>
        <w:t>Table of Contents</w:t>
      </w:r>
    </w:p>
    <w:p>
      <w:pPr>
        <w:pStyle w:val="style19"/>
        <w:tabs>
          <w:tab w:val="right" w:leader="dot" w:pos="9350"/>
        </w:tabs>
        <w:rPr>
          <w:rFonts w:ascii="Calibri" w:eastAsia="宋体" w:hAnsi="Calibri"/>
          <w:noProof/>
        </w:rPr>
      </w:pPr>
      <w:r>
        <w:rPr>
          <w:rFonts w:ascii="Arial" w:cs="Arial" w:hAnsi="Arial"/>
        </w:rPr>
        <w:fldChar w:fldCharType="begin"/>
      </w:r>
      <w:r>
        <w:rPr>
          <w:rFonts w:ascii="Arial" w:cs="Arial" w:hAnsi="Arial"/>
        </w:rPr>
        <w:instrText xml:space="preserve"> TOC \o "1-3" \h \z \u </w:instrText>
      </w:r>
      <w:r>
        <w:rPr>
          <w:rFonts w:ascii="Arial" w:cs="Arial" w:hAnsi="Arial"/>
        </w:rPr>
        <w:fldChar w:fldCharType="separate"/>
      </w:r>
      <w:r>
        <w:rPr/>
        <w:fldChar w:fldCharType="begin"/>
      </w:r>
      <w:r>
        <w:instrText xml:space="preserve"> HYPERLINK \l "_Toc214902000" </w:instrText>
      </w:r>
      <w:r>
        <w:rPr/>
        <w:fldChar w:fldCharType="separate"/>
      </w:r>
      <w:r>
        <w:rPr>
          <w:rStyle w:val="style85"/>
          <w:rFonts w:ascii="Arial" w:cs="Arial" w:hAnsi="Arial"/>
          <w:noProof/>
        </w:rPr>
        <w:t>1. Overview of the Business Idea</w:t>
      </w:r>
      <w:r>
        <w:rPr>
          <w:noProof/>
          <w:webHidden/>
        </w:rPr>
        <w:tab/>
      </w:r>
      <w:r>
        <w:rPr>
          <w:noProof/>
          <w:webHidden/>
        </w:rPr>
        <w:fldChar w:fldCharType="begin"/>
      </w:r>
      <w:r>
        <w:rPr>
          <w:noProof/>
          <w:webHidden/>
        </w:rPr>
        <w:instrText xml:space="preserve"> PAGEREF _Toc214902000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rFonts w:ascii="Calibri" w:eastAsia="宋体" w:hAnsi="Calibri"/>
          <w:noProof/>
        </w:rPr>
      </w:pPr>
      <w:r>
        <w:rPr/>
        <w:fldChar w:fldCharType="begin"/>
      </w:r>
      <w:r>
        <w:instrText xml:space="preserve"> HYPERLINK \l "_Toc214902001" </w:instrText>
      </w:r>
      <w:r>
        <w:rPr/>
        <w:fldChar w:fldCharType="separate"/>
      </w:r>
      <w:r>
        <w:rPr>
          <w:rStyle w:val="style85"/>
          <w:rFonts w:ascii="Arial" w:cs="Arial" w:hAnsi="Arial"/>
          <w:noProof/>
        </w:rPr>
        <w:t>2. Environmental Analysis (PESTEL)</w:t>
      </w:r>
      <w:r>
        <w:rPr>
          <w:noProof/>
          <w:webHidden/>
        </w:rPr>
        <w:tab/>
      </w:r>
      <w:r>
        <w:rPr>
          <w:noProof/>
          <w:webHidden/>
        </w:rPr>
        <w:fldChar w:fldCharType="begin"/>
      </w:r>
      <w:r>
        <w:rPr>
          <w:noProof/>
          <w:webHidden/>
        </w:rPr>
        <w:instrText xml:space="preserve"> PAGEREF _Toc214902001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rFonts w:ascii="Calibri" w:eastAsia="宋体" w:hAnsi="Calibri"/>
          <w:noProof/>
        </w:rPr>
      </w:pPr>
      <w:r>
        <w:rPr/>
        <w:fldChar w:fldCharType="begin"/>
      </w:r>
      <w:r>
        <w:instrText xml:space="preserve"> HYPERLINK \l "_Toc214902002" </w:instrText>
      </w:r>
      <w:r>
        <w:rPr/>
        <w:fldChar w:fldCharType="separate"/>
      </w:r>
      <w:r>
        <w:rPr>
          <w:rStyle w:val="style85"/>
          <w:rFonts w:ascii="Arial" w:cs="Arial" w:hAnsi="Arial"/>
          <w:noProof/>
        </w:rPr>
        <w:t>3. Marketing Strategies</w:t>
      </w:r>
      <w:r>
        <w:rPr>
          <w:noProof/>
          <w:webHidden/>
        </w:rPr>
        <w:tab/>
      </w:r>
      <w:r>
        <w:rPr>
          <w:noProof/>
          <w:webHidden/>
        </w:rPr>
        <w:fldChar w:fldCharType="begin"/>
      </w:r>
      <w:r>
        <w:rPr>
          <w:noProof/>
          <w:webHidden/>
        </w:rPr>
        <w:instrText xml:space="preserve"> PAGEREF _Toc214902002 \h </w:instrText>
      </w:r>
      <w:r>
        <w:rPr>
          <w:noProof/>
          <w:webHidden/>
        </w:rPr>
        <w:fldChar w:fldCharType="separate"/>
      </w:r>
      <w:r>
        <w:rPr>
          <w:noProof/>
          <w:webHidden/>
        </w:rPr>
        <w:t>7</w:t>
      </w:r>
      <w:r>
        <w:rPr>
          <w:noProof/>
          <w:webHidden/>
        </w:rPr>
        <w:fldChar w:fldCharType="end"/>
      </w:r>
      <w:r>
        <w:rPr/>
        <w:fldChar w:fldCharType="end"/>
      </w:r>
    </w:p>
    <w:p>
      <w:pPr>
        <w:pStyle w:val="style19"/>
        <w:tabs>
          <w:tab w:val="right" w:leader="dot" w:pos="9350"/>
        </w:tabs>
        <w:rPr>
          <w:rFonts w:ascii="Calibri" w:eastAsia="宋体" w:hAnsi="Calibri"/>
          <w:noProof/>
        </w:rPr>
      </w:pPr>
      <w:r>
        <w:rPr/>
        <w:fldChar w:fldCharType="begin"/>
      </w:r>
      <w:r>
        <w:instrText xml:space="preserve"> HYPERLINK \l "_Toc214902003" </w:instrText>
      </w:r>
      <w:r>
        <w:rPr/>
        <w:fldChar w:fldCharType="separate"/>
      </w:r>
      <w:r>
        <w:rPr>
          <w:rStyle w:val="style85"/>
          <w:rFonts w:ascii="Arial" w:cs="Arial" w:hAnsi="Arial"/>
          <w:noProof/>
        </w:rPr>
        <w:t>4. Funding Requirements &amp; Startup Costs</w:t>
      </w:r>
      <w:r>
        <w:rPr>
          <w:noProof/>
          <w:webHidden/>
        </w:rPr>
        <w:tab/>
      </w:r>
      <w:r>
        <w:rPr>
          <w:noProof/>
          <w:webHidden/>
        </w:rPr>
        <w:fldChar w:fldCharType="begin"/>
      </w:r>
      <w:r>
        <w:rPr>
          <w:noProof/>
          <w:webHidden/>
        </w:rPr>
        <w:instrText xml:space="preserve"> PAGEREF _Toc214902003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ascii="Calibri" w:eastAsia="宋体" w:hAnsi="Calibri"/>
          <w:noProof/>
        </w:rPr>
      </w:pPr>
      <w:r>
        <w:rPr/>
        <w:fldChar w:fldCharType="begin"/>
      </w:r>
      <w:r>
        <w:instrText xml:space="preserve"> HYPERLINK \l "_Toc214902004" </w:instrText>
      </w:r>
      <w:r>
        <w:rPr/>
        <w:fldChar w:fldCharType="separate"/>
      </w:r>
      <w:r>
        <w:rPr>
          <w:rStyle w:val="style85"/>
          <w:rFonts w:ascii="Arial" w:cs="Arial" w:hAnsi="Arial"/>
          <w:noProof/>
        </w:rPr>
        <w:t>References</w:t>
      </w:r>
      <w:r>
        <w:rPr>
          <w:noProof/>
          <w:webHidden/>
        </w:rPr>
        <w:tab/>
      </w:r>
      <w:r>
        <w:rPr>
          <w:noProof/>
          <w:webHidden/>
        </w:rPr>
        <w:fldChar w:fldCharType="begin"/>
      </w:r>
      <w:r>
        <w:rPr>
          <w:noProof/>
          <w:webHidden/>
        </w:rPr>
        <w:instrText xml:space="preserve"> PAGEREF _Toc214902004 \h </w:instrText>
      </w:r>
      <w:r>
        <w:rPr>
          <w:noProof/>
          <w:webHidden/>
        </w:rPr>
        <w:fldChar w:fldCharType="separate"/>
      </w:r>
      <w:r>
        <w:rPr>
          <w:noProof/>
          <w:webHidden/>
        </w:rPr>
        <w:t>11</w:t>
      </w:r>
      <w:r>
        <w:rPr>
          <w:noProof/>
          <w:webHidden/>
        </w:rPr>
        <w:fldChar w:fldCharType="end"/>
      </w:r>
      <w:r>
        <w:rPr/>
        <w:fldChar w:fldCharType="end"/>
      </w:r>
    </w:p>
    <w:p>
      <w:pPr>
        <w:pStyle w:val="style0"/>
        <w:rPr>
          <w:rFonts w:ascii="Arial" w:cs="Arial" w:hAnsi="Arial"/>
          <w:b/>
          <w:bCs/>
          <w:noProof/>
        </w:rPr>
      </w:pPr>
      <w:r>
        <w:rPr>
          <w:rFonts w:ascii="Arial" w:cs="Arial" w:hAnsi="Arial"/>
          <w:b/>
          <w:bCs/>
          <w:noProof/>
        </w:rPr>
        <w:fldChar w:fldCharType="end"/>
      </w:r>
    </w:p>
    <w:p>
      <w:pPr>
        <w:pStyle w:val="style0"/>
        <w:rPr>
          <w:rFonts w:ascii="Arial" w:cs="Arial" w:hAnsi="Arial"/>
        </w:rPr>
      </w:pPr>
      <w:r>
        <w:rPr>
          <w:rFonts w:ascii="Arial" w:cs="Arial" w:hAnsi="Arial"/>
        </w:rPr>
        <w:br w:type="page"/>
      </w:r>
    </w:p>
    <w:bookmarkStart w:id="0" w:name="_Toc214902000"/>
    <w:p>
      <w:pPr>
        <w:pStyle w:val="style1"/>
        <w:rPr>
          <w:rFonts w:ascii="Arial" w:cs="Arial" w:hAnsi="Arial"/>
        </w:rPr>
      </w:pPr>
      <w:r>
        <w:rPr>
          <w:rFonts w:ascii="Arial" w:cs="Arial" w:hAnsi="Arial"/>
        </w:rPr>
        <w:t>1. Overview of the Business Idea</w:t>
      </w:r>
      <w:bookmarkEnd w:id="0"/>
    </w:p>
    <w:p>
      <w:pPr>
        <w:pStyle w:val="style0"/>
        <w:rPr>
          <w:rFonts w:ascii="Arial" w:cs="Arial" w:hAnsi="Arial"/>
        </w:rPr>
      </w:pPr>
      <w:r>
        <w:rPr>
          <w:rFonts w:ascii="Arial" w:cs="Arial" w:hAnsi="Arial"/>
        </w:rPr>
        <w:t>ReHomeX</w:t>
      </w:r>
      <w:r>
        <w:rPr>
          <w:rFonts w:ascii="Arial" w:cs="Arial" w:hAnsi="Arial"/>
        </w:rPr>
        <w:t xml:space="preserve"> is a home de-cluttering, home </w:t>
      </w:r>
      <w:r>
        <w:rPr>
          <w:rFonts w:ascii="Arial" w:cs="Arial" w:hAnsi="Arial"/>
        </w:rPr>
        <w:t>organising</w:t>
      </w:r>
      <w:r>
        <w:rPr>
          <w:rFonts w:ascii="Arial" w:cs="Arial" w:hAnsi="Arial"/>
        </w:rPr>
        <w:t xml:space="preserve"> and home reselling business model that aims at assisting people in establishing stress free working environments. The company will focus on the increasing demand of busy families, downsizers, and professionals, as well as families who do not have time, energy, and systems necessary to take care of their belongings. </w:t>
      </w:r>
      <w:r>
        <w:rPr>
          <w:rFonts w:ascii="Arial" w:cs="Arial" w:hAnsi="Arial"/>
        </w:rPr>
        <w:t>ReHomeX</w:t>
      </w:r>
      <w:r>
        <w:rPr>
          <w:rFonts w:ascii="Arial" w:cs="Arial" w:hAnsi="Arial"/>
        </w:rPr>
        <w:t xml:space="preserve"> can provide both the practical and financial advantages by integrating </w:t>
      </w:r>
      <w:r>
        <w:rPr>
          <w:rFonts w:ascii="Arial" w:cs="Arial" w:hAnsi="Arial"/>
        </w:rPr>
        <w:t>organisation</w:t>
      </w:r>
      <w:r>
        <w:rPr>
          <w:rFonts w:ascii="Arial" w:cs="Arial" w:hAnsi="Arial"/>
        </w:rPr>
        <w:t xml:space="preserve"> with a reselling element, which will make the service attractive to the contemporary consumers being sustainability-oriented. The three main services that the business will offer are as follows. The former is decluttering in the home whereby experts walk the clients through the process of sorting and </w:t>
      </w:r>
      <w:r>
        <w:rPr>
          <w:rFonts w:ascii="Arial" w:cs="Arial" w:hAnsi="Arial"/>
        </w:rPr>
        <w:t>categorising</w:t>
      </w:r>
      <w:r>
        <w:rPr>
          <w:rFonts w:ascii="Arial" w:cs="Arial" w:hAnsi="Arial"/>
        </w:rPr>
        <w:t xml:space="preserve"> to eliminate unneeded clutter. The second one is professional home </w:t>
      </w:r>
      <w:r>
        <w:rPr>
          <w:rFonts w:ascii="Arial" w:cs="Arial" w:hAnsi="Arial"/>
        </w:rPr>
        <w:t>organisation</w:t>
      </w:r>
      <w:r>
        <w:rPr>
          <w:rFonts w:ascii="Arial" w:cs="Arial" w:hAnsi="Arial"/>
        </w:rPr>
        <w:t xml:space="preserve"> as it entails designing </w:t>
      </w:r>
      <w:r>
        <w:rPr>
          <w:rFonts w:ascii="Arial" w:cs="Arial" w:hAnsi="Arial"/>
        </w:rPr>
        <w:t>personalised</w:t>
      </w:r>
      <w:r>
        <w:rPr>
          <w:rFonts w:ascii="Arial" w:cs="Arial" w:hAnsi="Arial"/>
        </w:rPr>
        <w:t xml:space="preserve"> storage plans, prescribing </w:t>
      </w:r>
      <w:r>
        <w:rPr>
          <w:rFonts w:ascii="Arial" w:cs="Arial" w:hAnsi="Arial"/>
        </w:rPr>
        <w:t>organisational</w:t>
      </w:r>
      <w:r>
        <w:rPr>
          <w:rFonts w:ascii="Arial" w:cs="Arial" w:hAnsi="Arial"/>
        </w:rPr>
        <w:t xml:space="preserve"> products, and </w:t>
      </w:r>
      <w:r>
        <w:rPr>
          <w:rFonts w:ascii="Arial" w:cs="Arial" w:hAnsi="Arial"/>
        </w:rPr>
        <w:t>organising</w:t>
      </w:r>
      <w:r>
        <w:rPr>
          <w:rFonts w:ascii="Arial" w:cs="Arial" w:hAnsi="Arial"/>
        </w:rPr>
        <w:t xml:space="preserve"> spaces to help clients achieve long-term order (</w:t>
      </w:r>
      <w:r>
        <w:rPr>
          <w:rFonts w:ascii="Arial" w:cs="Arial" w:hAnsi="Arial"/>
        </w:rPr>
        <w:t>Ratten</w:t>
      </w:r>
      <w:r>
        <w:rPr>
          <w:rFonts w:ascii="Arial" w:cs="Arial" w:hAnsi="Arial"/>
        </w:rPr>
        <w:t xml:space="preserve">, 2023). The third service is the reselling of unwanted products, where appropriate products are washed, photographed, listed and sold on other legal online platforms. Clients are empowered a portion of the resale value therefore encouraging good disposal as well as </w:t>
      </w:r>
      <w:r>
        <w:rPr>
          <w:rFonts w:ascii="Arial" w:cs="Arial" w:hAnsi="Arial"/>
        </w:rPr>
        <w:t>minimisation</w:t>
      </w:r>
      <w:r>
        <w:rPr>
          <w:rFonts w:ascii="Arial" w:cs="Arial" w:hAnsi="Arial"/>
        </w:rPr>
        <w:t xml:space="preserve"> of waste and environmental effects.</w:t>
      </w:r>
    </w:p>
    <w:p>
      <w:pPr>
        <w:pStyle w:val="style0"/>
        <w:rPr>
          <w:rFonts w:ascii="Arial" w:cs="Arial" w:hAnsi="Arial"/>
        </w:rPr>
      </w:pPr>
      <w:r>
        <w:rPr>
          <w:rFonts w:ascii="Arial" w:cs="Arial" w:hAnsi="Arial"/>
        </w:rPr>
        <w:t>ReHomeX</w:t>
      </w:r>
      <w:r>
        <w:rPr>
          <w:rFonts w:ascii="Arial" w:cs="Arial" w:hAnsi="Arial"/>
        </w:rPr>
        <w:t xml:space="preserve"> will have a simple and effective management structure. The founder shall be the Managing Director, which will be strategic planning, finances, marketing, and business development. An Operations Coordinator will deal with the scheduling of clients, communication, record of services, and logistics of items transportation and listing to sell. Two part-time Decluttering and </w:t>
      </w:r>
      <w:r>
        <w:rPr>
          <w:rFonts w:ascii="Arial" w:cs="Arial" w:hAnsi="Arial"/>
        </w:rPr>
        <w:t>Organisation</w:t>
      </w:r>
      <w:r>
        <w:rPr>
          <w:rFonts w:ascii="Arial" w:cs="Arial" w:hAnsi="Arial"/>
        </w:rPr>
        <w:t xml:space="preserve"> Specialists will facilitate practical service provision in the houses of the clients and repackage goods to be resold. This lean system guarantees professionalism, well defined accountability and the flexibility to increase staffing needs as the demand grows. The first legal form that the business will use is that of a sole trader because of its cheapness, low cost of administration and ease of incorporating. </w:t>
      </w:r>
    </w:p>
    <w:bookmarkStart w:id="1" w:name="_Toc214902001"/>
    <w:p>
      <w:pPr>
        <w:pStyle w:val="style1"/>
        <w:rPr>
          <w:rFonts w:ascii="Arial" w:cs="Arial" w:hAnsi="Arial"/>
        </w:rPr>
      </w:pPr>
      <w:r>
        <w:rPr>
          <w:rFonts w:ascii="Arial" w:cs="Arial" w:hAnsi="Arial"/>
        </w:rPr>
        <w:t>2. Environmental Analysis (PESTEL)</w:t>
      </w:r>
      <w:bookmarkEnd w:id="1"/>
    </w:p>
    <w:tbl>
      <w:tblPr>
        <w:tblStyle w:val="style154"/>
        <w:tblW w:w="0" w:type="auto"/>
        <w:tblLook w:val="04A0" w:firstRow="1" w:lastRow="0" w:firstColumn="1" w:lastColumn="0" w:noHBand="0" w:noVBand="1"/>
      </w:tblPr>
      <w:tblGrid>
        <w:gridCol w:w="1776"/>
        <w:gridCol w:w="7584"/>
      </w:tblGrid>
      <w:tr>
        <w:trPr/>
        <w:tc>
          <w:tcPr>
            <w:tcW w:w="0" w:type="auto"/>
            <w:tcBorders/>
            <w:hideMark/>
          </w:tcPr>
          <w:p>
            <w:pPr>
              <w:pStyle w:val="style0"/>
              <w:spacing w:after="160"/>
              <w:rPr>
                <w:rFonts w:ascii="Arial" w:cs="Arial" w:hAnsi="Arial"/>
                <w:b/>
                <w:bCs/>
              </w:rPr>
            </w:pPr>
            <w:r>
              <w:rPr>
                <w:rFonts w:ascii="Arial" w:cs="Arial" w:hAnsi="Arial"/>
                <w:b/>
                <w:bCs/>
              </w:rPr>
              <w:t>Factor</w:t>
            </w:r>
          </w:p>
        </w:tc>
        <w:tc>
          <w:tcPr>
            <w:tcW w:w="0" w:type="auto"/>
            <w:tcBorders/>
            <w:hideMark/>
          </w:tcPr>
          <w:p>
            <w:pPr>
              <w:pStyle w:val="style0"/>
              <w:spacing w:after="160"/>
              <w:rPr>
                <w:rFonts w:ascii="Arial" w:cs="Arial" w:hAnsi="Arial"/>
                <w:b/>
                <w:bCs/>
              </w:rPr>
            </w:pPr>
            <w:r>
              <w:rPr>
                <w:rFonts w:ascii="Arial" w:cs="Arial" w:hAnsi="Arial"/>
                <w:b/>
                <w:bCs/>
              </w:rPr>
              <w:t>Analysis</w:t>
            </w:r>
          </w:p>
        </w:tc>
      </w:tr>
      <w:tr>
        <w:tblPrEx/>
        <w:trPr/>
        <w:tc>
          <w:tcPr>
            <w:tcW w:w="0" w:type="auto"/>
            <w:tcBorders/>
            <w:hideMark/>
          </w:tcPr>
          <w:p>
            <w:pPr>
              <w:pStyle w:val="style0"/>
              <w:spacing w:after="160"/>
              <w:rPr>
                <w:rFonts w:ascii="Arial" w:cs="Arial" w:hAnsi="Arial"/>
              </w:rPr>
            </w:pPr>
            <w:r>
              <w:rPr>
                <w:rFonts w:ascii="Arial" w:cs="Arial" w:hAnsi="Arial"/>
                <w:b/>
                <w:bCs/>
              </w:rPr>
              <w:t>Political</w:t>
            </w:r>
          </w:p>
        </w:tc>
        <w:tc>
          <w:tcPr>
            <w:tcW w:w="0" w:type="auto"/>
            <w:tcBorders/>
            <w:hideMark/>
          </w:tcPr>
          <w:p>
            <w:pPr>
              <w:pStyle w:val="style0"/>
              <w:spacing w:after="160"/>
              <w:rPr>
                <w:rFonts w:ascii="Arial" w:cs="Arial" w:hAnsi="Arial"/>
              </w:rPr>
            </w:pPr>
            <w:r>
              <w:rPr>
                <w:rFonts w:ascii="Arial" w:cs="Arial" w:hAnsi="Arial"/>
              </w:rPr>
              <w:t xml:space="preserve">The government policies which help in promoting sustainability, recycling and waste </w:t>
            </w:r>
            <w:r>
              <w:rPr>
                <w:rFonts w:ascii="Arial" w:cs="Arial" w:hAnsi="Arial"/>
              </w:rPr>
              <w:t>minimisation</w:t>
            </w:r>
            <w:r>
              <w:rPr>
                <w:rFonts w:ascii="Arial" w:cs="Arial" w:hAnsi="Arial"/>
              </w:rPr>
              <w:t xml:space="preserve"> provide </w:t>
            </w:r>
            <w:r>
              <w:rPr>
                <w:rFonts w:ascii="Arial" w:cs="Arial" w:hAnsi="Arial"/>
              </w:rPr>
              <w:t>favourable</w:t>
            </w:r>
            <w:r>
              <w:rPr>
                <w:rFonts w:ascii="Arial" w:cs="Arial" w:hAnsi="Arial"/>
              </w:rPr>
              <w:t xml:space="preserve"> environment to a business such as </w:t>
            </w:r>
            <w:r>
              <w:rPr>
                <w:rFonts w:ascii="Arial" w:cs="Arial" w:hAnsi="Arial"/>
              </w:rPr>
              <w:t>ReHomeX</w:t>
            </w:r>
            <w:r>
              <w:rPr>
                <w:rFonts w:ascii="Arial" w:cs="Arial" w:hAnsi="Arial"/>
              </w:rPr>
              <w:t xml:space="preserve">. A lot of local councils also support the responsible methods of disposal and offer grants to the actions supporting the environment, and it fits well with the reselling and reusing idea this business will operate under. The UK also enjoys political stability, which leads to predictability of operating conditions of small enterprises (Fernandes et al., 2022). Yet, there are policies that are governing waste disposal or handing procedures with second-hand items that can influence the way things are processed, stored, or sold. </w:t>
            </w:r>
            <w:r>
              <w:rPr>
                <w:rFonts w:ascii="Arial" w:cs="Arial" w:hAnsi="Arial"/>
              </w:rPr>
              <w:t>ReHomeX</w:t>
            </w:r>
            <w:r>
              <w:rPr>
                <w:rFonts w:ascii="Arial" w:cs="Arial" w:hAnsi="Arial"/>
              </w:rPr>
              <w:t xml:space="preserve"> will have to keep track of the local authority regulations regarding the classification of wastes, rules on donations</w:t>
            </w:r>
            <w:r>
              <w:rPr>
                <w:rFonts w:ascii="Arial" w:cs="Arial" w:hAnsi="Arial"/>
              </w:rPr>
              <w:t>.</w:t>
            </w:r>
          </w:p>
        </w:tc>
      </w:tr>
      <w:tr>
        <w:tblPrEx/>
        <w:trPr/>
        <w:tc>
          <w:tcPr>
            <w:tcW w:w="0" w:type="auto"/>
            <w:tcBorders/>
            <w:hideMark/>
          </w:tcPr>
          <w:p>
            <w:pPr>
              <w:pStyle w:val="style0"/>
              <w:spacing w:after="160"/>
              <w:rPr>
                <w:rFonts w:ascii="Arial" w:cs="Arial" w:hAnsi="Arial"/>
              </w:rPr>
            </w:pPr>
            <w:r>
              <w:rPr>
                <w:rFonts w:ascii="Arial" w:cs="Arial" w:hAnsi="Arial"/>
                <w:b/>
                <w:bCs/>
              </w:rPr>
              <w:t>Economic</w:t>
            </w:r>
          </w:p>
        </w:tc>
        <w:tc>
          <w:tcPr>
            <w:tcW w:w="0" w:type="auto"/>
            <w:tcBorders/>
            <w:hideMark/>
          </w:tcPr>
          <w:p>
            <w:pPr>
              <w:pStyle w:val="style0"/>
              <w:spacing w:after="160"/>
              <w:rPr>
                <w:rFonts w:ascii="Arial" w:cs="Arial" w:hAnsi="Arial"/>
              </w:rPr>
            </w:pPr>
            <w:r>
              <w:rPr>
                <w:rFonts w:ascii="Arial" w:cs="Arial" w:hAnsi="Arial"/>
              </w:rPr>
              <w:t xml:space="preserve">The decline of the economic conditions is the important factor shaping the demand of the decluttering and reselling services. The increase in living expenses has raised the desire of consumers to realize money on wasted items, so </w:t>
            </w:r>
            <w:r>
              <w:rPr>
                <w:rFonts w:ascii="Arial" w:cs="Arial" w:hAnsi="Arial"/>
              </w:rPr>
              <w:t>ReHomeX</w:t>
            </w:r>
            <w:r>
              <w:rPr>
                <w:rFonts w:ascii="Arial" w:cs="Arial" w:hAnsi="Arial"/>
              </w:rPr>
              <w:t xml:space="preserve"> is appealing to those families who require the additional income. Meanwhile, money can negatively impact expenditures on paid home services thus affordability and value will have to be prioritized. The reselling component of the business is reinforced by the rising second-hand economy in the UK, thanks to the activities of such platforms as eBay and Vinted</w:t>
            </w:r>
            <w:r>
              <w:rPr>
                <w:rFonts w:ascii="Arial" w:cs="Arial" w:hAnsi="Arial"/>
              </w:rPr>
              <w:t>.</w:t>
            </w:r>
          </w:p>
        </w:tc>
      </w:tr>
      <w:tr>
        <w:tblPrEx/>
        <w:trPr/>
        <w:tc>
          <w:tcPr>
            <w:tcW w:w="0" w:type="auto"/>
            <w:tcBorders/>
            <w:hideMark/>
          </w:tcPr>
          <w:p>
            <w:pPr>
              <w:pStyle w:val="style0"/>
              <w:spacing w:after="160"/>
              <w:rPr>
                <w:rFonts w:ascii="Arial" w:cs="Arial" w:hAnsi="Arial"/>
              </w:rPr>
            </w:pPr>
            <w:r>
              <w:rPr>
                <w:rFonts w:ascii="Arial" w:cs="Arial" w:hAnsi="Arial"/>
                <w:b/>
                <w:bCs/>
              </w:rPr>
              <w:t>Social</w:t>
            </w:r>
          </w:p>
        </w:tc>
        <w:tc>
          <w:tcPr>
            <w:tcW w:w="0" w:type="auto"/>
            <w:tcBorders/>
            <w:hideMark/>
          </w:tcPr>
          <w:p>
            <w:pPr>
              <w:pStyle w:val="style0"/>
              <w:spacing w:after="160"/>
              <w:rPr>
                <w:rFonts w:ascii="Arial" w:cs="Arial" w:hAnsi="Arial"/>
              </w:rPr>
            </w:pPr>
            <w:r>
              <w:rPr>
                <w:rFonts w:ascii="Arial" w:cs="Arial" w:hAnsi="Arial"/>
              </w:rPr>
              <w:t xml:space="preserve">The expansion of </w:t>
            </w:r>
            <w:r>
              <w:rPr>
                <w:rFonts w:ascii="Arial" w:cs="Arial" w:hAnsi="Arial"/>
              </w:rPr>
              <w:t>ReHomeX</w:t>
            </w:r>
            <w:r>
              <w:rPr>
                <w:rFonts w:ascii="Arial" w:cs="Arial" w:hAnsi="Arial"/>
              </w:rPr>
              <w:t xml:space="preserve"> is highly supported by the social trends. More and more people appreciate minimalism, simplicity, and orderly living conditions. Decluttering has become a socially desirable and popular media-driven trend that is popularized by influencers and home-</w:t>
            </w:r>
            <w:r>
              <w:rPr>
                <w:rFonts w:ascii="Arial" w:cs="Arial" w:hAnsi="Arial"/>
              </w:rPr>
              <w:t>organisation</w:t>
            </w:r>
            <w:r>
              <w:rPr>
                <w:rFonts w:ascii="Arial" w:cs="Arial" w:hAnsi="Arial"/>
              </w:rPr>
              <w:t xml:space="preserve"> shows. City residents with smaller spaces and people who have to work at home even longer are particularly encouraged to advance the functionality of their space. Elderly, family </w:t>
            </w:r>
            <w:r>
              <w:rPr>
                <w:rFonts w:ascii="Arial" w:cs="Arial" w:hAnsi="Arial"/>
              </w:rPr>
              <w:t xml:space="preserve">and children, as well as those in life transition, represent other opportunities to support </w:t>
            </w:r>
            <w:r>
              <w:rPr>
                <w:rFonts w:ascii="Arial" w:cs="Arial" w:hAnsi="Arial"/>
              </w:rPr>
              <w:t>personalised</w:t>
            </w:r>
            <w:r>
              <w:rPr>
                <w:rFonts w:ascii="Arial" w:cs="Arial" w:hAnsi="Arial"/>
              </w:rPr>
              <w:t xml:space="preserve"> decluttering. This change to a more </w:t>
            </w:r>
            <w:r>
              <w:rPr>
                <w:rFonts w:ascii="Arial" w:cs="Arial" w:hAnsi="Arial"/>
              </w:rPr>
              <w:t>organised</w:t>
            </w:r>
            <w:r>
              <w:rPr>
                <w:rFonts w:ascii="Arial" w:cs="Arial" w:hAnsi="Arial"/>
              </w:rPr>
              <w:t>, less stressful lifestyle is the impetus to the long-term demand</w:t>
            </w:r>
            <w:r>
              <w:rPr>
                <w:rFonts w:ascii="Arial" w:cs="Arial" w:hAnsi="Arial"/>
              </w:rPr>
              <w:t>.</w:t>
            </w:r>
          </w:p>
        </w:tc>
      </w:tr>
      <w:tr>
        <w:tblPrEx/>
        <w:trPr/>
        <w:tc>
          <w:tcPr>
            <w:tcW w:w="0" w:type="auto"/>
            <w:tcBorders/>
            <w:hideMark/>
          </w:tcPr>
          <w:p>
            <w:pPr>
              <w:pStyle w:val="style0"/>
              <w:spacing w:after="160"/>
              <w:rPr>
                <w:rFonts w:ascii="Arial" w:cs="Arial" w:hAnsi="Arial"/>
              </w:rPr>
            </w:pPr>
            <w:r>
              <w:rPr>
                <w:rFonts w:ascii="Arial" w:cs="Arial" w:hAnsi="Arial"/>
                <w:b/>
                <w:bCs/>
              </w:rPr>
              <w:t>Technological</w:t>
            </w:r>
          </w:p>
        </w:tc>
        <w:tc>
          <w:tcPr>
            <w:tcW w:w="0" w:type="auto"/>
            <w:tcBorders/>
            <w:hideMark/>
          </w:tcPr>
          <w:p>
            <w:pPr>
              <w:pStyle w:val="style0"/>
              <w:spacing w:after="160"/>
              <w:rPr>
                <w:rFonts w:ascii="Arial" w:cs="Arial" w:hAnsi="Arial"/>
              </w:rPr>
            </w:pPr>
            <w:r>
              <w:rPr>
                <w:rFonts w:ascii="Arial" w:cs="Arial" w:hAnsi="Arial"/>
              </w:rPr>
              <w:t xml:space="preserve">Technology is also being advanced in order to improve delivery of services as well as marketing. The use of digital booking tools, electronic payment systems, and automated booking systems makes operations easier and enhance customer experience. Instagram, Tik Tok, and Pinterest are some of the social media platforms that will enable </w:t>
            </w:r>
            <w:r>
              <w:rPr>
                <w:rFonts w:ascii="Arial" w:cs="Arial" w:hAnsi="Arial"/>
              </w:rPr>
              <w:t>ReHomeX</w:t>
            </w:r>
            <w:r>
              <w:rPr>
                <w:rFonts w:ascii="Arial" w:cs="Arial" w:hAnsi="Arial"/>
              </w:rPr>
              <w:t xml:space="preserve"> to display the changes and attract new customers by telling the story in pictures. The reselling aspect is effective and lucrative as online resale market places are easy to price, list and communicate.</w:t>
            </w:r>
          </w:p>
        </w:tc>
      </w:tr>
      <w:tr>
        <w:tblPrEx/>
        <w:trPr/>
        <w:tc>
          <w:tcPr>
            <w:tcW w:w="0" w:type="auto"/>
            <w:tcBorders/>
            <w:hideMark/>
          </w:tcPr>
          <w:p>
            <w:pPr>
              <w:pStyle w:val="style0"/>
              <w:spacing w:after="160"/>
              <w:rPr>
                <w:rFonts w:ascii="Arial" w:cs="Arial" w:hAnsi="Arial"/>
              </w:rPr>
            </w:pPr>
            <w:r>
              <w:rPr>
                <w:rFonts w:ascii="Arial" w:cs="Arial" w:hAnsi="Arial"/>
                <w:b/>
                <w:bCs/>
              </w:rPr>
              <w:t>Environmental</w:t>
            </w:r>
          </w:p>
        </w:tc>
        <w:tc>
          <w:tcPr>
            <w:tcW w:w="0" w:type="auto"/>
            <w:tcBorders/>
            <w:hideMark/>
          </w:tcPr>
          <w:p>
            <w:pPr>
              <w:pStyle w:val="style0"/>
              <w:spacing w:after="160"/>
              <w:rPr>
                <w:rFonts w:ascii="Arial" w:cs="Arial" w:hAnsi="Arial"/>
              </w:rPr>
            </w:pPr>
            <w:r>
              <w:rPr>
                <w:rFonts w:ascii="Arial" w:cs="Arial" w:hAnsi="Arial"/>
              </w:rPr>
              <w:t xml:space="preserve">The increasing environmental consciousness encourages companies that would encourage reuse and waste minimization. </w:t>
            </w:r>
            <w:r>
              <w:rPr>
                <w:rFonts w:ascii="Arial" w:cs="Arial" w:hAnsi="Arial"/>
              </w:rPr>
              <w:t>ReHomeX</w:t>
            </w:r>
            <w:r>
              <w:rPr>
                <w:rFonts w:ascii="Arial" w:cs="Arial" w:hAnsi="Arial"/>
              </w:rPr>
              <w:t xml:space="preserve"> fosters clients to prolong the life of unwanted items by reselling or donation, decreasing the landfill donations (Frese and </w:t>
            </w:r>
            <w:r>
              <w:rPr>
                <w:rFonts w:ascii="Arial" w:cs="Arial" w:hAnsi="Arial"/>
              </w:rPr>
              <w:t>Gielnik</w:t>
            </w:r>
            <w:r>
              <w:rPr>
                <w:rFonts w:ascii="Arial" w:cs="Arial" w:hAnsi="Arial"/>
              </w:rPr>
              <w:t>, 2023). This strategy is in line with the circular-economy principles, and it will attract environmentally aware consumers. Nonetheless, transportation amid client residential areas and assortment spots causes emissions, and optimal route planning and low-waste package could decrease their impact on the environment</w:t>
            </w:r>
            <w:r>
              <w:rPr>
                <w:rFonts w:ascii="Arial" w:cs="Arial" w:hAnsi="Arial"/>
              </w:rPr>
              <w:t>.</w:t>
            </w:r>
          </w:p>
        </w:tc>
      </w:tr>
      <w:tr>
        <w:tblPrEx/>
        <w:trPr/>
        <w:tc>
          <w:tcPr>
            <w:tcW w:w="0" w:type="auto"/>
            <w:tcBorders/>
            <w:hideMark/>
          </w:tcPr>
          <w:p>
            <w:pPr>
              <w:pStyle w:val="style0"/>
              <w:spacing w:after="160"/>
              <w:rPr>
                <w:rFonts w:ascii="Arial" w:cs="Arial" w:hAnsi="Arial"/>
              </w:rPr>
            </w:pPr>
            <w:r>
              <w:rPr>
                <w:rFonts w:ascii="Arial" w:cs="Arial" w:hAnsi="Arial"/>
                <w:b/>
                <w:bCs/>
              </w:rPr>
              <w:t>Legal</w:t>
            </w:r>
          </w:p>
        </w:tc>
        <w:tc>
          <w:tcPr>
            <w:tcW w:w="0" w:type="auto"/>
            <w:tcBorders/>
            <w:hideMark/>
          </w:tcPr>
          <w:p>
            <w:pPr>
              <w:pStyle w:val="style0"/>
              <w:spacing w:after="160"/>
              <w:rPr>
                <w:rFonts w:ascii="Arial" w:cs="Arial" w:hAnsi="Arial"/>
              </w:rPr>
            </w:pPr>
            <w:r>
              <w:rPr>
                <w:rFonts w:ascii="Arial" w:cs="Arial" w:hAnsi="Arial"/>
              </w:rPr>
              <w:t>ReHomeX</w:t>
            </w:r>
            <w:r>
              <w:rPr>
                <w:rFonts w:ascii="Arial" w:cs="Arial" w:hAnsi="Arial"/>
              </w:rPr>
              <w:t xml:space="preserve"> is bound by the consumer laws, GDPR, and then the marketplace regulations should be followed in selling second-hand goods. A safe service delivery requires the existence of the public liability and professional indemnity insurance. The employment law also comes into play since personnel are recruited.</w:t>
            </w:r>
          </w:p>
        </w:tc>
      </w:tr>
    </w:tbl>
    <w:p>
      <w:pPr>
        <w:pStyle w:val="style0"/>
        <w:jc w:val="center"/>
        <w:rPr>
          <w:rFonts w:ascii="Arial" w:cs="Arial" w:hAnsi="Arial"/>
          <w:b/>
          <w:bCs/>
        </w:rPr>
      </w:pPr>
      <w:r>
        <w:rPr>
          <w:rFonts w:ascii="Arial" w:cs="Arial" w:hAnsi="Arial"/>
          <w:b/>
          <w:bCs/>
        </w:rPr>
        <w:t>Table 1: PESTE</w:t>
      </w:r>
      <w:r>
        <w:rPr>
          <w:rFonts w:ascii="Arial" w:cs="Arial" w:hAnsi="Arial"/>
          <w:b/>
          <w:bCs/>
        </w:rPr>
        <w:t>L</w:t>
      </w:r>
      <w:r>
        <w:rPr>
          <w:rFonts w:ascii="Arial" w:cs="Arial" w:hAnsi="Arial"/>
          <w:b/>
          <w:bCs/>
        </w:rPr>
        <w:t xml:space="preserve"> Analysis</w:t>
      </w:r>
    </w:p>
    <w:p>
      <w:pPr>
        <w:pStyle w:val="style0"/>
        <w:jc w:val="center"/>
        <w:rPr>
          <w:rFonts w:ascii="Arial" w:cs="Arial" w:hAnsi="Arial"/>
        </w:rPr>
      </w:pPr>
      <w:r>
        <w:rPr>
          <w:rFonts w:ascii="Arial" w:cs="Arial" w:hAnsi="Arial"/>
          <w:noProof/>
        </w:rPr>
        <w:drawing>
          <wp:inline distL="0" distT="0" distB="0" distR="0">
            <wp:extent cx="3232298" cy="3273573"/>
            <wp:effectExtent l="76200" t="76200" r="139700" b="136525"/>
            <wp:docPr id="1026" name="Picture 1" descr="PESTEL Analysis (PEST Analysis) EXPLAINED with EXAMPLES | B2U"/>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22785" t="0" r="21685" b="0"/>
                    <a:stretch/>
                  </pic:blipFill>
                  <pic:spPr>
                    <a:xfrm rot="0">
                      <a:off x="0" y="0"/>
                      <a:ext cx="3232298" cy="3273573"/>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jc w:val="center"/>
        <w:rPr>
          <w:rFonts w:ascii="Arial" w:cs="Arial" w:hAnsi="Arial"/>
          <w:b/>
          <w:bCs/>
        </w:rPr>
      </w:pPr>
      <w:r>
        <w:rPr>
          <w:rFonts w:ascii="Arial" w:cs="Arial" w:hAnsi="Arial"/>
          <w:b/>
          <w:bCs/>
        </w:rPr>
        <w:t>Figure 1: PESTEL Analysis</w:t>
      </w:r>
    </w:p>
    <w:p>
      <w:pPr>
        <w:pStyle w:val="style0"/>
        <w:jc w:val="center"/>
        <w:rPr>
          <w:rFonts w:ascii="Arial" w:cs="Arial" w:hAnsi="Arial"/>
        </w:rPr>
      </w:pPr>
      <w:r>
        <w:rPr>
          <w:rFonts w:ascii="Arial" w:cs="Arial" w:hAnsi="Arial"/>
        </w:rPr>
        <w:t>(Source: Business-to-you.com, 2025)</w:t>
      </w:r>
    </w:p>
    <w:bookmarkStart w:id="2" w:name="_Toc214902002"/>
    <w:p>
      <w:pPr>
        <w:pStyle w:val="style1"/>
        <w:rPr>
          <w:rFonts w:ascii="Arial" w:cs="Arial" w:hAnsi="Arial"/>
        </w:rPr>
      </w:pPr>
      <w:r>
        <w:rPr>
          <w:rFonts w:ascii="Arial" w:cs="Arial" w:hAnsi="Arial"/>
        </w:rPr>
        <w:t>3. Marketing Strategies</w:t>
      </w:r>
      <w:bookmarkEnd w:id="2"/>
    </w:p>
    <w:p>
      <w:pPr>
        <w:pStyle w:val="style0"/>
        <w:rPr>
          <w:rFonts w:ascii="Arial" w:cs="Arial" w:hAnsi="Arial"/>
        </w:rPr>
      </w:pPr>
      <w:r>
        <w:rPr>
          <w:rFonts w:ascii="Arial" w:cs="Arial" w:hAnsi="Arial"/>
        </w:rPr>
        <w:t>ReHomeX</w:t>
      </w:r>
      <w:r>
        <w:rPr>
          <w:rFonts w:ascii="Arial" w:cs="Arial" w:hAnsi="Arial"/>
        </w:rPr>
        <w:t xml:space="preserve"> marketing plan is aimed at customer needs understanding, strong brand creation, service promotion, clear pricing, and convenient place of services. All these strategies are aimed at helping the business attract, engage, and retain customers as those who appreciate the idea of </w:t>
      </w:r>
      <w:r>
        <w:rPr>
          <w:rFonts w:ascii="Arial" w:cs="Arial" w:hAnsi="Arial"/>
        </w:rPr>
        <w:t>organised</w:t>
      </w:r>
      <w:r>
        <w:rPr>
          <w:rFonts w:ascii="Arial" w:cs="Arial" w:hAnsi="Arial"/>
        </w:rPr>
        <w:t xml:space="preserve"> living and providing proper disposal of household waste. The target market of </w:t>
      </w:r>
      <w:r>
        <w:rPr>
          <w:rFonts w:ascii="Arial" w:cs="Arial" w:hAnsi="Arial"/>
        </w:rPr>
        <w:t>ReHomeX</w:t>
      </w:r>
      <w:r>
        <w:rPr>
          <w:rFonts w:ascii="Arial" w:cs="Arial" w:hAnsi="Arial"/>
        </w:rPr>
        <w:t xml:space="preserve"> is comprised of busy professionals, families, children, old people who are about to downsize their homes and individuals who are interested in the minimalist way of life. A significant number of these customers do not have time, get overwhelmed emotionally, or struggle to take care of clutter on their own (Latifi, Grilli and Herrmann, 2024). The secondary segments are those that involve landlords who prepare the houses to be leased, those who have just bought their first homes who arrange the space and those who have been through the life cycle of moving or refurbishing. Having a broad range of customers who focus on convenience, clarity, </w:t>
      </w:r>
      <w:r>
        <w:rPr>
          <w:rFonts w:ascii="Arial" w:cs="Arial" w:hAnsi="Arial"/>
        </w:rPr>
        <w:t xml:space="preserve">and sustainability, </w:t>
      </w:r>
      <w:r>
        <w:rPr>
          <w:rFonts w:ascii="Arial" w:cs="Arial" w:hAnsi="Arial"/>
        </w:rPr>
        <w:t>ReHomeX</w:t>
      </w:r>
      <w:r>
        <w:rPr>
          <w:rFonts w:ascii="Arial" w:cs="Arial" w:hAnsi="Arial"/>
        </w:rPr>
        <w:t xml:space="preserve"> identifies itself as a viable and helpful remedy to daily problems of home-</w:t>
      </w:r>
      <w:r>
        <w:rPr>
          <w:rFonts w:ascii="Arial" w:cs="Arial" w:hAnsi="Arial"/>
        </w:rPr>
        <w:t>organisation</w:t>
      </w:r>
      <w:r>
        <w:rPr>
          <w:rFonts w:ascii="Arial" w:cs="Arial" w:hAnsi="Arial"/>
        </w:rPr>
        <w:t>.</w:t>
      </w:r>
    </w:p>
    <w:p>
      <w:pPr>
        <w:pStyle w:val="style0"/>
        <w:rPr>
          <w:rFonts w:ascii="Arial" w:cs="Arial" w:hAnsi="Arial"/>
        </w:rPr>
      </w:pPr>
      <w:r>
        <w:rPr>
          <w:rFonts w:ascii="Arial" w:cs="Arial" w:hAnsi="Arial"/>
        </w:rPr>
        <w:t xml:space="preserve">Branding and positioning will be aimed at positioning </w:t>
      </w:r>
      <w:r>
        <w:rPr>
          <w:rFonts w:ascii="Arial" w:cs="Arial" w:hAnsi="Arial"/>
        </w:rPr>
        <w:t>ReHomeX</w:t>
      </w:r>
      <w:r>
        <w:rPr>
          <w:rFonts w:ascii="Arial" w:cs="Arial" w:hAnsi="Arial"/>
        </w:rPr>
        <w:t xml:space="preserve"> as a reliable, friendly as well as a sustainability conscious service. The brand will focus on clarity, calmness and supportiveness which will be the experience of the client following professional </w:t>
      </w:r>
      <w:r>
        <w:rPr>
          <w:rFonts w:ascii="Arial" w:cs="Arial" w:hAnsi="Arial"/>
        </w:rPr>
        <w:t>organisation</w:t>
      </w:r>
      <w:r>
        <w:rPr>
          <w:rFonts w:ascii="Arial" w:cs="Arial" w:hAnsi="Arial"/>
        </w:rPr>
        <w:t xml:space="preserve">. The visual identity will consist of soft and neutral </w:t>
      </w:r>
      <w:r>
        <w:rPr>
          <w:rFonts w:ascii="Arial" w:cs="Arial" w:hAnsi="Arial"/>
        </w:rPr>
        <w:t>colours</w:t>
      </w:r>
      <w:r>
        <w:rPr>
          <w:rFonts w:ascii="Arial" w:cs="Arial" w:hAnsi="Arial"/>
        </w:rPr>
        <w:t xml:space="preserve"> and the plain typography to support the concept of clean and </w:t>
      </w:r>
      <w:r>
        <w:rPr>
          <w:rFonts w:ascii="Arial" w:cs="Arial" w:hAnsi="Arial"/>
        </w:rPr>
        <w:t>organised</w:t>
      </w:r>
      <w:r>
        <w:rPr>
          <w:rFonts w:ascii="Arial" w:cs="Arial" w:hAnsi="Arial"/>
        </w:rPr>
        <w:t xml:space="preserve"> living spaces. The messaging will focus on how </w:t>
      </w:r>
      <w:r>
        <w:rPr>
          <w:rFonts w:ascii="Arial" w:cs="Arial" w:hAnsi="Arial"/>
        </w:rPr>
        <w:t>ReHomeX</w:t>
      </w:r>
      <w:r>
        <w:rPr>
          <w:rFonts w:ascii="Arial" w:cs="Arial" w:hAnsi="Arial"/>
        </w:rPr>
        <w:t xml:space="preserve"> will offer a functional transformation, as well as environmental benefit, via its reselling model, which make it more attractive than regular </w:t>
      </w:r>
      <w:r>
        <w:rPr>
          <w:rFonts w:ascii="Arial" w:cs="Arial" w:hAnsi="Arial"/>
        </w:rPr>
        <w:t>organising</w:t>
      </w:r>
      <w:r>
        <w:rPr>
          <w:rFonts w:ascii="Arial" w:cs="Arial" w:hAnsi="Arial"/>
        </w:rPr>
        <w:t xml:space="preserve"> services.</w:t>
      </w:r>
    </w:p>
    <w:p>
      <w:pPr>
        <w:pStyle w:val="style0"/>
        <w:rPr>
          <w:rFonts w:ascii="Arial" w:cs="Arial" w:hAnsi="Arial"/>
        </w:rPr>
      </w:pPr>
      <w:r>
        <w:rPr>
          <w:rFonts w:ascii="Arial" w:cs="Arial" w:hAnsi="Arial"/>
        </w:rPr>
        <w:t xml:space="preserve">The marketing campaign will be based on online marketing. In social media, Instagram, Facebook, and Tik Tok platforms, the pre-and-after changes, client reviews, and brief educational videos will be displayed. Local advertisements will be paid to provide access to the potential customers in the area of the service delivery, whereas the referral incentives will promote the word-of-the-mouth expansion. Collaborations with estate agents, cleaning companies, interior designers, and retailers that are eco-friendly will extend the visibility even more. Transparent hourly rates of decluttering and </w:t>
      </w:r>
      <w:r>
        <w:rPr>
          <w:rFonts w:ascii="Arial" w:cs="Arial" w:hAnsi="Arial"/>
        </w:rPr>
        <w:t>organising</w:t>
      </w:r>
      <w:r>
        <w:rPr>
          <w:rFonts w:ascii="Arial" w:cs="Arial" w:hAnsi="Arial"/>
        </w:rPr>
        <w:t xml:space="preserve"> will be employed as the price strategy, thus making clients aware of the value they get (</w:t>
      </w:r>
      <w:r>
        <w:rPr>
          <w:rFonts w:ascii="Arial" w:cs="Arial" w:hAnsi="Arial"/>
        </w:rPr>
        <w:t>Hajipour</w:t>
      </w:r>
      <w:r>
        <w:rPr>
          <w:rFonts w:ascii="Arial" w:cs="Arial" w:hAnsi="Arial"/>
        </w:rPr>
        <w:t xml:space="preserve">, Hekmat and Amini, 2023). Larger projects will be attracted by discounted bundle packages. The reselling service will be based on commission which will enable the clients to gain in terms of money without incurring expenses initially. This combination model renders the service to be affordable and encourages customer loyalty in the long run. In the case of place strategy, </w:t>
      </w:r>
      <w:r>
        <w:rPr>
          <w:rFonts w:ascii="Arial" w:cs="Arial" w:hAnsi="Arial"/>
        </w:rPr>
        <w:t>ReHomeX</w:t>
      </w:r>
      <w:r>
        <w:rPr>
          <w:rFonts w:ascii="Arial" w:cs="Arial" w:hAnsi="Arial"/>
        </w:rPr>
        <w:t xml:space="preserve"> will provide service right in the living quarters of clients on the local boroughs. </w:t>
      </w:r>
    </w:p>
    <w:bookmarkStart w:id="3" w:name="_Toc214902003"/>
    <w:p>
      <w:pPr>
        <w:pStyle w:val="style1"/>
        <w:rPr>
          <w:rFonts w:ascii="Arial" w:cs="Arial" w:hAnsi="Arial"/>
        </w:rPr>
      </w:pPr>
      <w:r>
        <w:rPr>
          <w:rFonts w:ascii="Arial" w:cs="Arial" w:hAnsi="Arial"/>
        </w:rPr>
        <w:t>4. Funding Requirements &amp; Startup Costs</w:t>
      </w:r>
      <w:bookmarkEnd w:id="3"/>
    </w:p>
    <w:p>
      <w:pPr>
        <w:pStyle w:val="style0"/>
        <w:rPr>
          <w:rFonts w:ascii="Arial" w:cs="Arial" w:hAnsi="Arial"/>
        </w:rPr>
      </w:pPr>
      <w:r>
        <w:rPr>
          <w:rFonts w:ascii="Arial" w:cs="Arial" w:hAnsi="Arial"/>
        </w:rPr>
        <w:t>ReHomeX</w:t>
      </w:r>
      <w:r>
        <w:rPr>
          <w:rFonts w:ascii="Arial" w:cs="Arial" w:hAnsi="Arial"/>
        </w:rPr>
        <w:t xml:space="preserve"> will need a close financial analysis to be launched successfully and run without issues during the initial period. The business will be started at manageable level with minimal overhead costs, hence affordable to the founder to manage effectively and provide high quality services to the clients. The following section will provide the amount </w:t>
      </w:r>
      <w:r>
        <w:rPr>
          <w:rFonts w:ascii="Arial" w:cs="Arial" w:hAnsi="Arial"/>
        </w:rPr>
        <w:t xml:space="preserve">of money required to fund the business, the sources of proposed funds, and all the initial startup costs required to get </w:t>
      </w:r>
      <w:r>
        <w:rPr>
          <w:rFonts w:ascii="Arial" w:cs="Arial" w:hAnsi="Arial"/>
        </w:rPr>
        <w:t>ReHomeX</w:t>
      </w:r>
      <w:r>
        <w:rPr>
          <w:rFonts w:ascii="Arial" w:cs="Arial" w:hAnsi="Arial"/>
        </w:rPr>
        <w:t xml:space="preserve"> in the market with a stable and confident atmosphere (Ibrahim, 2022). </w:t>
      </w:r>
      <w:r>
        <w:rPr>
          <w:rFonts w:ascii="Arial" w:cs="Arial" w:hAnsi="Arial"/>
        </w:rPr>
        <w:t>ReHomeX</w:t>
      </w:r>
      <w:r>
        <w:rPr>
          <w:rFonts w:ascii="Arial" w:cs="Arial" w:hAnsi="Arial"/>
        </w:rPr>
        <w:t xml:space="preserve"> is projected to start operating with a capital of about £6,000, which will cater to all the needs of starting the business. It is sufficient to flexible to cover necessary </w:t>
      </w:r>
      <w:r>
        <w:rPr>
          <w:rFonts w:ascii="Arial" w:cs="Arial" w:hAnsi="Arial"/>
        </w:rPr>
        <w:t>organisational</w:t>
      </w:r>
      <w:r>
        <w:rPr>
          <w:rFonts w:ascii="Arial" w:cs="Arial" w:hAnsi="Arial"/>
        </w:rPr>
        <w:t xml:space="preserve"> tools, branding material, digital platform, insurance, simple equipment and transportation expenses. Moreover, part of the finances will be invested in early advertising activities to create brand recognition in the area of service. </w:t>
      </w:r>
    </w:p>
    <w:p>
      <w:pPr>
        <w:pStyle w:val="style0"/>
        <w:rPr>
          <w:rFonts w:ascii="Arial" w:cs="Arial" w:hAnsi="Arial"/>
        </w:rPr>
      </w:pPr>
      <w:r>
        <w:rPr>
          <w:rFonts w:ascii="Arial" w:cs="Arial" w:hAnsi="Arial"/>
        </w:rPr>
        <w:t xml:space="preserve">The main source of funding, along with the motivation, will be personal savings and small business grants. It is better done by personal savings since this will enable the founder to maintain complete control and avoid taking debt that has an interest at the initial stage of growth. The personal commitment is also expressed using this approach, which is favorable in grant application. The concept of </w:t>
      </w:r>
      <w:r>
        <w:rPr>
          <w:rFonts w:ascii="Arial" w:cs="Arial" w:hAnsi="Arial"/>
        </w:rPr>
        <w:t>ReHomeX</w:t>
      </w:r>
      <w:r>
        <w:rPr>
          <w:rFonts w:ascii="Arial" w:cs="Arial" w:hAnsi="Arial"/>
        </w:rPr>
        <w:t xml:space="preserve"> can be considered in line with grant schemes that are oriented towards sustainability because this approach encourages responsible reuse and minimization of waste due to the reselling model. Eco-friendly business initiatives can be provided with the help of grants provided by local councils and environmental </w:t>
      </w:r>
      <w:r>
        <w:rPr>
          <w:rFonts w:ascii="Arial" w:cs="Arial" w:hAnsi="Arial"/>
        </w:rPr>
        <w:t>organisations</w:t>
      </w:r>
      <w:r>
        <w:rPr>
          <w:rFonts w:ascii="Arial" w:cs="Arial" w:hAnsi="Arial"/>
        </w:rPr>
        <w:t>, which can support such initiatives and give extra funding without any payment possibilities.</w:t>
      </w:r>
    </w:p>
    <w:tbl>
      <w:tblPr>
        <w:tblStyle w:val="style154"/>
        <w:tblW w:w="0" w:type="auto"/>
        <w:tblLook w:val="04A0" w:firstRow="1" w:lastRow="0" w:firstColumn="1" w:lastColumn="0" w:noHBand="0" w:noVBand="1"/>
      </w:tblPr>
      <w:tblGrid>
        <w:gridCol w:w="1877"/>
        <w:gridCol w:w="7482"/>
      </w:tblGrid>
      <w:tr>
        <w:trPr/>
        <w:tc>
          <w:tcPr>
            <w:tcW w:w="0" w:type="auto"/>
            <w:tcBorders/>
            <w:hideMark/>
          </w:tcPr>
          <w:p>
            <w:pPr>
              <w:pStyle w:val="style0"/>
              <w:spacing w:after="160"/>
              <w:rPr>
                <w:rFonts w:ascii="Arial" w:cs="Arial" w:hAnsi="Arial"/>
                <w:b/>
                <w:bCs/>
              </w:rPr>
            </w:pPr>
            <w:r>
              <w:rPr>
                <w:rFonts w:ascii="Arial" w:cs="Arial" w:hAnsi="Arial"/>
                <w:b/>
                <w:bCs/>
              </w:rPr>
              <w:t>Category</w:t>
            </w:r>
          </w:p>
        </w:tc>
        <w:tc>
          <w:tcPr>
            <w:tcW w:w="0" w:type="auto"/>
            <w:tcBorders/>
            <w:hideMark/>
          </w:tcPr>
          <w:p>
            <w:pPr>
              <w:pStyle w:val="style0"/>
              <w:spacing w:after="160"/>
              <w:rPr>
                <w:rFonts w:ascii="Arial" w:cs="Arial" w:hAnsi="Arial"/>
                <w:b/>
                <w:bCs/>
              </w:rPr>
            </w:pPr>
            <w:r>
              <w:rPr>
                <w:rFonts w:ascii="Arial" w:cs="Arial" w:hAnsi="Arial"/>
                <w:b/>
                <w:bCs/>
              </w:rPr>
              <w:t>Description</w:t>
            </w:r>
          </w:p>
        </w:tc>
      </w:tr>
      <w:tr>
        <w:tblPrEx/>
        <w:trPr/>
        <w:tc>
          <w:tcPr>
            <w:tcW w:w="0" w:type="auto"/>
            <w:tcBorders/>
            <w:hideMark/>
          </w:tcPr>
          <w:p>
            <w:pPr>
              <w:pStyle w:val="style0"/>
              <w:spacing w:after="160"/>
              <w:rPr>
                <w:rFonts w:ascii="Arial" w:cs="Arial" w:hAnsi="Arial"/>
              </w:rPr>
            </w:pPr>
            <w:r>
              <w:rPr>
                <w:rFonts w:ascii="Arial" w:cs="Arial" w:hAnsi="Arial"/>
                <w:b/>
                <w:bCs/>
              </w:rPr>
              <w:t>Tools &amp; Supplies</w:t>
            </w:r>
          </w:p>
        </w:tc>
        <w:tc>
          <w:tcPr>
            <w:tcW w:w="0" w:type="auto"/>
            <w:tcBorders/>
            <w:hideMark/>
          </w:tcPr>
          <w:p>
            <w:pPr>
              <w:pStyle w:val="style0"/>
              <w:spacing w:after="160"/>
              <w:rPr>
                <w:rFonts w:ascii="Arial" w:cs="Arial" w:hAnsi="Arial"/>
              </w:rPr>
            </w:pPr>
            <w:r>
              <w:rPr>
                <w:rFonts w:ascii="Arial" w:cs="Arial" w:hAnsi="Arial"/>
              </w:rPr>
              <w:t xml:space="preserve">The funds that are necessary, such as sorting containers, storage bins, labelling equipment, cleaning products, and protective gloves, will be covered by about £1,500 required to deliver professional </w:t>
            </w:r>
            <w:r>
              <w:rPr>
                <w:rFonts w:ascii="Arial" w:cs="Arial" w:hAnsi="Arial"/>
              </w:rPr>
              <w:t>organising</w:t>
            </w:r>
            <w:r>
              <w:rPr>
                <w:rFonts w:ascii="Arial" w:cs="Arial" w:hAnsi="Arial"/>
              </w:rPr>
              <w:t xml:space="preserve"> services (</w:t>
            </w:r>
            <w:r>
              <w:rPr>
                <w:rFonts w:ascii="Arial" w:cs="Arial" w:hAnsi="Arial"/>
              </w:rPr>
              <w:t>Ukabi</w:t>
            </w:r>
            <w:r>
              <w:rPr>
                <w:rFonts w:ascii="Arial" w:cs="Arial" w:hAnsi="Arial"/>
              </w:rPr>
              <w:t xml:space="preserve"> et al., 2023</w:t>
            </w:r>
            <w:r>
              <w:rPr>
                <w:rFonts w:ascii="Arial" w:cs="Arial" w:hAnsi="Arial"/>
              </w:rPr>
              <w:t>)</w:t>
            </w:r>
            <w:r>
              <w:rPr>
                <w:rFonts w:ascii="Arial" w:cs="Arial" w:hAnsi="Arial"/>
              </w:rPr>
              <w:t>.</w:t>
            </w:r>
          </w:p>
        </w:tc>
      </w:tr>
      <w:tr>
        <w:tblPrEx/>
        <w:trPr/>
        <w:tc>
          <w:tcPr>
            <w:tcW w:w="0" w:type="auto"/>
            <w:tcBorders/>
            <w:hideMark/>
          </w:tcPr>
          <w:p>
            <w:pPr>
              <w:pStyle w:val="style0"/>
              <w:spacing w:after="160"/>
              <w:rPr>
                <w:rFonts w:ascii="Arial" w:cs="Arial" w:hAnsi="Arial"/>
              </w:rPr>
            </w:pPr>
            <w:r>
              <w:rPr>
                <w:rFonts w:ascii="Arial" w:cs="Arial" w:hAnsi="Arial"/>
                <w:b/>
                <w:bCs/>
              </w:rPr>
              <w:t>Marketing</w:t>
            </w:r>
          </w:p>
        </w:tc>
        <w:tc>
          <w:tcPr>
            <w:tcW w:w="0" w:type="auto"/>
            <w:tcBorders/>
            <w:hideMark/>
          </w:tcPr>
          <w:p>
            <w:pPr>
              <w:pStyle w:val="style0"/>
              <w:spacing w:after="160"/>
              <w:rPr>
                <w:rFonts w:ascii="Arial" w:cs="Arial" w:hAnsi="Arial"/>
              </w:rPr>
            </w:pPr>
            <w:r>
              <w:rPr>
                <w:rFonts w:ascii="Arial" w:cs="Arial" w:hAnsi="Arial"/>
              </w:rPr>
              <w:t>Approximately, the costs to support branding design, a web site development, social media advertisement, and printed promotional products like flyers will amount to about £1,200 to create initial awareness and find first customers</w:t>
            </w:r>
            <w:r>
              <w:rPr>
                <w:rFonts w:ascii="Arial" w:cs="Arial" w:hAnsi="Arial"/>
              </w:rPr>
              <w:t>.</w:t>
            </w:r>
          </w:p>
        </w:tc>
      </w:tr>
      <w:tr>
        <w:tblPrEx/>
        <w:trPr/>
        <w:tc>
          <w:tcPr>
            <w:tcW w:w="0" w:type="auto"/>
            <w:tcBorders/>
            <w:hideMark/>
          </w:tcPr>
          <w:p>
            <w:pPr>
              <w:pStyle w:val="style0"/>
              <w:spacing w:after="160"/>
              <w:rPr>
                <w:rFonts w:ascii="Arial" w:cs="Arial" w:hAnsi="Arial"/>
              </w:rPr>
            </w:pPr>
            <w:r>
              <w:rPr>
                <w:rFonts w:ascii="Arial" w:cs="Arial" w:hAnsi="Arial"/>
                <w:b/>
                <w:bCs/>
              </w:rPr>
              <w:t>Insurance</w:t>
            </w:r>
          </w:p>
        </w:tc>
        <w:tc>
          <w:tcPr>
            <w:tcW w:w="0" w:type="auto"/>
            <w:tcBorders/>
            <w:hideMark/>
          </w:tcPr>
          <w:p>
            <w:pPr>
              <w:pStyle w:val="style0"/>
              <w:spacing w:after="160"/>
              <w:rPr>
                <w:rFonts w:ascii="Arial" w:cs="Arial" w:hAnsi="Arial"/>
              </w:rPr>
            </w:pPr>
            <w:r>
              <w:rPr>
                <w:rFonts w:ascii="Arial" w:cs="Arial" w:hAnsi="Arial"/>
              </w:rPr>
              <w:t>The cost of providing public liability and professional indemnity will be between 700 pounds to cover safe operations and safeguard the business and the clients in the process of service delivery</w:t>
            </w:r>
            <w:r>
              <w:rPr>
                <w:rFonts w:ascii="Arial" w:cs="Arial" w:hAnsi="Arial"/>
              </w:rPr>
              <w:t>.</w:t>
            </w:r>
          </w:p>
        </w:tc>
      </w:tr>
      <w:tr>
        <w:tblPrEx/>
        <w:trPr/>
        <w:tc>
          <w:tcPr>
            <w:tcW w:w="0" w:type="auto"/>
            <w:tcBorders/>
            <w:hideMark/>
          </w:tcPr>
          <w:p>
            <w:pPr>
              <w:pStyle w:val="style0"/>
              <w:spacing w:after="160"/>
              <w:rPr>
                <w:rFonts w:ascii="Arial" w:cs="Arial" w:hAnsi="Arial"/>
              </w:rPr>
            </w:pPr>
            <w:r>
              <w:rPr>
                <w:rFonts w:ascii="Arial" w:cs="Arial" w:hAnsi="Arial"/>
                <w:b/>
                <w:bCs/>
              </w:rPr>
              <w:t>Transportation</w:t>
            </w:r>
          </w:p>
        </w:tc>
        <w:tc>
          <w:tcPr>
            <w:tcW w:w="0" w:type="auto"/>
            <w:tcBorders/>
            <w:hideMark/>
          </w:tcPr>
          <w:p>
            <w:pPr>
              <w:pStyle w:val="style0"/>
              <w:spacing w:after="160"/>
              <w:rPr>
                <w:rFonts w:ascii="Arial" w:cs="Arial" w:hAnsi="Arial"/>
              </w:rPr>
            </w:pPr>
            <w:r>
              <w:rPr>
                <w:rFonts w:ascii="Arial" w:cs="Arial" w:hAnsi="Arial"/>
              </w:rPr>
              <w:t>Fuel and mileage expenses on the way to the houses of the clients to deliver the chosen items to resale will amount to approximately £800</w:t>
            </w:r>
            <w:r>
              <w:rPr>
                <w:rFonts w:ascii="Arial" w:cs="Arial" w:hAnsi="Arial"/>
              </w:rPr>
              <w:t>.</w:t>
            </w:r>
          </w:p>
        </w:tc>
      </w:tr>
      <w:tr>
        <w:tblPrEx/>
        <w:trPr/>
        <w:tc>
          <w:tcPr>
            <w:tcW w:w="0" w:type="auto"/>
            <w:tcBorders/>
            <w:hideMark/>
          </w:tcPr>
          <w:p>
            <w:pPr>
              <w:pStyle w:val="style0"/>
              <w:spacing w:after="160"/>
              <w:rPr>
                <w:rFonts w:ascii="Arial" w:cs="Arial" w:hAnsi="Arial"/>
              </w:rPr>
            </w:pPr>
            <w:r>
              <w:rPr>
                <w:rFonts w:ascii="Arial" w:cs="Arial" w:hAnsi="Arial"/>
                <w:b/>
                <w:bCs/>
              </w:rPr>
              <w:t>Digital Tools</w:t>
            </w:r>
          </w:p>
        </w:tc>
        <w:tc>
          <w:tcPr>
            <w:tcW w:w="0" w:type="auto"/>
            <w:tcBorders/>
            <w:hideMark/>
          </w:tcPr>
          <w:p>
            <w:pPr>
              <w:pStyle w:val="style0"/>
              <w:spacing w:after="160"/>
              <w:rPr>
                <w:rFonts w:ascii="Arial" w:cs="Arial" w:hAnsi="Arial"/>
              </w:rPr>
            </w:pPr>
            <w:r>
              <w:rPr>
                <w:rFonts w:ascii="Arial" w:cs="Arial" w:hAnsi="Arial"/>
              </w:rPr>
              <w:t>About 900 pounds will be used to finance the use of digital systems, subscription software, and photography equipment required to manage online listing and facilitate the efficient reselling processes</w:t>
            </w:r>
            <w:r>
              <w:rPr>
                <w:rFonts w:ascii="Arial" w:cs="Arial" w:hAnsi="Arial"/>
              </w:rPr>
              <w:t>.</w:t>
            </w:r>
          </w:p>
        </w:tc>
      </w:tr>
    </w:tbl>
    <w:p>
      <w:pPr>
        <w:pStyle w:val="style0"/>
        <w:jc w:val="center"/>
        <w:rPr>
          <w:rFonts w:ascii="Arial" w:cs="Arial" w:hAnsi="Arial"/>
          <w:b/>
          <w:bCs/>
        </w:rPr>
      </w:pPr>
      <w:r>
        <w:rPr>
          <w:rFonts w:ascii="Arial" w:cs="Arial" w:hAnsi="Arial"/>
          <w:b/>
          <w:bCs/>
        </w:rPr>
        <w:t>Table 2: Startup Expenses</w:t>
      </w:r>
    </w:p>
    <w:p>
      <w:pPr>
        <w:pStyle w:val="style0"/>
        <w:jc w:val="left"/>
        <w:rPr>
          <w:rFonts w:ascii="Arial" w:cs="Arial" w:hAnsi="Arial"/>
          <w:b/>
          <w:bCs/>
        </w:rPr>
      </w:pPr>
      <w:r>
        <w:rPr>
          <w:rFonts w:ascii="Arial" w:cs="Arial" w:hAnsi="Arial"/>
          <w:b/>
          <w:bCs/>
        </w:rPr>
        <w:br w:type="page"/>
      </w:r>
    </w:p>
    <w:bookmarkStart w:id="4" w:name="_Toc214902004"/>
    <w:p>
      <w:pPr>
        <w:pStyle w:val="style1"/>
        <w:rPr>
          <w:rFonts w:ascii="Arial" w:cs="Arial" w:hAnsi="Arial"/>
        </w:rPr>
      </w:pPr>
      <w:r>
        <w:rPr>
          <w:rFonts w:ascii="Arial" w:cs="Arial" w:hAnsi="Arial"/>
        </w:rPr>
        <w:t>References</w:t>
      </w:r>
      <w:bookmarkEnd w:id="4"/>
    </w:p>
    <w:p>
      <w:pPr>
        <w:pStyle w:val="style0"/>
        <w:rPr>
          <w:rFonts w:ascii="Arial" w:cs="Arial" w:hAnsi="Arial"/>
        </w:rPr>
      </w:pPr>
      <w:r>
        <w:rPr>
          <w:rFonts w:ascii="Arial" w:cs="Arial" w:hAnsi="Arial"/>
        </w:rPr>
        <w:t xml:space="preserve">Business-to-you.com, 2025. </w:t>
      </w:r>
      <w:r>
        <w:rPr>
          <w:rFonts w:ascii="Arial" w:cs="Arial" w:hAnsi="Arial"/>
          <w:i/>
          <w:iCs/>
        </w:rPr>
        <w:t>PESTEL Analysis</w:t>
      </w:r>
      <w:r>
        <w:rPr>
          <w:rFonts w:ascii="Arial" w:cs="Arial" w:hAnsi="Arial"/>
        </w:rPr>
        <w:t xml:space="preserve">. [Online]. Available at: </w:t>
      </w:r>
      <w:r>
        <w:rPr/>
        <w:fldChar w:fldCharType="begin"/>
      </w:r>
      <w:r>
        <w:instrText xml:space="preserve"> HYPERLINK "https://i0.wp.com/www.business-to-you.com/wp-content/uploads/2016/12/PESTEL-analysis-updated.png" </w:instrText>
      </w:r>
      <w:r>
        <w:rPr/>
        <w:fldChar w:fldCharType="separate"/>
      </w:r>
      <w:r>
        <w:rPr>
          <w:rStyle w:val="style85"/>
          <w:rFonts w:ascii="Arial" w:cs="Arial" w:hAnsi="Arial"/>
        </w:rPr>
        <w:t>https://i0.wp.com/www.business-to-you.com/wp-content/uploads/2016/12/PESTEL-analysis-updated.png</w:t>
      </w:r>
      <w:r>
        <w:rPr/>
        <w:fldChar w:fldCharType="end"/>
      </w:r>
      <w:r>
        <w:rPr>
          <w:rFonts w:ascii="Arial" w:cs="Arial" w:hAnsi="Arial"/>
        </w:rPr>
        <w:t xml:space="preserve"> (Accessed on: 20.11.2025)</w:t>
      </w:r>
    </w:p>
    <w:p>
      <w:pPr>
        <w:pStyle w:val="style0"/>
        <w:rPr>
          <w:rFonts w:ascii="Arial" w:cs="Arial" w:hAnsi="Arial"/>
        </w:rPr>
      </w:pPr>
      <w:r>
        <w:rPr>
          <w:rFonts w:ascii="Arial" w:cs="Arial" w:hAnsi="Arial"/>
        </w:rPr>
        <w:t>Fernandes, C., Ferreira, J.J., Veiga, P.M., Kraus, S. and Dabić, M., 2022. Digital entrepreneurship platforms: Mapping the field and looking towards a holistic approach. </w:t>
      </w:r>
      <w:r>
        <w:rPr>
          <w:rFonts w:ascii="Arial" w:cs="Arial" w:hAnsi="Arial"/>
          <w:i/>
          <w:iCs/>
        </w:rPr>
        <w:t>Technology in Society</w:t>
      </w:r>
      <w:r>
        <w:rPr>
          <w:rFonts w:ascii="Arial" w:cs="Arial" w:hAnsi="Arial"/>
        </w:rPr>
        <w:t>, </w:t>
      </w:r>
      <w:r>
        <w:rPr>
          <w:rFonts w:ascii="Arial" w:cs="Arial" w:hAnsi="Arial"/>
          <w:i/>
          <w:iCs/>
        </w:rPr>
        <w:t>70</w:t>
      </w:r>
      <w:r>
        <w:rPr>
          <w:rFonts w:ascii="Arial" w:cs="Arial" w:hAnsi="Arial"/>
        </w:rPr>
        <w:t>, p.101979.</w:t>
      </w:r>
    </w:p>
    <w:p>
      <w:pPr>
        <w:pStyle w:val="style0"/>
        <w:rPr>
          <w:rFonts w:ascii="Arial" w:cs="Arial" w:hAnsi="Arial"/>
        </w:rPr>
      </w:pPr>
      <w:r>
        <w:rPr>
          <w:rFonts w:ascii="Arial" w:cs="Arial" w:hAnsi="Arial"/>
        </w:rPr>
        <w:t xml:space="preserve">Frese, M. and </w:t>
      </w:r>
      <w:r>
        <w:rPr>
          <w:rFonts w:ascii="Arial" w:cs="Arial" w:hAnsi="Arial"/>
        </w:rPr>
        <w:t>Gielnik</w:t>
      </w:r>
      <w:r>
        <w:rPr>
          <w:rFonts w:ascii="Arial" w:cs="Arial" w:hAnsi="Arial"/>
        </w:rPr>
        <w:t>, M.M., 2023. The psychology of entrepreneurship: Action and process. </w:t>
      </w:r>
      <w:r>
        <w:rPr>
          <w:rFonts w:ascii="Arial" w:cs="Arial" w:hAnsi="Arial"/>
          <w:i/>
          <w:iCs/>
        </w:rPr>
        <w:t>Annual Review of Organizational Psychology and Organizational Behavior</w:t>
      </w:r>
      <w:r>
        <w:rPr>
          <w:rFonts w:ascii="Arial" w:cs="Arial" w:hAnsi="Arial"/>
        </w:rPr>
        <w:t>, </w:t>
      </w:r>
      <w:r>
        <w:rPr>
          <w:rFonts w:ascii="Arial" w:cs="Arial" w:hAnsi="Arial"/>
          <w:i/>
          <w:iCs/>
        </w:rPr>
        <w:t>10</w:t>
      </w:r>
      <w:r>
        <w:rPr>
          <w:rFonts w:ascii="Arial" w:cs="Arial" w:hAnsi="Arial"/>
        </w:rPr>
        <w:t>(1), pp.137-164.</w:t>
      </w:r>
    </w:p>
    <w:p>
      <w:pPr>
        <w:pStyle w:val="style0"/>
        <w:rPr>
          <w:rFonts w:ascii="Arial" w:cs="Arial" w:hAnsi="Arial"/>
        </w:rPr>
      </w:pPr>
      <w:r>
        <w:rPr>
          <w:rFonts w:ascii="Arial" w:cs="Arial" w:hAnsi="Arial"/>
        </w:rPr>
        <w:t>Hajipour</w:t>
      </w:r>
      <w:r>
        <w:rPr>
          <w:rFonts w:ascii="Arial" w:cs="Arial" w:hAnsi="Arial"/>
        </w:rPr>
        <w:t>, V., Hekmat, S. and Amini, M., 2023. A value-oriented Artificial Intelligence-as-a-Service business plan using integrated tools and services. </w:t>
      </w:r>
      <w:r>
        <w:rPr>
          <w:rFonts w:ascii="Arial" w:cs="Arial" w:hAnsi="Arial"/>
          <w:i/>
          <w:iCs/>
        </w:rPr>
        <w:t>Decision Analytics Journal</w:t>
      </w:r>
      <w:r>
        <w:rPr>
          <w:rFonts w:ascii="Arial" w:cs="Arial" w:hAnsi="Arial"/>
        </w:rPr>
        <w:t>, </w:t>
      </w:r>
      <w:r>
        <w:rPr>
          <w:rFonts w:ascii="Arial" w:cs="Arial" w:hAnsi="Arial"/>
          <w:i/>
          <w:iCs/>
        </w:rPr>
        <w:t>8</w:t>
      </w:r>
      <w:r>
        <w:rPr>
          <w:rFonts w:ascii="Arial" w:cs="Arial" w:hAnsi="Arial"/>
        </w:rPr>
        <w:t>, p.100302.</w:t>
      </w:r>
    </w:p>
    <w:p>
      <w:pPr>
        <w:pStyle w:val="style0"/>
        <w:rPr>
          <w:rFonts w:ascii="Arial" w:cs="Arial" w:hAnsi="Arial"/>
        </w:rPr>
      </w:pPr>
      <w:r>
        <w:rPr>
          <w:rFonts w:ascii="Arial" w:cs="Arial" w:hAnsi="Arial"/>
        </w:rPr>
        <w:t>Ibrahim Abdelhalim Ibrahim, F., 2022. The role of small businesses in sustainability. </w:t>
      </w:r>
      <w:r>
        <w:rPr>
          <w:rFonts w:ascii="Arial" w:cs="Arial" w:hAnsi="Arial"/>
          <w:i/>
          <w:iCs/>
        </w:rPr>
        <w:t>International Journal of Humanities and Language Research</w:t>
      </w:r>
      <w:r>
        <w:rPr>
          <w:rFonts w:ascii="Arial" w:cs="Arial" w:hAnsi="Arial"/>
        </w:rPr>
        <w:t>, </w:t>
      </w:r>
      <w:r>
        <w:rPr>
          <w:rFonts w:ascii="Arial" w:cs="Arial" w:hAnsi="Arial"/>
          <w:i/>
          <w:iCs/>
        </w:rPr>
        <w:t>5</w:t>
      </w:r>
      <w:r>
        <w:rPr>
          <w:rFonts w:ascii="Arial" w:cs="Arial" w:hAnsi="Arial"/>
        </w:rPr>
        <w:t>(2), pp.1-12.</w:t>
      </w:r>
    </w:p>
    <w:p>
      <w:pPr>
        <w:pStyle w:val="style0"/>
        <w:rPr>
          <w:rFonts w:ascii="Arial" w:cs="Arial" w:hAnsi="Arial"/>
        </w:rPr>
      </w:pPr>
      <w:r>
        <w:rPr>
          <w:rFonts w:ascii="Arial" w:cs="Arial" w:hAnsi="Arial"/>
        </w:rPr>
        <w:t>Latifi, G., Grilli, L. and Herrmann, A.M., 2024. Does writing a business plan still matter for searching and obtaining external equity finance. </w:t>
      </w:r>
      <w:r>
        <w:rPr>
          <w:rFonts w:ascii="Arial" w:cs="Arial" w:hAnsi="Arial"/>
          <w:i/>
          <w:iCs/>
        </w:rPr>
        <w:t>Venture Capital</w:t>
      </w:r>
      <w:r>
        <w:rPr>
          <w:rFonts w:ascii="Arial" w:cs="Arial" w:hAnsi="Arial"/>
        </w:rPr>
        <w:t>, </w:t>
      </w:r>
      <w:r>
        <w:rPr>
          <w:rFonts w:ascii="Arial" w:cs="Arial" w:hAnsi="Arial"/>
          <w:i/>
          <w:iCs/>
        </w:rPr>
        <w:t>26</w:t>
      </w:r>
      <w:r>
        <w:rPr>
          <w:rFonts w:ascii="Arial" w:cs="Arial" w:hAnsi="Arial"/>
        </w:rPr>
        <w:t>(1), pp.47-73.</w:t>
      </w:r>
    </w:p>
    <w:p>
      <w:pPr>
        <w:pStyle w:val="style0"/>
        <w:rPr>
          <w:rFonts w:ascii="Arial" w:cs="Arial" w:hAnsi="Arial"/>
        </w:rPr>
      </w:pPr>
      <w:r>
        <w:rPr>
          <w:rFonts w:ascii="Arial" w:cs="Arial" w:hAnsi="Arial"/>
        </w:rPr>
        <w:t>Ratten</w:t>
      </w:r>
      <w:r>
        <w:rPr>
          <w:rFonts w:ascii="Arial" w:cs="Arial" w:hAnsi="Arial"/>
        </w:rPr>
        <w:t>, V., 2023. Entrepreneurship: Definitions, opportunities, challenges, and future directions. </w:t>
      </w:r>
      <w:r>
        <w:rPr>
          <w:rFonts w:ascii="Arial" w:cs="Arial" w:hAnsi="Arial"/>
          <w:i/>
          <w:iCs/>
        </w:rPr>
        <w:t>Global Business and Organizational Excellence</w:t>
      </w:r>
      <w:r>
        <w:rPr>
          <w:rFonts w:ascii="Arial" w:cs="Arial" w:hAnsi="Arial"/>
        </w:rPr>
        <w:t>, </w:t>
      </w:r>
      <w:r>
        <w:rPr>
          <w:rFonts w:ascii="Arial" w:cs="Arial" w:hAnsi="Arial"/>
          <w:i/>
          <w:iCs/>
        </w:rPr>
        <w:t>42</w:t>
      </w:r>
      <w:r>
        <w:rPr>
          <w:rFonts w:ascii="Arial" w:cs="Arial" w:hAnsi="Arial"/>
        </w:rPr>
        <w:t>(5), pp.79-90.</w:t>
      </w:r>
    </w:p>
    <w:p>
      <w:pPr>
        <w:pStyle w:val="style0"/>
        <w:rPr>
          <w:rFonts w:ascii="Arial" w:cs="Arial" w:hAnsi="Arial"/>
        </w:rPr>
      </w:pPr>
      <w:r>
        <w:rPr>
          <w:rFonts w:ascii="Arial" w:cs="Arial" w:hAnsi="Arial"/>
        </w:rPr>
        <w:t>Ukabi</w:t>
      </w:r>
      <w:r>
        <w:rPr>
          <w:rFonts w:ascii="Arial" w:cs="Arial" w:hAnsi="Arial"/>
        </w:rPr>
        <w:t xml:space="preserve">, O.B., Uba, U.J., </w:t>
      </w:r>
      <w:r>
        <w:rPr>
          <w:rFonts w:ascii="Arial" w:cs="Arial" w:hAnsi="Arial"/>
        </w:rPr>
        <w:t>Ewum</w:t>
      </w:r>
      <w:r>
        <w:rPr>
          <w:rFonts w:ascii="Arial" w:cs="Arial" w:hAnsi="Arial"/>
        </w:rPr>
        <w:t xml:space="preserve">, C.O. and </w:t>
      </w:r>
      <w:r>
        <w:rPr>
          <w:rFonts w:ascii="Arial" w:cs="Arial" w:hAnsi="Arial"/>
        </w:rPr>
        <w:t>Olubiyi</w:t>
      </w:r>
      <w:r>
        <w:rPr>
          <w:rFonts w:ascii="Arial" w:cs="Arial" w:hAnsi="Arial"/>
        </w:rPr>
        <w:t>, T.O., 2023. Measuring entrepreneurial skills and sustainability in small business enterprises post-pandemic: Empirical study from Cross River State, Nigeria. </w:t>
      </w:r>
      <w:r>
        <w:rPr>
          <w:rFonts w:ascii="Arial" w:cs="Arial" w:hAnsi="Arial"/>
          <w:i/>
          <w:iCs/>
        </w:rPr>
        <w:t>International Journal of Business, Management and Economics</w:t>
      </w:r>
      <w:r>
        <w:rPr>
          <w:rFonts w:ascii="Arial" w:cs="Arial" w:hAnsi="Arial"/>
        </w:rPr>
        <w:t>, </w:t>
      </w:r>
      <w:r>
        <w:rPr>
          <w:rFonts w:ascii="Arial" w:cs="Arial" w:hAnsi="Arial"/>
          <w:i/>
          <w:iCs/>
        </w:rPr>
        <w:t>4</w:t>
      </w:r>
      <w:r>
        <w:rPr>
          <w:rFonts w:ascii="Arial" w:cs="Arial" w:hAnsi="Arial"/>
        </w:rPr>
        <w:t>(2), pp.132-149.</w:t>
      </w:r>
    </w:p>
    <w:sectPr>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78F00CDE"/>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1">
    <w:nsid w:val="00000001"/>
    <w:multiLevelType w:val="multilevel"/>
    <w:tmpl w:val="728A77F0"/>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2">
    <w:nsid w:val="00000002"/>
    <w:multiLevelType w:val="multilevel"/>
    <w:tmpl w:val="8C9E01DC"/>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abstractNum w:abstractNumId="3">
    <w:nsid w:val="00000003"/>
    <w:multiLevelType w:val="multilevel"/>
    <w:tmpl w:val="F1144746"/>
    <w:lvl w:ilvl="0">
      <w:start w:val="1"/>
      <w:numFmt w:val="bullet"/>
      <w:lvlText w:val=""/>
      <w:lvlJc w:val="left"/>
      <w:pPr>
        <w:tabs>
          <w:tab w:val="left" w:leader="none" w:pos="720"/>
        </w:tabs>
        <w:ind w:left="720" w:hanging="360"/>
      </w:pPr>
      <w:rPr>
        <w:rFonts w:ascii="Symbol" w:hAnsi="Symbol" w:hint="default"/>
        <w:sz w:val="20"/>
      </w:rPr>
    </w:lvl>
    <w:lvl w:ilvl="1" w:tentative="1">
      <w:start w:val="1"/>
      <w:numFmt w:val="bullet"/>
      <w:lvlText w:val="o"/>
      <w:lvlJc w:val="left"/>
      <w:pPr>
        <w:tabs>
          <w:tab w:val="left" w:leader="none" w:pos="1440"/>
        </w:tabs>
        <w:ind w:left="1440" w:hanging="360"/>
      </w:pPr>
      <w:rPr>
        <w:rFonts w:ascii="Courier New" w:hAnsi="Courier New" w:hint="default"/>
        <w:sz w:val="20"/>
      </w:rPr>
    </w:lvl>
    <w:lvl w:ilvl="2" w:tentative="1">
      <w:start w:val="1"/>
      <w:numFmt w:val="bullet"/>
      <w:lvlText w:val=""/>
      <w:lvlJc w:val="left"/>
      <w:pPr>
        <w:tabs>
          <w:tab w:val="left" w:leader="none" w:pos="2160"/>
        </w:tabs>
        <w:ind w:left="2160" w:hanging="360"/>
      </w:pPr>
      <w:rPr>
        <w:rFonts w:ascii="Wingdings" w:hAnsi="Wingdings" w:hint="default"/>
        <w:sz w:val="20"/>
      </w:rPr>
    </w:lvl>
    <w:lvl w:ilvl="3" w:tentative="1">
      <w:start w:val="1"/>
      <w:numFmt w:val="bullet"/>
      <w:lvlText w:val=""/>
      <w:lvlJc w:val="left"/>
      <w:pPr>
        <w:tabs>
          <w:tab w:val="left" w:leader="none" w:pos="2880"/>
        </w:tabs>
        <w:ind w:left="2880" w:hanging="360"/>
      </w:pPr>
      <w:rPr>
        <w:rFonts w:ascii="Wingdings" w:hAnsi="Wingdings" w:hint="default"/>
        <w:sz w:val="20"/>
      </w:rPr>
    </w:lvl>
    <w:lvl w:ilvl="4" w:tentative="1">
      <w:start w:val="1"/>
      <w:numFmt w:val="bullet"/>
      <w:lvlText w:val=""/>
      <w:lvlJc w:val="left"/>
      <w:pPr>
        <w:tabs>
          <w:tab w:val="left" w:leader="none" w:pos="3600"/>
        </w:tabs>
        <w:ind w:left="3600" w:hanging="360"/>
      </w:pPr>
      <w:rPr>
        <w:rFonts w:ascii="Wingdings" w:hAnsi="Wingdings" w:hint="default"/>
        <w:sz w:val="20"/>
      </w:rPr>
    </w:lvl>
    <w:lvl w:ilvl="5" w:tentative="1">
      <w:start w:val="1"/>
      <w:numFmt w:val="bullet"/>
      <w:lvlText w:val=""/>
      <w:lvlJc w:val="left"/>
      <w:pPr>
        <w:tabs>
          <w:tab w:val="left" w:leader="none" w:pos="4320"/>
        </w:tabs>
        <w:ind w:left="4320" w:hanging="360"/>
      </w:pPr>
      <w:rPr>
        <w:rFonts w:ascii="Wingdings" w:hAnsi="Wingdings" w:hint="default"/>
        <w:sz w:val="20"/>
      </w:rPr>
    </w:lvl>
    <w:lvl w:ilvl="6" w:tentative="1">
      <w:start w:val="1"/>
      <w:numFmt w:val="bullet"/>
      <w:lvlText w:val=""/>
      <w:lvlJc w:val="left"/>
      <w:pPr>
        <w:tabs>
          <w:tab w:val="left" w:leader="none" w:pos="5040"/>
        </w:tabs>
        <w:ind w:left="5040" w:hanging="360"/>
      </w:pPr>
      <w:rPr>
        <w:rFonts w:ascii="Wingdings" w:hAnsi="Wingdings" w:hint="default"/>
        <w:sz w:val="20"/>
      </w:rPr>
    </w:lvl>
    <w:lvl w:ilvl="7" w:tentative="1">
      <w:start w:val="1"/>
      <w:numFmt w:val="bullet"/>
      <w:lvlText w:val=""/>
      <w:lvlJc w:val="left"/>
      <w:pPr>
        <w:tabs>
          <w:tab w:val="left" w:leader="none" w:pos="5760"/>
        </w:tabs>
        <w:ind w:left="5760" w:hanging="360"/>
      </w:pPr>
      <w:rPr>
        <w:rFonts w:ascii="Wingdings" w:hAnsi="Wingdings" w:hint="default"/>
        <w:sz w:val="20"/>
      </w:rPr>
    </w:lvl>
    <w:lvl w:ilvl="8" w:tentative="1">
      <w:start w:val="1"/>
      <w:numFmt w:val="bullet"/>
      <w:lvlText w:val=""/>
      <w:lvlJc w:val="left"/>
      <w:pPr>
        <w:tabs>
          <w:tab w:val="left" w:leader="none" w:pos="6480"/>
        </w:tabs>
        <w:ind w:left="6480" w:hanging="360"/>
      </w:pPr>
      <w:rPr>
        <w:rFonts w:ascii="Wingdings" w:hAnsi="Wingdings" w:hint="default"/>
        <w:sz w:val="20"/>
      </w:rPr>
    </w:lvl>
  </w:abstractNum>
  <w:num w:numId="1">
    <w:abstractNumId w:val="1"/>
  </w:num>
  <w:num w:numId="2">
    <w:abstractNumId w:val="3"/>
  </w:num>
  <w:num w:numId="3">
    <w:abstractNumId w:val="2"/>
  </w:num>
  <w:num w:numId="4">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4"/>
        <w:szCs w:val="24"/>
        <w:lang w:val="en-US"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pacing w:lineRule="auto" w:line="360"/>
      <w:jc w:val="both"/>
    </w:pPr>
    <w:rPr>
      <w:rFonts w:ascii="Times New Roman" w:hAnsi="Times New Roman"/>
    </w:rPr>
  </w:style>
  <w:style w:type="paragraph" w:styleId="style1">
    <w:name w:val="heading 1"/>
    <w:basedOn w:val="style0"/>
    <w:next w:val="style0"/>
    <w:link w:val="style4097"/>
    <w:qFormat/>
    <w:uiPriority w:val="9"/>
    <w:pPr>
      <w:outlineLvl w:val="0"/>
    </w:pPr>
    <w:rPr>
      <w:b/>
      <w:sz w:val="28"/>
    </w:rPr>
  </w:style>
  <w:style w:type="paragraph" w:styleId="style2">
    <w:name w:val="heading 2"/>
    <w:basedOn w:val="style1"/>
    <w:next w:val="style0"/>
    <w:link w:val="style4098"/>
    <w:qFormat/>
    <w:uiPriority w:val="9"/>
    <w:pPr>
      <w:outlineLvl w:val="1"/>
    </w:pPr>
    <w:rPr>
      <w:sz w:val="26"/>
    </w:rPr>
  </w:style>
  <w:style w:type="paragraph" w:styleId="style3">
    <w:name w:val="heading 3"/>
    <w:basedOn w:val="style2"/>
    <w:next w:val="style0"/>
    <w:link w:val="style4099"/>
    <w:qFormat/>
    <w:uiPriority w:val="9"/>
    <w:pPr>
      <w:spacing w:after="0"/>
      <w:outlineLvl w:val="2"/>
    </w:pPr>
    <w:rPr>
      <w:rFonts w:eastAsia="宋体"/>
      <w:kern w:val="24"/>
      <w:sz w:val="24"/>
      <w:lang w:eastAsia="ja-JP"/>
      <w14:ligatures xmlns:w14="http://schemas.microsoft.com/office/word/2010/wordml" w14:val="none"/>
    </w:rPr>
  </w:style>
  <w:style w:type="paragraph" w:styleId="style4">
    <w:name w:val="heading 4"/>
    <w:basedOn w:val="style0"/>
    <w:next w:val="style0"/>
    <w:link w:val="style4100"/>
    <w:qFormat/>
    <w:uiPriority w:val="9"/>
    <w:pPr>
      <w:keepNext/>
      <w:keepLines/>
      <w:spacing w:before="80" w:after="40"/>
      <w:outlineLvl w:val="3"/>
    </w:pPr>
    <w:rPr>
      <w:rFonts w:ascii="Calibri" w:cs="宋体" w:eastAsia="宋体" w:hAnsi="Calibri"/>
      <w:i/>
      <w:iCs/>
      <w:color w:val="2f5496"/>
    </w:rPr>
  </w:style>
  <w:style w:type="paragraph" w:styleId="style5">
    <w:name w:val="heading 5"/>
    <w:basedOn w:val="style0"/>
    <w:next w:val="style0"/>
    <w:link w:val="style4101"/>
    <w:qFormat/>
    <w:uiPriority w:val="9"/>
    <w:pPr>
      <w:keepNext/>
      <w:keepLines/>
      <w:spacing w:before="80" w:after="40"/>
      <w:outlineLvl w:val="4"/>
    </w:pPr>
    <w:rPr>
      <w:rFonts w:ascii="Calibri" w:cs="宋体" w:eastAsia="宋体" w:hAnsi="Calibri"/>
      <w:color w:val="2f5496"/>
    </w:rPr>
  </w:style>
  <w:style w:type="paragraph" w:styleId="style6">
    <w:name w:val="heading 6"/>
    <w:basedOn w:val="style0"/>
    <w:next w:val="style0"/>
    <w:link w:val="style4102"/>
    <w:qFormat/>
    <w:uiPriority w:val="9"/>
    <w:pPr>
      <w:keepNext/>
      <w:keepLines/>
      <w:spacing w:before="40" w:after="0"/>
      <w:outlineLvl w:val="5"/>
    </w:pPr>
    <w:rPr>
      <w:rFonts w:ascii="Calibri" w:cs="宋体" w:eastAsia="宋体" w:hAnsi="Calibri"/>
      <w:i/>
      <w:iCs/>
      <w:color w:val="595959"/>
    </w:rPr>
  </w:style>
  <w:style w:type="paragraph" w:styleId="style7">
    <w:name w:val="heading 7"/>
    <w:basedOn w:val="style0"/>
    <w:next w:val="style0"/>
    <w:link w:val="style4103"/>
    <w:qFormat/>
    <w:uiPriority w:val="9"/>
    <w:pPr>
      <w:keepNext/>
      <w:keepLines/>
      <w:spacing w:before="40" w:after="0"/>
      <w:outlineLvl w:val="6"/>
    </w:pPr>
    <w:rPr>
      <w:rFonts w:ascii="Calibri" w:cs="宋体" w:eastAsia="宋体" w:hAnsi="Calibri"/>
      <w:color w:val="595959"/>
    </w:rPr>
  </w:style>
  <w:style w:type="paragraph" w:styleId="style8">
    <w:name w:val="heading 8"/>
    <w:basedOn w:val="style0"/>
    <w:next w:val="style0"/>
    <w:link w:val="style4104"/>
    <w:qFormat/>
    <w:uiPriority w:val="9"/>
    <w:pPr>
      <w:keepNext/>
      <w:keepLines/>
      <w:spacing w:after="0"/>
      <w:outlineLvl w:val="7"/>
    </w:pPr>
    <w:rPr>
      <w:rFonts w:ascii="Calibri" w:cs="宋体" w:eastAsia="宋体" w:hAnsi="Calibri"/>
      <w:i/>
      <w:iCs/>
      <w:color w:val="272727"/>
    </w:rPr>
  </w:style>
  <w:style w:type="paragraph" w:styleId="style9">
    <w:name w:val="heading 9"/>
    <w:basedOn w:val="style0"/>
    <w:next w:val="style0"/>
    <w:link w:val="style4105"/>
    <w:qFormat/>
    <w:uiPriority w:val="9"/>
    <w:pPr>
      <w:keepNext/>
      <w:keepLines/>
      <w:spacing w:after="0"/>
      <w:outlineLvl w:val="8"/>
    </w:pPr>
    <w:rPr>
      <w:rFonts w:ascii="Calibri" w:cs="宋体" w:eastAsia="宋体" w:hAnsi="Calibri"/>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e251a039-d88a-4ef3-a770-4534df934398"/>
    <w:basedOn w:val="style65"/>
    <w:next w:val="style4097"/>
    <w:link w:val="style1"/>
    <w:uiPriority w:val="9"/>
    <w:rPr>
      <w:rFonts w:ascii="Times New Roman" w:hAnsi="Times New Roman"/>
      <w:b/>
      <w:sz w:val="28"/>
    </w:rPr>
  </w:style>
  <w:style w:type="character" w:customStyle="1" w:styleId="style4098">
    <w:name w:val="Heading 2 Char_b3cfc0b8-8fb5-4278-a959-88c1ff889b91"/>
    <w:basedOn w:val="style65"/>
    <w:next w:val="style4098"/>
    <w:link w:val="style2"/>
    <w:uiPriority w:val="9"/>
    <w:rPr>
      <w:rFonts w:ascii="Times New Roman" w:hAnsi="Times New Roman"/>
      <w:b/>
      <w:sz w:val="26"/>
    </w:rPr>
  </w:style>
  <w:style w:type="character" w:customStyle="1" w:styleId="style4099">
    <w:name w:val="Heading 3 Char_908f6bc4-739c-46b0-8e0e-91765f2df343"/>
    <w:basedOn w:val="style65"/>
    <w:next w:val="style4099"/>
    <w:link w:val="style3"/>
    <w:uiPriority w:val="9"/>
    <w:rPr>
      <w:rFonts w:ascii="Times New Roman" w:eastAsia="宋体" w:hAnsi="Times New Roman"/>
      <w:b/>
      <w:kern w:val="24"/>
      <w:lang w:eastAsia="ja-JP"/>
      <w14:ligatures xmlns:w14="http://schemas.microsoft.com/office/word/2010/wordml" w14:val="none"/>
    </w:rPr>
  </w:style>
  <w:style w:type="character" w:customStyle="1" w:styleId="style4100">
    <w:name w:val="Heading 4 Char_13306230-0db5-4437-b5fa-6c428a8997d6"/>
    <w:basedOn w:val="style65"/>
    <w:next w:val="style4100"/>
    <w:link w:val="style4"/>
    <w:uiPriority w:val="9"/>
    <w:rPr>
      <w:rFonts w:cs="宋体" w:eastAsia="宋体"/>
      <w:i/>
      <w:iCs/>
      <w:color w:val="2f5496"/>
    </w:rPr>
  </w:style>
  <w:style w:type="character" w:customStyle="1" w:styleId="style4101">
    <w:name w:val="Heading 5 Char_742070f3-f9a4-460b-9d4d-07fdf3dbda5c"/>
    <w:basedOn w:val="style65"/>
    <w:next w:val="style4101"/>
    <w:link w:val="style5"/>
    <w:uiPriority w:val="9"/>
    <w:rPr>
      <w:rFonts w:cs="宋体" w:eastAsia="宋体"/>
      <w:color w:val="2f5496"/>
    </w:rPr>
  </w:style>
  <w:style w:type="character" w:customStyle="1" w:styleId="style4102">
    <w:name w:val="Heading 6 Char_cfb8e78d-e936-4a92-8ec2-38f40f50aec9"/>
    <w:basedOn w:val="style65"/>
    <w:next w:val="style4102"/>
    <w:link w:val="style6"/>
    <w:uiPriority w:val="9"/>
    <w:rPr>
      <w:rFonts w:cs="宋体" w:eastAsia="宋体"/>
      <w:i/>
      <w:iCs/>
      <w:color w:val="595959"/>
    </w:rPr>
  </w:style>
  <w:style w:type="character" w:customStyle="1" w:styleId="style4103">
    <w:name w:val="Heading 7 Char_5a5fe0ce-be2f-4c25-a15a-81ce80d6ae57"/>
    <w:basedOn w:val="style65"/>
    <w:next w:val="style4103"/>
    <w:link w:val="style7"/>
    <w:uiPriority w:val="9"/>
    <w:rPr>
      <w:rFonts w:cs="宋体" w:eastAsia="宋体"/>
      <w:color w:val="595959"/>
    </w:rPr>
  </w:style>
  <w:style w:type="character" w:customStyle="1" w:styleId="style4104">
    <w:name w:val="Heading 8 Char_fb6a6649-cf4e-4556-ad35-9aa32d486cb5"/>
    <w:basedOn w:val="style65"/>
    <w:next w:val="style4104"/>
    <w:link w:val="style8"/>
    <w:uiPriority w:val="9"/>
    <w:rPr>
      <w:rFonts w:cs="宋体" w:eastAsia="宋体"/>
      <w:i/>
      <w:iCs/>
      <w:color w:val="272727"/>
    </w:rPr>
  </w:style>
  <w:style w:type="character" w:customStyle="1" w:styleId="style4105">
    <w:name w:val="Heading 9 Char_4fa0fbf8-f4ad-4195-bacf-199177d7cbd3"/>
    <w:basedOn w:val="style65"/>
    <w:next w:val="style4105"/>
    <w:link w:val="style9"/>
    <w:uiPriority w:val="9"/>
    <w:rPr>
      <w:rFonts w:cs="宋体" w:eastAsia="宋体"/>
      <w:color w:val="272727"/>
    </w:rPr>
  </w:style>
  <w:style w:type="paragraph" w:styleId="style62">
    <w:name w:val="Title"/>
    <w:basedOn w:val="style0"/>
    <w:next w:val="style0"/>
    <w:link w:val="style4106"/>
    <w:qFormat/>
    <w:uiPriority w:val="10"/>
    <w:pPr>
      <w:spacing w:after="80" w:lineRule="auto" w:line="240"/>
      <w:contextualSpacing/>
    </w:pPr>
    <w:rPr>
      <w:rFonts w:ascii="Calibri Light" w:cs="宋体" w:eastAsia="宋体" w:hAnsi="Calibri Light"/>
      <w:spacing w:val="-10"/>
      <w:kern w:val="28"/>
      <w:sz w:val="56"/>
      <w:szCs w:val="56"/>
    </w:rPr>
  </w:style>
  <w:style w:type="character" w:customStyle="1" w:styleId="style4106">
    <w:name w:val="Title Char_dd703817-3f38-49be-9043-a9c39e0548bd"/>
    <w:basedOn w:val="style65"/>
    <w:next w:val="style4106"/>
    <w:link w:val="style62"/>
    <w:uiPriority w:val="10"/>
    <w:rPr>
      <w:rFonts w:ascii="Calibri Light" w:cs="宋体" w:eastAsia="宋体" w:hAnsi="Calibri Light"/>
      <w:spacing w:val="-10"/>
      <w:kern w:val="28"/>
      <w:sz w:val="56"/>
      <w:szCs w:val="56"/>
    </w:rPr>
  </w:style>
  <w:style w:type="paragraph" w:styleId="style74">
    <w:name w:val="Subtitle"/>
    <w:basedOn w:val="style0"/>
    <w:next w:val="style0"/>
    <w:link w:val="style4107"/>
    <w:qFormat/>
    <w:uiPriority w:val="11"/>
    <w:pPr>
      <w:numPr>
        <w:ilvl w:val="1"/>
        <w:numId w:val="0"/>
      </w:numPr>
    </w:pPr>
    <w:rPr>
      <w:rFonts w:ascii="Calibri" w:cs="宋体" w:eastAsia="宋体" w:hAnsi="Calibri"/>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125d1677-359c-478c-8b5f-7d86e5767c00"/>
    <w:basedOn w:val="style65"/>
    <w:next w:val="style4108"/>
    <w:link w:val="style180"/>
    <w:uiPriority w:val="29"/>
    <w:rPr>
      <w:rFonts w:ascii="Times New Roman" w:hAnsi="Times New Roman"/>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3dacc364-56a1-42ae-b547-a9241f5b5e33"/>
    <w:basedOn w:val="style65"/>
    <w:next w:val="style4109"/>
    <w:link w:val="style181"/>
    <w:uiPriority w:val="30"/>
    <w:rPr>
      <w:rFonts w:ascii="Times New Roman" w:hAnsi="Times New Roman"/>
      <w:i/>
      <w:iCs/>
      <w:color w:val="2f5496"/>
    </w:rPr>
  </w:style>
  <w:style w:type="character" w:styleId="style263">
    <w:name w:val="Intense Reference"/>
    <w:basedOn w:val="style65"/>
    <w:next w:val="style263"/>
    <w:qFormat/>
    <w:uiPriority w:val="32"/>
    <w:rPr>
      <w:b/>
      <w:bCs/>
      <w:smallCaps/>
      <w:color w:val="2f5496"/>
      <w:spacing w:val="5"/>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266">
    <w:name w:val="TOC Heading"/>
    <w:basedOn w:val="style1"/>
    <w:next w:val="style0"/>
    <w:qFormat/>
    <w:uiPriority w:val="39"/>
    <w:pPr>
      <w:keepNext/>
      <w:keepLines/>
      <w:spacing w:before="240" w:after="0" w:lineRule="auto" w:line="259"/>
      <w:jc w:val="left"/>
      <w:outlineLvl w:val="9"/>
    </w:pPr>
    <w:rPr>
      <w:rFonts w:ascii="Calibri Light" w:cs="宋体" w:eastAsia="宋体" w:hAnsi="Calibri Light"/>
      <w:b w:val="false"/>
      <w:color w:val="2f5496"/>
      <w:kern w:val="0"/>
      <w:sz w:val="32"/>
      <w:szCs w:val="32"/>
      <w14:ligatures xmlns:w14="http://schemas.microsoft.com/office/word/2010/wordml" w14:val="none"/>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 w:type="character" w:customStyle="1" w:styleId="style4110">
    <w:name w:val="Unresolved Mention"/>
    <w:basedOn w:val="style65"/>
    <w:next w:val="style4110"/>
    <w:uiPriority w:val="99"/>
    <w:rPr>
      <w:color w:val="605e5c"/>
      <w:shd w:val="clear" w:color="auto" w:fill="e1dfdd"/>
    </w:rPr>
  </w:style>
  <w:style w:type="paragraph" w:customStyle="1" w:styleId="style4111">
    <w:name w:val="Table Paragraph"/>
    <w:basedOn w:val="style0"/>
    <w:next w:val="style4111"/>
    <w:qFormat/>
    <w:uiPriority w:val="1"/>
    <w:pPr>
      <w:widowControl w:val="false"/>
      <w:autoSpaceDE w:val="false"/>
      <w:autoSpaceDN w:val="false"/>
      <w:spacing w:after="0" w:lineRule="auto" w:line="240"/>
      <w:jc w:val="left"/>
    </w:pPr>
    <w:rPr>
      <w:rFonts w:ascii="Arial MT" w:cs="Arial MT" w:eastAsia="Arial MT" w:hAnsi="Arial MT"/>
      <w:kern w:val="0"/>
      <w:sz w:val="22"/>
      <w:szCs w:val="22"/>
      <w14:ligatures xmlns:w14="http://schemas.microsoft.com/office/word/2010/wordml" w14:val="none"/>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903FFF-948D-4150-9E4B-62CC896D7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Words>1983</Words>
  <Pages>11</Pages>
  <Characters>11650</Characters>
  <Application>WPS Office</Application>
  <DocSecurity>0</DocSecurity>
  <Paragraphs>87</Paragraphs>
  <ScaleCrop>false</ScaleCrop>
  <LinksUpToDate>false</LinksUpToDate>
  <CharactersWithSpaces>13579</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2025-11-24T09:31:00Z</dcterms:created>
  <dc:creator>User</dc:creator>
  <lastModifiedBy>RMX3660</lastModifiedBy>
  <dcterms:modified xsi:type="dcterms:W3CDTF">2025-11-24T16:46:09Z</dcterms:modified>
  <revision>22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60e32b472bd040e1a4523591f81eb8d8</vt:lpwstr>
  </property>
</Properties>
</file>