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r>
        <w:rPr>
          <w:sz w:val="28"/>
          <w:szCs w:val="28"/>
          <w:rtl w:val="0"/>
          <w:lang w:val="en-US"/>
        </w:rPr>
        <w:t>Question 1</w:t>
      </w:r>
    </w:p>
    <w:p>
      <w:pPr>
        <w:pStyle w:val="Body"/>
        <w:rPr>
          <w:sz w:val="28"/>
          <w:szCs w:val="28"/>
        </w:rPr>
      </w:pPr>
      <w:r>
        <w:rPr>
          <w:sz w:val="28"/>
          <w:szCs w:val="28"/>
          <w:rtl w:val="0"/>
          <w:lang w:val="en-US"/>
        </w:rPr>
        <w:t xml:space="preserve">From the message, medium, context research strand lectures choose a theme movement, or selection of artists or designers that relate to your practice or interests, and construct a 2,500 word essay. Critically assess primary themes, key writers, and relevant practitioners. </w:t>
      </w:r>
    </w:p>
    <w:p>
      <w:pPr>
        <w:pStyle w:val="Body"/>
        <w:rPr>
          <w:sz w:val="28"/>
          <w:szCs w:val="28"/>
        </w:rPr>
      </w:pPr>
    </w:p>
    <w:p>
      <w:pPr>
        <w:pStyle w:val="Body"/>
        <w:rPr>
          <w:sz w:val="28"/>
          <w:szCs w:val="28"/>
        </w:rPr>
      </w:pPr>
    </w:p>
    <w:p>
      <w:pPr>
        <w:pStyle w:val="Body"/>
        <w:rPr>
          <w:sz w:val="28"/>
          <w:szCs w:val="28"/>
        </w:rPr>
      </w:pPr>
      <w:r>
        <w:rPr>
          <w:sz w:val="28"/>
          <w:szCs w:val="28"/>
          <w:rtl w:val="0"/>
          <w:lang w:val="en-US"/>
        </w:rPr>
        <w:t>Megan Roles</w:t>
      </w:r>
    </w:p>
    <w:p>
      <w:pPr>
        <w:pStyle w:val="Body"/>
        <w:rPr>
          <w:sz w:val="28"/>
          <w:szCs w:val="28"/>
        </w:rPr>
      </w:pPr>
      <w:r>
        <w:rPr>
          <w:sz w:val="28"/>
          <w:szCs w:val="28"/>
          <w:rtl w:val="0"/>
          <w:lang w:val="en-US"/>
        </w:rPr>
        <w:t xml:space="preserve">1701337 </w:t>
      </w:r>
    </w:p>
    <w:p>
      <w:pPr>
        <w:pStyle w:val="Body"/>
        <w:rPr>
          <w:sz w:val="28"/>
          <w:szCs w:val="28"/>
        </w:rPr>
      </w:pPr>
      <w:r>
        <w:rPr>
          <w:sz w:val="28"/>
          <w:szCs w:val="28"/>
          <w:rtl w:val="0"/>
          <w:lang w:val="en-US"/>
        </w:rPr>
        <w:t xml:space="preserve">Illustration </w:t>
      </w:r>
    </w:p>
    <w:p>
      <w:pPr>
        <w:pStyle w:val="Body"/>
        <w:rPr>
          <w:sz w:val="28"/>
          <w:szCs w:val="28"/>
        </w:rPr>
      </w:pPr>
      <w:r>
        <w:rPr>
          <w:sz w:val="28"/>
          <w:szCs w:val="28"/>
          <w:rtl w:val="0"/>
          <w:lang w:val="en-US"/>
        </w:rPr>
        <w:t>Word count: 2,269</w:t>
      </w:r>
    </w:p>
    <w:p>
      <w:pPr>
        <w:pStyle w:val="Body"/>
        <w:rPr>
          <w:sz w:val="28"/>
          <w:szCs w:val="28"/>
        </w:rPr>
      </w:pPr>
      <w:r>
        <w:rPr>
          <w:sz w:val="28"/>
          <w:szCs w:val="28"/>
          <w:rtl w:val="0"/>
          <w:lang w:val="en-US"/>
        </w:rPr>
        <w:t xml:space="preserve">Word count with bibliography: 2,372  </w:t>
      </w:r>
    </w:p>
    <w:p>
      <w:pPr>
        <w:pStyle w:val="Body"/>
        <w:rPr>
          <w:sz w:val="28"/>
          <w:szCs w:val="28"/>
        </w:rPr>
      </w:pPr>
      <w:r>
        <w:rPr>
          <w:sz w:val="28"/>
          <w:szCs w:val="28"/>
          <w:rtl w:val="0"/>
          <w:lang w:val="en-US"/>
        </w:rPr>
        <w:t xml:space="preserve">Louise Burston </w:t>
      </w: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r>
        <w:rPr>
          <w:sz w:val="28"/>
          <w:szCs w:val="28"/>
          <w:rtl w:val="0"/>
          <w:lang w:val="en-US"/>
        </w:rPr>
        <w:t>In relation to my own practice of illustration the Pre-Raphaelites seem to be a good comparison as they strived to create something that didn</w:t>
      </w:r>
      <w:r>
        <w:rPr>
          <w:sz w:val="28"/>
          <w:szCs w:val="28"/>
          <w:rtl w:val="0"/>
          <w:lang w:val="en-US"/>
        </w:rPr>
        <w:t>’</w:t>
      </w:r>
      <w:r>
        <w:rPr>
          <w:sz w:val="28"/>
          <w:szCs w:val="28"/>
          <w:rtl w:val="0"/>
          <w:lang w:val="en-US"/>
        </w:rPr>
        <w:t>t conform to the standard that was deemed appropriate. And I myself attempt to create something different that would ultimately not show people the same thing they see everyday, give them something interesting that would be appreciated.</w:t>
      </w:r>
    </w:p>
    <w:p>
      <w:pPr>
        <w:pStyle w:val="Body"/>
        <w:rPr>
          <w:sz w:val="28"/>
          <w:szCs w:val="28"/>
        </w:rPr>
      </w:pPr>
    </w:p>
    <w:p>
      <w:pPr>
        <w:pStyle w:val="Body"/>
        <w:rPr>
          <w:sz w:val="28"/>
          <w:szCs w:val="28"/>
        </w:rPr>
      </w:pPr>
      <w:r>
        <w:rPr>
          <w:sz w:val="28"/>
          <w:szCs w:val="28"/>
          <w:rtl w:val="0"/>
          <w:lang w:val="en-US"/>
        </w:rPr>
        <w:t xml:space="preserve">The Pre-Raphaelites are a movement from the 1800s that mainly consisted of young male British painters that joined together </w:t>
      </w:r>
      <w:r>
        <w:rPr>
          <w:sz w:val="28"/>
          <w:szCs w:val="28"/>
          <w:rtl w:val="0"/>
          <w:lang w:val="en-US"/>
        </w:rPr>
        <w:t>”</w:t>
      </w:r>
      <w:r>
        <w:rPr>
          <w:sz w:val="28"/>
          <w:szCs w:val="28"/>
          <w:rtl w:val="0"/>
          <w:lang w:val="en-US"/>
        </w:rPr>
        <w:t>when love and skill work together, expect a masterpiece</w:t>
      </w:r>
      <w:r>
        <w:rPr>
          <w:sz w:val="28"/>
          <w:szCs w:val="28"/>
          <w:rtl w:val="0"/>
          <w:lang w:val="en-US"/>
        </w:rPr>
        <w:t>”</w:t>
      </w:r>
      <w:r>
        <w:rPr>
          <w:sz w:val="28"/>
          <w:szCs w:val="28"/>
          <w:rtl w:val="0"/>
          <w:lang w:val="en-US"/>
        </w:rPr>
        <w:t xml:space="preserve">(John Ruskin).This was in reaction to what they conceived to be an unimaginative and artificial historical painting of the Royal Academy. They purposely sought out to express a new moral sincerity and seriousness in their work </w:t>
      </w:r>
      <w:r>
        <w:rPr>
          <w:sz w:val="28"/>
          <w:szCs w:val="28"/>
          <w:rtl w:val="0"/>
          <w:lang w:val="en-US"/>
        </w:rPr>
        <w:t>“</w:t>
      </w:r>
      <w:r>
        <w:rPr>
          <w:sz w:val="28"/>
          <w:szCs w:val="28"/>
          <w:rtl w:val="0"/>
          <w:lang w:val="en-US"/>
        </w:rPr>
        <w:t>paint the leaves as they grow if you can paint the leaf you can paint the world</w:t>
      </w:r>
      <w:r>
        <w:rPr>
          <w:sz w:val="28"/>
          <w:szCs w:val="28"/>
          <w:rtl w:val="0"/>
          <w:lang w:val="en-US"/>
        </w:rPr>
        <w:t xml:space="preserve">” </w:t>
      </w:r>
      <w:r>
        <w:rPr>
          <w:sz w:val="28"/>
          <w:szCs w:val="28"/>
          <w:rtl w:val="0"/>
          <w:lang w:val="en-US"/>
        </w:rPr>
        <w:t>(John Ruskin)The movement was inspired by 14th and 15th century Italian art and with the adoption of a name of the pre-raphaelites they expressed their appreciation for what they saw in the uncomplicated depiction of nature typical of Italian paintings before the high renaissance period and in particular before Raphael</w:t>
      </w:r>
      <w:r>
        <w:rPr>
          <w:sz w:val="28"/>
          <w:szCs w:val="28"/>
          <w:rtl w:val="0"/>
          <w:lang w:val="en-US"/>
        </w:rPr>
        <w:t>’</w:t>
      </w:r>
      <w:r>
        <w:rPr>
          <w:sz w:val="28"/>
          <w:szCs w:val="28"/>
          <w:rtl w:val="0"/>
          <w:lang w:val="en-US"/>
        </w:rPr>
        <w:t>s time. And although this brotherhoods active life didn</w:t>
      </w:r>
      <w:r>
        <w:rPr>
          <w:sz w:val="28"/>
          <w:szCs w:val="28"/>
          <w:rtl w:val="0"/>
          <w:lang w:val="en-US"/>
        </w:rPr>
        <w:t>’</w:t>
      </w:r>
      <w:r>
        <w:rPr>
          <w:sz w:val="28"/>
          <w:szCs w:val="28"/>
          <w:rtl w:val="0"/>
          <w:lang w:val="en-US"/>
        </w:rPr>
        <w:t>t last very long it did have an influence in Britain and had such an influence that it was featured in decorative arts and interior designs.</w:t>
      </w:r>
    </w:p>
    <w:p>
      <w:pPr>
        <w:pStyle w:val="Body"/>
        <w:rPr>
          <w:sz w:val="28"/>
          <w:szCs w:val="28"/>
        </w:rPr>
      </w:pPr>
    </w:p>
    <w:p>
      <w:pPr>
        <w:pStyle w:val="Body"/>
        <w:rPr>
          <w:sz w:val="28"/>
          <w:szCs w:val="28"/>
        </w:rPr>
      </w:pPr>
      <w:r>
        <w:rPr>
          <w:sz w:val="28"/>
          <w:szCs w:val="28"/>
          <w:rtl w:val="0"/>
          <w:lang w:val="en-US"/>
        </w:rPr>
        <w:t xml:space="preserve"> The pre-Raphaelite brotherhood was formed in 1848 by three gifted Royal Academy students John Everett Millais, William Holman Hunt and Dante Gabriel Rossetti, who was not only a painter but also a poet. Painter James Collinson, critic and painter F.G.Stephens and sculptor Thomas Woolner and even the critic William Michael Rossetti, who was Dante Gabriels brother, these others joined by invitation. (Ref 1) Mentors where also a key part to their craft with Ford Madox Brown and William Dyce painters who became mentors to the younger men, these men even came to adapt their work to fit the pre-Raphaelite style. The brotherhood set a movement in motion which created high quality works that depicted medieval and religious subjects. </w:t>
      </w:r>
    </w:p>
    <w:p>
      <w:pPr>
        <w:pStyle w:val="Body"/>
        <w:rPr>
          <w:sz w:val="28"/>
          <w:szCs w:val="28"/>
        </w:rPr>
      </w:pPr>
    </w:p>
    <w:p>
      <w:pPr>
        <w:pStyle w:val="Body"/>
        <w:rPr>
          <w:sz w:val="28"/>
          <w:szCs w:val="28"/>
        </w:rPr>
      </w:pPr>
      <w:r>
        <w:rPr>
          <w:sz w:val="28"/>
          <w:szCs w:val="28"/>
          <w:rtl w:val="0"/>
          <w:lang w:val="en-US"/>
        </w:rPr>
        <w:t xml:space="preserve">The style that both both Millais and Hunt evolved had sharp lighting, and was a near photographic reproduction with minute details </w:t>
      </w:r>
      <w:r>
        <w:rPr>
          <w:sz w:val="28"/>
          <w:szCs w:val="28"/>
          <w:rtl w:val="0"/>
          <w:lang w:val="en-US"/>
        </w:rPr>
        <w:t>and a clear atmosphere</w:t>
      </w:r>
      <w:r>
        <w:rPr>
          <w:sz w:val="28"/>
          <w:szCs w:val="28"/>
          <w:rtl w:val="0"/>
          <w:lang w:val="en-US"/>
        </w:rPr>
        <w:t xml:space="preserve">. There was also a private poetic symbolism in their representations of biblical subjects and medieval literary themes. Dante Gabriel Rossettis work differed slightly from that of the others in the brotherhood it had more of a cryptic aesthetic and he had a general lack of interest in copying the precise appearance of the objects that are in nature.  The paintings themselves have vision of freshness that is one of the most admirable qualities that the pre-Raphaelite paintings express. Some of the founding members did exhibit their first pieces anonymously using the monogram of PRB. When their identity was discovered in 1850 their work was to be harshly criticised by Charles Dickens, and some other people, it was disregard for its lack of conformity to academic ideals of what beauty should be. It was also an apparent that they saw the paintings as a disrespect to religion with their supposed religious themes being an uncompromising realism. Leading art critic of the time John Ruskin defended  pre-Raphaelite art and the group was never without patrons to their art. Critics of the time were very adamant on declaring that the work was ugly and jarring to the eye. Pre-Raphaelite John Millais painting Christ in the house of his parents was labelled as a blasphemous of its depiction of christ. With Charles Dickens being one of their biggest critics. True to his ideals of how he depicted realism, Millais spent most of his time living in a carpenters shop and he used his sister-in-law as a model for the paintings. The pre-Raphaelites attracted many extremes views, they were either loved or loathed and often for all the same reasons. They were rebellious but also conservative and have been criticised for not being modern enough for peoples liking. And although Millais was a founding member he was later knighted and became president of the Royal Academy. </w:t>
      </w:r>
    </w:p>
    <w:p>
      <w:pPr>
        <w:pStyle w:val="Body"/>
        <w:rPr>
          <w:sz w:val="28"/>
          <w:szCs w:val="28"/>
        </w:rPr>
      </w:pPr>
    </w:p>
    <w:p>
      <w:pPr>
        <w:pStyle w:val="Body"/>
        <w:rPr>
          <w:sz w:val="28"/>
          <w:szCs w:val="28"/>
        </w:rPr>
      </w:pPr>
    </w:p>
    <w:p>
      <w:pPr>
        <w:pStyle w:val="Body"/>
        <w:rPr>
          <w:sz w:val="28"/>
          <w:szCs w:val="28"/>
        </w:rPr>
      </w:pPr>
      <w:r>
        <w:rPr>
          <w:sz w:val="28"/>
          <w:szCs w:val="28"/>
          <w:rtl w:val="0"/>
          <w:lang w:val="en-US"/>
        </w:rPr>
        <w:t xml:space="preserve">Some people have describe them as not being just seen as soft romantics but want them to see them as modern artists. Their paintings can be seen with the characteristics such as vivid colours and depict intimate </w:t>
      </w:r>
      <w:r>
        <w:rPr>
          <w:sz w:val="28"/>
          <w:szCs w:val="28"/>
          <w:rtl w:val="0"/>
          <w:lang w:val="en-US"/>
        </w:rPr>
        <w:t xml:space="preserve">realistic </w:t>
      </w:r>
      <w:r>
        <w:rPr>
          <w:sz w:val="28"/>
          <w:szCs w:val="28"/>
          <w:rtl w:val="0"/>
          <w:lang w:val="en-US"/>
        </w:rPr>
        <w:t xml:space="preserve">relationships with a high quality and exceptional attention to detail. For example in the painting Ophelia Millais spent around about a year on the painting in which he painted a riverbank with so much as a five pence piece sized area being completed each day. The painting itself was created into a postcard which has proven to be the best selling postcard that the Tate sell to date. The painting itself depicts many hidden meanings such as the language of flowers. Their meanings can vary and be a mixture of romantic signs that most people assume them to be or have a more sinister meanings much like the calla lily can be associated with the virgin Mary and associated with the resurrection of christ and could be used in Christian services during easter. However something like chrysanthemums or </w:t>
      </w:r>
      <w:r>
        <w:rPr>
          <w:sz w:val="28"/>
          <w:szCs w:val="28"/>
          <w:rtl w:val="0"/>
          <w:lang w:val="en-US"/>
        </w:rPr>
        <w:t>“</w:t>
      </w:r>
      <w:r>
        <w:rPr>
          <w:sz w:val="28"/>
          <w:szCs w:val="28"/>
          <w:rtl w:val="0"/>
          <w:lang w:val="en-US"/>
        </w:rPr>
        <w:t>mums</w:t>
      </w:r>
      <w:r>
        <w:rPr>
          <w:sz w:val="28"/>
          <w:szCs w:val="28"/>
          <w:rtl w:val="0"/>
          <w:lang w:val="en-US"/>
        </w:rPr>
        <w:t xml:space="preserve">” </w:t>
      </w:r>
      <w:r>
        <w:rPr>
          <w:sz w:val="28"/>
          <w:szCs w:val="28"/>
          <w:rtl w:val="0"/>
          <w:lang w:val="en-US"/>
        </w:rPr>
        <w:t xml:space="preserve">as they as sometimes called can be associated with death especially in countries such as France, Italy, Spain, Poland, Hungary and Croatia but are only displayed at funerals and Burial sights. The painting has many different flowers in the image and some of these are poppies which symbolise death or sleep, weeping willow shows as forsaken love, nettles depict pain and others include roses, daises, and violets these are all hidden messages within the painting. Although the brotherhood only realistically lasted a few years, and then as the time passed different styles developed. And with the emphasis on art and beauty as the main theme for many of artist Rossettis portraits being of women. </w:t>
      </w:r>
    </w:p>
    <w:p>
      <w:pPr>
        <w:pStyle w:val="Body"/>
        <w:rPr>
          <w:sz w:val="28"/>
          <w:szCs w:val="28"/>
        </w:rPr>
      </w:pPr>
    </w:p>
    <w:p>
      <w:pPr>
        <w:pStyle w:val="Body"/>
        <w:rPr>
          <w:sz w:val="28"/>
          <w:szCs w:val="28"/>
        </w:rPr>
      </w:pPr>
      <w:r>
        <w:rPr>
          <w:sz w:val="28"/>
          <w:szCs w:val="28"/>
          <w:rtl w:val="0"/>
          <w:lang w:val="en-US"/>
        </w:rPr>
        <w:t>The brotherhood had unlikely ally in John Ruskin, who himself urged the brotherhood to ho to nature and they treated their art as a serious subject and each subject they took on they created with realism in mind. Their original principle themes included religious motifs or deities. But some themes also included subjects from literature and some poetry in particular they focused on texts that had love and death as their main subject within the pieces. They also as a separate theme also chose to explore modern social problems of their day.</w:t>
      </w:r>
    </w:p>
    <w:p>
      <w:pPr>
        <w:pStyle w:val="Body"/>
        <w:rPr>
          <w:sz w:val="28"/>
          <w:szCs w:val="28"/>
        </w:rPr>
      </w:pPr>
    </w:p>
    <w:p>
      <w:pPr>
        <w:pStyle w:val="Body"/>
        <w:rPr>
          <w:sz w:val="28"/>
          <w:szCs w:val="28"/>
        </w:rPr>
      </w:pPr>
      <w:r>
        <w:rPr>
          <w:sz w:val="28"/>
          <w:szCs w:val="28"/>
          <w:rtl w:val="0"/>
          <w:lang w:val="en-US"/>
        </w:rPr>
        <w:t>The pre-raphaelites could however be seen as a purely male movement which would go against the principle they seemed to be going against, conformity seemed to be something that they challenged. So why no women? Were they misogynistic? This is something they were not there were several women that were included in the movement. Elizabeth Siddal was probably one of the most famous. Others included Joanna Mary Well, Ne</w:t>
      </w:r>
      <w:r>
        <w:rPr>
          <w:sz w:val="28"/>
          <w:szCs w:val="28"/>
          <w:rtl w:val="0"/>
          <w:lang w:val="en-US"/>
        </w:rPr>
        <w:t xml:space="preserve">é </w:t>
      </w:r>
      <w:r>
        <w:rPr>
          <w:sz w:val="28"/>
          <w:szCs w:val="28"/>
          <w:rtl w:val="0"/>
          <w:lang w:val="en-US"/>
        </w:rPr>
        <w:t>Boyce, Emma Sandys, Barbara Leigh Smith Bodichon, Evelyn de Morgan,</w:t>
      </w:r>
    </w:p>
    <w:p>
      <w:pPr>
        <w:pStyle w:val="Body"/>
        <w:rPr>
          <w:sz w:val="28"/>
          <w:szCs w:val="28"/>
        </w:rPr>
      </w:pPr>
      <w:r>
        <w:rPr>
          <w:sz w:val="28"/>
          <w:szCs w:val="28"/>
          <w:rtl w:val="0"/>
          <w:lang w:val="en-US"/>
        </w:rPr>
        <w:t>Rebecca Solomon and Marianne Stokes. These women</w:t>
      </w:r>
      <w:r>
        <w:rPr>
          <w:sz w:val="28"/>
          <w:szCs w:val="28"/>
          <w:rtl w:val="0"/>
          <w:lang w:val="en-US"/>
        </w:rPr>
        <w:t>’</w:t>
      </w:r>
      <w:r>
        <w:rPr>
          <w:sz w:val="28"/>
          <w:szCs w:val="28"/>
          <w:rtl w:val="0"/>
          <w:lang w:val="en-US"/>
        </w:rPr>
        <w:t xml:space="preserve">s art very often overlooked. Siddal for instance was more famous in her own right for her modelling and relations with Rossetti, but she was in fact a very respected by her peers with a stipend of </w:t>
      </w:r>
      <w:r>
        <w:rPr>
          <w:sz w:val="28"/>
          <w:szCs w:val="28"/>
          <w:rtl w:val="0"/>
          <w:lang w:val="en-US"/>
        </w:rPr>
        <w:t>£</w:t>
      </w:r>
      <w:r>
        <w:rPr>
          <w:sz w:val="28"/>
          <w:szCs w:val="28"/>
          <w:rtl w:val="0"/>
          <w:lang w:val="en-US"/>
        </w:rPr>
        <w:t>150 being payed to her yearly by John Ruskin. She is probably most famous in the pre-raphaelites paintings due too Millais most iconic painting Ophelia. And although her life came to a tragic end of a Laundanum Overdose she was still one of the only women included in the Tate</w:t>
      </w:r>
      <w:r>
        <w:rPr>
          <w:sz w:val="28"/>
          <w:szCs w:val="28"/>
          <w:rtl w:val="0"/>
          <w:lang w:val="en-US"/>
        </w:rPr>
        <w:t>’</w:t>
      </w:r>
      <w:r>
        <w:rPr>
          <w:sz w:val="28"/>
          <w:szCs w:val="28"/>
          <w:rtl w:val="0"/>
          <w:lang w:val="en-US"/>
        </w:rPr>
        <w:t xml:space="preserve">s 1984 Pre-Raphaelite exhibition and out of thirty she was the only female. Another female Emma Sandys who had a brother Frederick Sandys in the brotherhood. An even despite her working in her brothers shadow somewhat she still prevailed as a strong artist and was well regarded even before her brothers affiliation with the brotherhood. Her paintings themselves were covered for there beauty and amazing compositions. Her paintings however have been previously mistaken for her brothers and therefore shadowed her in some mystery and also hidden her from public view. One women however in this group I have mentioned is Barbara Leigh Smith Bodichon who was both known for her activism and her art. She had developed her own radicalism and had become a co-founder of the Ladies of the Langham Place the first group of its time to tackle the rights of women owning their own property. She continued this fight and fought for things such as the ability to attend university and the possibility of entering the Royal Academy School. </w:t>
      </w:r>
      <w:r>
        <w:rPr>
          <w:sz w:val="28"/>
          <w:szCs w:val="28"/>
          <w:rtl w:val="0"/>
          <w:lang w:val="en-US"/>
        </w:rPr>
        <w:t>“</w:t>
      </w:r>
      <w:r>
        <w:rPr>
          <w:sz w:val="28"/>
          <w:szCs w:val="28"/>
          <w:rtl w:val="0"/>
          <w:lang w:val="en-US"/>
        </w:rPr>
        <w:t>....women are important in the Pre-Raphaelite movement. But while their faces are seen everywhere- in oil paintings, watercolours, drawings, - their voices are never heard</w:t>
      </w:r>
      <w:r>
        <w:rPr>
          <w:sz w:val="28"/>
          <w:szCs w:val="28"/>
          <w:rtl w:val="0"/>
          <w:lang w:val="en-US"/>
        </w:rPr>
        <w:t xml:space="preserve">” </w:t>
      </w:r>
      <w:r>
        <w:rPr>
          <w:sz w:val="28"/>
          <w:szCs w:val="28"/>
          <w:rtl w:val="0"/>
          <w:lang w:val="en-US"/>
        </w:rPr>
        <w:t>(Jan Marsh).</w:t>
      </w:r>
    </w:p>
    <w:p>
      <w:pPr>
        <w:pStyle w:val="Body"/>
        <w:rPr>
          <w:sz w:val="28"/>
          <w:szCs w:val="28"/>
        </w:rPr>
      </w:pPr>
    </w:p>
    <w:p>
      <w:pPr>
        <w:pStyle w:val="Body"/>
        <w:rPr>
          <w:i w:val="1"/>
          <w:iCs w:val="1"/>
          <w:sz w:val="28"/>
          <w:szCs w:val="28"/>
        </w:rPr>
      </w:pPr>
      <w:r>
        <w:rPr>
          <w:sz w:val="28"/>
          <w:szCs w:val="28"/>
          <w:rtl w:val="0"/>
          <w:lang w:val="en-US"/>
        </w:rPr>
        <w:t xml:space="preserve">Queen Eleanor and Fair Rosamund is seen as a classic piece of pre-raphaelite art and is often thought to be the work of Burne-Jones but is actually that of Evelyn De Morgan. The scene painted became a firm favourite of two painters Dante Gabriel Rossetti and Edward Burne-Jones. The painting itself could hovered on to many other possible opportunities where it could have filled a more medieval route or have gone down a more gothic route with the gothic architectural windows showing us this. The painting can show almost a good and evil side to it with the evil being shown as the furious scorned Eleanor with her accompanying lizards and apes. The good side can be seen as the sweet cowering Rosamund being circled by both doves and cupids. This accompanied by a high quality colour palette with the rich gold and reds mixed in could understandably be mistaken for a male Raphaelite piece with its depiction of women. And to accompany this great piece of work she had her own scathing critic Sir Edward who clearly was rattled by her talent, which was celebrated in the national portrait gallery within the exhibit </w:t>
      </w:r>
      <w:r>
        <w:rPr>
          <w:i w:val="1"/>
          <w:iCs w:val="1"/>
          <w:sz w:val="28"/>
          <w:szCs w:val="28"/>
          <w:rtl w:val="0"/>
          <w:lang w:val="en-US"/>
        </w:rPr>
        <w:t xml:space="preserve">Pre Raphaelite sisters. </w:t>
      </w:r>
    </w:p>
    <w:p>
      <w:pPr>
        <w:pStyle w:val="Body"/>
        <w:rPr>
          <w:i w:val="1"/>
          <w:iCs w:val="1"/>
          <w:sz w:val="28"/>
          <w:szCs w:val="28"/>
        </w:rPr>
      </w:pPr>
    </w:p>
    <w:p>
      <w:pPr>
        <w:pStyle w:val="Body"/>
        <w:rPr>
          <w:sz w:val="28"/>
          <w:szCs w:val="28"/>
        </w:rPr>
      </w:pPr>
      <w:r>
        <w:rPr>
          <w:sz w:val="28"/>
          <w:szCs w:val="28"/>
          <w:rtl w:val="0"/>
          <w:lang w:val="en-US"/>
        </w:rPr>
        <w:t>The Pre-Raphaelites used a variety of different models throughout their history but one of there most interesting is Fanny Eaton, who was a Jamaican born model who for a very long time was hiding in almost Plain sight in the work of many paintings of the brotherhood in the 1860s. She is featured in Rossetti</w:t>
      </w:r>
      <w:r>
        <w:rPr>
          <w:sz w:val="28"/>
          <w:szCs w:val="28"/>
          <w:rtl w:val="0"/>
          <w:lang w:val="en-US"/>
        </w:rPr>
        <w:t>’</w:t>
      </w:r>
      <w:r>
        <w:rPr>
          <w:sz w:val="28"/>
          <w:szCs w:val="28"/>
          <w:rtl w:val="0"/>
          <w:lang w:val="en-US"/>
        </w:rPr>
        <w:t>s The Beloved as a bridesmaid with a dark skin tone, Albert Moore</w:t>
      </w:r>
      <w:r>
        <w:rPr>
          <w:sz w:val="28"/>
          <w:szCs w:val="28"/>
          <w:rtl w:val="0"/>
          <w:lang w:val="en-US"/>
        </w:rPr>
        <w:t>’</w:t>
      </w:r>
      <w:r>
        <w:rPr>
          <w:sz w:val="28"/>
          <w:szCs w:val="28"/>
          <w:rtl w:val="0"/>
          <w:lang w:val="en-US"/>
        </w:rPr>
        <w:t>s The Mother of Sisera and even featured in Simeon Solomon</w:t>
      </w:r>
      <w:r>
        <w:rPr>
          <w:sz w:val="28"/>
          <w:szCs w:val="28"/>
          <w:rtl w:val="0"/>
          <w:lang w:val="en-US"/>
        </w:rPr>
        <w:t>’</w:t>
      </w:r>
      <w:r>
        <w:rPr>
          <w:sz w:val="28"/>
          <w:szCs w:val="28"/>
          <w:rtl w:val="0"/>
          <w:lang w:val="en-US"/>
        </w:rPr>
        <w:t>s depiction of The Mother of Moses. She is also used as a Indian ayah in Rebecca Solomon</w:t>
      </w:r>
      <w:r>
        <w:rPr>
          <w:sz w:val="28"/>
          <w:szCs w:val="28"/>
          <w:rtl w:val="0"/>
          <w:lang w:val="en-US"/>
        </w:rPr>
        <w:t>’</w:t>
      </w:r>
      <w:r>
        <w:rPr>
          <w:sz w:val="28"/>
          <w:szCs w:val="28"/>
          <w:rtl w:val="0"/>
          <w:lang w:val="en-US"/>
        </w:rPr>
        <w:t xml:space="preserve">s painting of The Young Teacher while in another painting she is depicted as Morgan Le Fay. She is used throughout these painting as a variety of different ethnicities, ranging from Palestinian, Libyan or even Egyptian she </w:t>
      </w:r>
      <w:r>
        <w:rPr>
          <w:sz w:val="28"/>
          <w:szCs w:val="28"/>
          <w:rtl w:val="0"/>
          <w:lang w:val="en-US"/>
        </w:rPr>
        <w:t>“</w:t>
      </w:r>
      <w:r>
        <w:rPr>
          <w:sz w:val="28"/>
          <w:szCs w:val="28"/>
          <w:rtl w:val="0"/>
          <w:lang w:val="en-US"/>
        </w:rPr>
        <w:t>changed</w:t>
      </w:r>
      <w:r>
        <w:rPr>
          <w:sz w:val="28"/>
          <w:szCs w:val="28"/>
          <w:rtl w:val="0"/>
          <w:lang w:val="en-US"/>
        </w:rPr>
        <w:t xml:space="preserve">” </w:t>
      </w:r>
      <w:r>
        <w:rPr>
          <w:sz w:val="28"/>
          <w:szCs w:val="28"/>
          <w:rtl w:val="0"/>
          <w:lang w:val="en-US"/>
        </w:rPr>
        <w:t xml:space="preserve">her ethnicity based on what was needed of her. On one occasion she is shown as a west African slave and also even a African American but was never permitted to be shown as what her heritage showed a mixed raced Jamaican with a slave mother and a white plantation owner father. But she proved to be such a substantial women that the takes her place in up to eleven pre raphaelites sisters paintings. </w:t>
      </w:r>
    </w:p>
    <w:p>
      <w:pPr>
        <w:pStyle w:val="Body"/>
        <w:rPr>
          <w:sz w:val="28"/>
          <w:szCs w:val="28"/>
        </w:rPr>
      </w:pPr>
    </w:p>
    <w:p>
      <w:pPr>
        <w:pStyle w:val="Body"/>
        <w:rPr>
          <w:sz w:val="28"/>
          <w:szCs w:val="28"/>
        </w:rPr>
      </w:pPr>
      <w:r>
        <w:rPr>
          <w:sz w:val="28"/>
          <w:szCs w:val="28"/>
          <w:rtl w:val="0"/>
          <w:lang w:val="en-US"/>
        </w:rPr>
        <w:t xml:space="preserve">By 1854 the pre-Raphaelite brotherhood had each gone their separate ways but their style still continued to have an influence and it allowed for them to gain many followers during the period of the 1850s and the early sixties. Although in the late 1850s Dante Rossetti became associated with some younger painters William Morris and Edward Burne-Jones it moved it closer to a sensual and almost romantic mystery to it. </w:t>
      </w:r>
      <w:r>
        <w:rPr>
          <w:sz w:val="28"/>
          <w:szCs w:val="28"/>
          <w:rtl w:val="0"/>
        </w:rPr>
        <w:t>John Everett Millais</w:t>
      </w:r>
      <w:r>
        <w:rPr>
          <w:sz w:val="28"/>
          <w:szCs w:val="28"/>
          <w:rtl w:val="0"/>
          <w:lang w:val="en-US"/>
        </w:rPr>
        <w:t xml:space="preserve"> the some say the most technically gifted of the pre-Raphaelite became an academic success. William Hunt pursued the same style of art throughout most of the rest of his career he remained true to his Pre-Raphaelite principles. pre-Raphaelite was in its later stages and was embodied by the paintings that Burne-Jones created, that are characterised by the jewel toned colour palette that he used and also the elegant figures and showed highly imaginative settings and subjects/people. </w:t>
      </w:r>
    </w:p>
    <w:p>
      <w:pPr>
        <w:pStyle w:val="Body"/>
        <w:rPr>
          <w:sz w:val="28"/>
          <w:szCs w:val="28"/>
        </w:rPr>
      </w:pPr>
      <w:r>
        <w:rPr>
          <w:sz w:val="28"/>
          <w:szCs w:val="28"/>
          <w:rtl w:val="0"/>
          <w:lang w:val="en-US"/>
        </w:rPr>
        <w:t xml:space="preserve">The Pre-Raphaelite movement proved to be a very substantial artistic movement in which a group of people proved to the politics of the time that conformity did not breed the way for any sort of changes to be made. They simply took depiction of both religious figures and women and showed them in such a different and clear light that they proved to be a long standing movement that is even celebrated now. The movement is still very popular now as it shows that not everything needs to conform to what society deems appropriate. Like women of the time where supposed to be child bearing home makers. The movement itself was very inclusive and was not just a male oriented movement but also had many respected female members who had successful careers as painters that allowed them to get their political point across when necessary. </w:t>
      </w:r>
      <w:r>
        <w:rPr>
          <w:sz w:val="28"/>
          <w:szCs w:val="28"/>
          <w:rtl w:val="0"/>
          <w:lang w:val="en-US"/>
        </w:rPr>
        <w:t>“</w:t>
      </w:r>
      <w:r>
        <w:rPr>
          <w:sz w:val="28"/>
          <w:szCs w:val="28"/>
          <w:rtl w:val="0"/>
          <w:lang w:val="en-US"/>
        </w:rPr>
        <w:t>Pre-Raphaelitism was a misunderstanding they all misunderstood. It was reform and a dream. It was real and unreal. It was modern, it was in the middle ages. ...it was an escape from the age and a means of converting it. It was a circle in which the future and the past chased each other round</w:t>
      </w:r>
      <w:r>
        <w:rPr>
          <w:sz w:val="28"/>
          <w:szCs w:val="28"/>
          <w:rtl w:val="0"/>
          <w:lang w:val="en-US"/>
        </w:rPr>
        <w:t>”</w:t>
      </w:r>
      <w:r>
        <w:rPr>
          <w:sz w:val="28"/>
          <w:szCs w:val="28"/>
          <w:rtl w:val="0"/>
          <w:lang w:val="en-US"/>
        </w:rPr>
        <w:t xml:space="preserve">.(William Gaunt) I feel that this movement is very prevalent now as the society norms are being challenged now and although not everyone will accept it which is generally what happens when something is </w:t>
      </w:r>
      <w:r>
        <w:rPr>
          <w:sz w:val="28"/>
          <w:szCs w:val="28"/>
          <w:rtl w:val="0"/>
          <w:lang w:val="en-US"/>
        </w:rPr>
        <w:t>“</w:t>
      </w:r>
      <w:r>
        <w:rPr>
          <w:sz w:val="28"/>
          <w:szCs w:val="28"/>
          <w:rtl w:val="0"/>
          <w:lang w:val="en-US"/>
        </w:rPr>
        <w:t>wrong</w:t>
      </w:r>
      <w:r>
        <w:rPr>
          <w:sz w:val="28"/>
          <w:szCs w:val="28"/>
          <w:rtl w:val="0"/>
          <w:lang w:val="en-US"/>
        </w:rPr>
        <w:t>”</w:t>
      </w:r>
      <w:r>
        <w:rPr>
          <w:sz w:val="28"/>
          <w:szCs w:val="28"/>
          <w:rtl w:val="0"/>
          <w:lang w:val="en-US"/>
        </w:rPr>
        <w:t xml:space="preserve">, it will allow for change to be made for hopefully the best like it did it the Pre-Raphaelite era.  </w:t>
      </w: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r>
        <w:rPr>
          <w:sz w:val="28"/>
          <w:szCs w:val="28"/>
          <w:rtl w:val="0"/>
          <w:lang w:val="en-US"/>
        </w:rPr>
        <w:t xml:space="preserve">Bibliography </w:t>
      </w:r>
    </w:p>
    <w:p>
      <w:pPr>
        <w:pStyle w:val="Body"/>
        <w:rPr>
          <w:sz w:val="28"/>
          <w:szCs w:val="28"/>
        </w:rPr>
      </w:pPr>
    </w:p>
    <w:p>
      <w:pPr>
        <w:pStyle w:val="Body"/>
        <w:rPr>
          <w:sz w:val="28"/>
          <w:szCs w:val="28"/>
        </w:rPr>
      </w:pPr>
      <w:r>
        <w:rPr>
          <w:sz w:val="28"/>
          <w:szCs w:val="28"/>
          <w:rtl w:val="0"/>
          <w:lang w:val="en-US"/>
        </w:rPr>
        <w:t xml:space="preserve">Encyclopaedia Britannica, Pre-Raphaelite Movement. </w:t>
      </w:r>
    </w:p>
    <w:p>
      <w:pPr>
        <w:pStyle w:val="Body"/>
        <w:rPr>
          <w:sz w:val="28"/>
          <w:szCs w:val="28"/>
        </w:rPr>
      </w:pPr>
      <w:r>
        <w:rPr>
          <w:sz w:val="28"/>
          <w:szCs w:val="28"/>
          <w:rtl w:val="0"/>
          <w:lang w:val="en-US"/>
        </w:rPr>
        <w:t xml:space="preserve">Available at: </w:t>
      </w:r>
      <w:r>
        <w:rPr>
          <w:sz w:val="28"/>
          <w:szCs w:val="28"/>
          <w:rtl w:val="0"/>
          <w:lang w:val="en-US"/>
        </w:rPr>
        <w:t>https://www.britannica.com/art/Pre-Raphaelite-Brotherhood</w:t>
      </w:r>
    </w:p>
    <w:p>
      <w:pPr>
        <w:pStyle w:val="Body"/>
        <w:rPr>
          <w:sz w:val="28"/>
          <w:szCs w:val="28"/>
        </w:rPr>
      </w:pPr>
      <w:r>
        <w:rPr>
          <w:sz w:val="28"/>
          <w:szCs w:val="28"/>
          <w:rtl w:val="0"/>
          <w:lang w:val="en-US"/>
        </w:rPr>
        <w:t>(accessed:10 November 2019)</w:t>
      </w:r>
    </w:p>
    <w:p>
      <w:pPr>
        <w:pStyle w:val="Body"/>
        <w:rPr>
          <w:sz w:val="28"/>
          <w:szCs w:val="28"/>
        </w:rPr>
      </w:pPr>
    </w:p>
    <w:p>
      <w:pPr>
        <w:pStyle w:val="Body"/>
        <w:rPr>
          <w:sz w:val="28"/>
          <w:szCs w:val="28"/>
        </w:rPr>
      </w:pPr>
      <w:r>
        <w:rPr>
          <w:sz w:val="28"/>
          <w:szCs w:val="28"/>
          <w:rtl w:val="0"/>
          <w:lang w:val="en-US"/>
        </w:rPr>
        <w:t>Teleflora, Symbolic meaning of funeral flowers</w:t>
      </w:r>
    </w:p>
    <w:p>
      <w:pPr>
        <w:pStyle w:val="Body"/>
        <w:rPr>
          <w:sz w:val="28"/>
          <w:szCs w:val="28"/>
        </w:rPr>
      </w:pPr>
      <w:r>
        <w:rPr>
          <w:sz w:val="28"/>
          <w:szCs w:val="28"/>
          <w:rtl w:val="0"/>
          <w:lang w:val="en-US"/>
        </w:rPr>
        <w:t xml:space="preserve">Available at: </w:t>
      </w:r>
      <w:r>
        <w:rPr>
          <w:sz w:val="28"/>
          <w:szCs w:val="28"/>
          <w:rtl w:val="0"/>
          <w:lang w:val="en-US"/>
        </w:rPr>
        <w:t>https://www.teleflora.com/funeral-sympathy-collection/funeral-flowers-meaning</w:t>
      </w:r>
    </w:p>
    <w:p>
      <w:pPr>
        <w:pStyle w:val="Body"/>
        <w:rPr>
          <w:sz w:val="28"/>
          <w:szCs w:val="28"/>
        </w:rPr>
      </w:pPr>
      <w:r>
        <w:rPr>
          <w:sz w:val="28"/>
          <w:szCs w:val="28"/>
          <w:rtl w:val="0"/>
          <w:lang w:val="en-US"/>
        </w:rPr>
        <w:t>(Accessed: November 2019)</w:t>
      </w:r>
    </w:p>
    <w:p>
      <w:pPr>
        <w:pStyle w:val="Body"/>
        <w:rPr>
          <w:sz w:val="28"/>
          <w:szCs w:val="28"/>
        </w:rPr>
      </w:pPr>
    </w:p>
    <w:p>
      <w:pPr>
        <w:pStyle w:val="Body"/>
        <w:rPr>
          <w:sz w:val="28"/>
          <w:szCs w:val="28"/>
        </w:rPr>
      </w:pPr>
      <w:r>
        <w:rPr>
          <w:sz w:val="28"/>
          <w:szCs w:val="28"/>
          <w:rtl w:val="0"/>
          <w:lang w:val="en-US"/>
        </w:rPr>
        <w:t>USEUM,Pre-Raphaelite Quotes</w:t>
      </w:r>
    </w:p>
    <w:p>
      <w:pPr>
        <w:pStyle w:val="Body"/>
        <w:rPr>
          <w:sz w:val="28"/>
          <w:szCs w:val="28"/>
        </w:rPr>
      </w:pPr>
      <w:r>
        <w:rPr>
          <w:sz w:val="28"/>
          <w:szCs w:val="28"/>
          <w:rtl w:val="0"/>
          <w:lang w:val="en-US"/>
        </w:rPr>
        <w:t xml:space="preserve">Available at: </w:t>
      </w:r>
      <w:r>
        <w:rPr>
          <w:sz w:val="28"/>
          <w:szCs w:val="28"/>
          <w:rtl w:val="0"/>
        </w:rPr>
        <w:t>https://useum.org/Pre-Raphaelites/Pre-Raphaelites-Quotes</w:t>
      </w:r>
    </w:p>
    <w:p>
      <w:pPr>
        <w:pStyle w:val="Body"/>
        <w:rPr>
          <w:sz w:val="28"/>
          <w:szCs w:val="28"/>
        </w:rPr>
      </w:pPr>
      <w:r>
        <w:rPr>
          <w:sz w:val="28"/>
          <w:szCs w:val="28"/>
          <w:rtl w:val="0"/>
          <w:lang w:val="en-US"/>
        </w:rPr>
        <w:t>(Accessed:December 2019)</w:t>
      </w:r>
    </w:p>
    <w:p>
      <w:pPr>
        <w:pStyle w:val="Body"/>
        <w:rPr>
          <w:sz w:val="28"/>
          <w:szCs w:val="28"/>
        </w:rPr>
      </w:pPr>
    </w:p>
    <w:p>
      <w:pPr>
        <w:pStyle w:val="Body"/>
        <w:rPr>
          <w:sz w:val="28"/>
          <w:szCs w:val="28"/>
        </w:rPr>
      </w:pPr>
      <w:r>
        <w:rPr>
          <w:sz w:val="28"/>
          <w:szCs w:val="28"/>
          <w:rtl w:val="0"/>
          <w:lang w:val="en-US"/>
        </w:rPr>
        <w:t>Liz Falconer, Retired GP/The National Center for Biotechnology information,</w:t>
      </w:r>
    </w:p>
    <w:p>
      <w:pPr>
        <w:pStyle w:val="Body"/>
        <w:rPr>
          <w:sz w:val="28"/>
          <w:szCs w:val="28"/>
        </w:rPr>
      </w:pPr>
      <w:r>
        <w:rPr>
          <w:sz w:val="28"/>
          <w:szCs w:val="28"/>
          <w:rtl w:val="0"/>
          <w:lang w:val="en-US"/>
        </w:rPr>
        <w:t xml:space="preserve">(September 2012-13, January 2013), </w:t>
      </w:r>
    </w:p>
    <w:p>
      <w:pPr>
        <w:pStyle w:val="Body"/>
        <w:rPr>
          <w:sz w:val="28"/>
          <w:szCs w:val="28"/>
        </w:rPr>
      </w:pPr>
      <w:r>
        <w:rPr>
          <w:sz w:val="28"/>
          <w:szCs w:val="28"/>
          <w:rtl w:val="0"/>
          <w:lang w:val="en-US"/>
        </w:rPr>
        <w:t xml:space="preserve">Available at: </w:t>
      </w:r>
      <w:r>
        <w:rPr>
          <w:sz w:val="28"/>
          <w:szCs w:val="28"/>
          <w:rtl w:val="0"/>
          <w:lang w:val="en-US"/>
        </w:rPr>
        <w:t>//www.ncbi.nlm.nih.gov/pmc/articles/PMC3481508/</w:t>
      </w:r>
    </w:p>
    <w:p>
      <w:pPr>
        <w:pStyle w:val="Body"/>
        <w:rPr>
          <w:sz w:val="28"/>
          <w:szCs w:val="28"/>
        </w:rPr>
      </w:pPr>
      <w:r>
        <w:rPr>
          <w:sz w:val="28"/>
          <w:szCs w:val="28"/>
          <w:rtl w:val="0"/>
          <w:lang w:val="en-US"/>
        </w:rPr>
        <w:t xml:space="preserve"> (accessed:september 2019)</w:t>
      </w:r>
    </w:p>
    <w:p>
      <w:pPr>
        <w:pStyle w:val="Body"/>
        <w:rPr>
          <w:sz w:val="28"/>
          <w:szCs w:val="28"/>
        </w:rPr>
      </w:pPr>
    </w:p>
    <w:p>
      <w:pPr>
        <w:pStyle w:val="Body"/>
        <w:rPr>
          <w:sz w:val="28"/>
          <w:szCs w:val="28"/>
        </w:rPr>
      </w:pPr>
    </w:p>
    <w:p>
      <w:pPr>
        <w:pStyle w:val="Default"/>
        <w:bidi w:val="0"/>
        <w:spacing w:line="1" w:lineRule="atLeast"/>
        <w:ind w:left="0" w:right="0" w:firstLine="0"/>
        <w:jc w:val="left"/>
        <w:rPr>
          <w:i w:val="1"/>
          <w:iCs w:val="1"/>
          <w:outline w:val="0"/>
          <w:color w:val="000000"/>
          <w:sz w:val="28"/>
          <w:szCs w:val="28"/>
          <w:rtl w:val="0"/>
          <w14:textFill>
            <w14:solidFill>
              <w14:srgbClr w14:val="000000"/>
            </w14:solidFill>
          </w14:textFill>
        </w:rPr>
      </w:pPr>
      <w:r>
        <w:rPr>
          <w:i w:val="0"/>
          <w:iCs w:val="0"/>
          <w:outline w:val="0"/>
          <w:color w:val="000000"/>
          <w:sz w:val="28"/>
          <w:szCs w:val="28"/>
          <w:rtl w:val="0"/>
          <w:lang w:val="en-US"/>
          <w14:textFill>
            <w14:solidFill>
              <w14:srgbClr w14:val="000000"/>
            </w14:solidFill>
          </w14:textFill>
        </w:rPr>
        <w:t>• </w:t>
      </w:r>
      <w:r>
        <w:rPr>
          <w:i w:val="1"/>
          <w:iCs w:val="1"/>
          <w:outline w:val="0"/>
          <w:color w:val="000000"/>
          <w:sz w:val="28"/>
          <w:szCs w:val="28"/>
          <w:rtl w:val="0"/>
          <w:lang w:val="en-US"/>
          <w14:textFill>
            <w14:solidFill>
              <w14:srgbClr w14:val="000000"/>
            </w14:solidFill>
          </w14:textFill>
        </w:rPr>
        <w:t>Pre-Raphaelite Sisters is at the National Portrait Gallery, London WC2H, from 17 October.</w:t>
      </w:r>
      <w:r>
        <w:rPr>
          <w:i w:val="1"/>
          <w:iCs w:val="1"/>
          <w:outline w:val="0"/>
          <w:color w:val="000000"/>
          <w:sz w:val="28"/>
          <w:szCs w:val="28"/>
          <w:rtl w:val="0"/>
          <w:lang w:val="en-US"/>
          <w14:textFill>
            <w14:solidFill>
              <w14:srgbClr w14:val="000000"/>
            </w14:solidFill>
          </w14:textFill>
        </w:rPr>
        <w:t> </w:t>
      </w:r>
      <w:r>
        <w:rPr>
          <w:i w:val="1"/>
          <w:iCs w:val="1"/>
          <w:outline w:val="0"/>
          <w:color w:val="000000"/>
          <w:sz w:val="28"/>
          <w:szCs w:val="28"/>
          <w:rtl w:val="0"/>
          <w14:textFill>
            <w14:solidFill>
              <w14:srgbClr w14:val="000000"/>
            </w14:solidFill>
          </w14:textFill>
        </w:rPr>
        <w:fldChar w:fldCharType="begin" w:fldLock="0"/>
      </w:r>
      <w:r>
        <w:rPr>
          <w:i w:val="1"/>
          <w:iCs w:val="1"/>
          <w:outline w:val="0"/>
          <w:color w:val="000000"/>
          <w:sz w:val="28"/>
          <w:szCs w:val="28"/>
          <w:rtl w:val="0"/>
          <w14:textFill>
            <w14:solidFill>
              <w14:srgbClr w14:val="000000"/>
            </w14:solidFill>
          </w14:textFill>
        </w:rPr>
        <w:instrText xml:space="preserve"> HYPERLINK "https://www.npg.org.uk/"</w:instrText>
      </w:r>
      <w:r>
        <w:rPr>
          <w:i w:val="1"/>
          <w:iCs w:val="1"/>
          <w:outline w:val="0"/>
          <w:color w:val="000000"/>
          <w:sz w:val="28"/>
          <w:szCs w:val="28"/>
          <w:rtl w:val="0"/>
          <w14:textFill>
            <w14:solidFill>
              <w14:srgbClr w14:val="000000"/>
            </w14:solidFill>
          </w14:textFill>
        </w:rPr>
        <w:fldChar w:fldCharType="separate" w:fldLock="0"/>
      </w:r>
      <w:r>
        <w:rPr>
          <w:i w:val="1"/>
          <w:iCs w:val="1"/>
          <w:outline w:val="0"/>
          <w:color w:val="000000"/>
          <w:sz w:val="28"/>
          <w:szCs w:val="28"/>
          <w:rtl w:val="0"/>
          <w:lang w:val="en-US"/>
          <w14:textFill>
            <w14:solidFill>
              <w14:srgbClr w14:val="000000"/>
            </w14:solidFill>
          </w14:textFill>
        </w:rPr>
        <w:t>npg.org.uk</w:t>
      </w:r>
      <w:r>
        <w:rPr>
          <w:i w:val="1"/>
          <w:iCs w:val="1"/>
          <w:outline w:val="0"/>
          <w:color w:val="000000"/>
          <w:sz w:val="28"/>
          <w:szCs w:val="28"/>
          <w:rtl w:val="0"/>
          <w14:textFill>
            <w14:solidFill>
              <w14:srgbClr w14:val="000000"/>
            </w14:solidFill>
          </w14:textFill>
        </w:rPr>
        <w:fldChar w:fldCharType="end" w:fldLock="0"/>
      </w:r>
      <w:r>
        <w:rPr>
          <w:i w:val="1"/>
          <w:iCs w:val="1"/>
          <w:outline w:val="0"/>
          <w:color w:val="000000"/>
          <w:sz w:val="28"/>
          <w:szCs w:val="28"/>
          <w:rtl w:val="0"/>
          <w:lang w:val="en-US"/>
          <w14:textFill>
            <w14:solidFill>
              <w14:srgbClr w14:val="000000"/>
            </w14:solidFill>
          </w14:textFill>
        </w:rPr>
        <w:t>.</w:t>
      </w:r>
    </w:p>
    <w:p>
      <w:pPr>
        <w:pStyle w:val="Default"/>
        <w:bidi w:val="0"/>
        <w:spacing w:line="480" w:lineRule="atLeast"/>
        <w:ind w:left="0" w:right="0" w:firstLine="0"/>
        <w:jc w:val="left"/>
        <w:rPr>
          <w:outline w:val="0"/>
          <w:color w:val="ffffff"/>
          <w:sz w:val="28"/>
          <w:szCs w:val="28"/>
          <w:rtl w:val="0"/>
          <w14:textFill>
            <w14:solidFill>
              <w14:srgbClr w14:val="FFFFFF"/>
            </w14:solidFill>
          </w14:textFill>
        </w:rPr>
      </w:pPr>
    </w:p>
    <w:p>
      <w:pPr>
        <w:pStyle w:val="Default"/>
        <w:bidi w:val="0"/>
        <w:ind w:left="0" w:right="0" w:firstLine="0"/>
        <w:jc w:val="left"/>
        <w:rPr>
          <w:rFonts w:ascii="Helvetica" w:cs="Helvetica" w:hAnsi="Helvetica" w:eastAsia="Helvetica"/>
          <w:outline w:val="0"/>
          <w:color w:val="ffffff"/>
          <w:sz w:val="26"/>
          <w:szCs w:val="26"/>
          <w:shd w:val="clear" w:color="auto" w:fill="f93b79"/>
          <w:rtl w:val="0"/>
          <w14:textFill>
            <w14:solidFill>
              <w14:srgbClr w14:val="FFFFFF"/>
            </w14:solidFill>
          </w14:textFill>
        </w:rPr>
      </w:pPr>
    </w:p>
    <w:p>
      <w:pPr>
        <w:pStyle w:val="Default"/>
        <w:bidi w:val="0"/>
        <w:ind w:left="0" w:right="0" w:firstLine="0"/>
        <w:jc w:val="left"/>
        <w:rPr>
          <w:rFonts w:ascii="Helvetica" w:cs="Helvetica" w:hAnsi="Helvetica" w:eastAsia="Helvetica"/>
          <w:outline w:val="0"/>
          <w:color w:val="242424"/>
          <w:sz w:val="26"/>
          <w:szCs w:val="26"/>
          <w:shd w:val="clear" w:color="auto" w:fill="cccccc"/>
          <w:rtl w:val="0"/>
          <w14:textFill>
            <w14:solidFill>
              <w14:srgbClr w14:val="242424"/>
            </w14:solidFill>
          </w14:textFill>
        </w:rPr>
      </w:pPr>
    </w:p>
    <w:p>
      <w:pPr>
        <w:pStyle w:val="Default"/>
        <w:bidi w:val="0"/>
        <w:ind w:left="0" w:right="0" w:firstLine="0"/>
        <w:jc w:val="left"/>
        <w:rPr>
          <w:rFonts w:ascii="Helvetica" w:cs="Helvetica" w:hAnsi="Helvetica" w:eastAsia="Helvetica"/>
          <w:outline w:val="0"/>
          <w:color w:val="242424"/>
          <w:sz w:val="26"/>
          <w:szCs w:val="26"/>
          <w:shd w:val="clear" w:color="auto" w:fill="ffffff"/>
          <w:rtl w:val="0"/>
          <w14:textFill>
            <w14:solidFill>
              <w14:srgbClr w14:val="242424"/>
            </w14:solidFill>
          </w14:textFill>
        </w:rPr>
      </w:pPr>
    </w:p>
    <w:p>
      <w:pPr>
        <w:pStyle w:val="Default"/>
        <w:bidi w:val="0"/>
        <w:ind w:left="0" w:right="0" w:firstLine="0"/>
        <w:jc w:val="left"/>
        <w:rPr>
          <w:rtl w:val="0"/>
        </w:rPr>
      </w:pPr>
      <w:r>
        <w:rPr>
          <w:rFonts w:ascii="Helvetica" w:cs="Helvetica" w:hAnsi="Helvetica" w:eastAsia="Helvetica"/>
          <w:outline w:val="0"/>
          <w:color w:val="242424"/>
          <w:sz w:val="26"/>
          <w:szCs w:val="26"/>
          <w:shd w:val="clear" w:color="auto" w:fill="ffffff"/>
          <w:rtl w:val="0"/>
          <w14:textFill>
            <w14:solidFill>
              <w14:srgbClr w14:val="242424"/>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