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
<Relationship Id="rId1" Type="http://schemas.openxmlformats.org/officeDocument/2006/relationships/officeDocument" Target="word/document.xml"/>
<Relationship Id="rId2" Type="http://schemas.openxmlformats.org/package/2006/relationships/metadata/core-properties" Target="docProps/core.xml"/>
<Relationship Id="rId3" Type="http://schemas.openxmlformats.org/officeDocument/2006/relationships/extended-properties" Target="docProps/app.xml"/>
</Relationships>
</file>

<file path=word/document.xml><?xml version="1.0" encoding="utf-8"?>
<w:document xmlns:w="http://schemas.openxmlformats.org/wordprocessingml/2006/main" xmlns:r="http://schemas.openxmlformats.org/officeDocument/2006/relationships" xmlns:wp="http://schemas.openxmlformats.org/drawingml/2006/wordprocessingDrawing" xmlns:m="http://schemas.openxmlformats.org/officeDocument/2006/math" xmlns:a="http://schemas.openxmlformats.org/drawingml/2006/main" xmlns:pic="http://schemas.openxmlformats.org/drawingml/2006/picture" xmlns:wps="http://schemas.microsoft.com/office/word/2010/wordprocessingShap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mc:Ignorable="w14 w15 w16se w16cid w16 w16cex w16sdtdh w16sdtfl w16du wp14">
  <w:body>
    <w:p w14:paraId="44CC967B" w14:textId="77777777" w:rsidR="002F4816" w:rsidRDefault="002F4816" w:rsidP="00AD60E0">
      <w:pPr>
        <w:pStyle w:val="Title"/>
        <w:jc w:val="both"/>
      </w:pPr>
      <w:bookmarkStart w:id="0" w:name="_cfjxx5p5vrfu" w:colFirst="0" w:colLast="0"/>
      <w:bookmarkEnd w:id="0"/>
    </w:p>
    <w:p w14:paraId="77B5B4D6" w14:textId="77777777" w:rsidR="002F4816" w:rsidRDefault="002F4816">
      <w:pPr>
        <w:pStyle w:val="Title"/>
      </w:pPr>
      <w:bookmarkStart w:id="1" w:name="_vsfqs5iutdjd" w:colFirst="0" w:colLast="0"/>
      <w:bookmarkEnd w:id="1"/>
    </w:p>
    <w:p w14:paraId="10E77E57" w14:textId="77777777" w:rsidR="002F4816" w:rsidRDefault="002F4816">
      <w:pPr>
        <w:pStyle w:val="Title"/>
      </w:pPr>
      <w:bookmarkStart w:id="2" w:name="_cqbfdybfeuoh" w:colFirst="0" w:colLast="0"/>
      <w:bookmarkEnd w:id="2"/>
    </w:p>
    <w:p w14:paraId="1BE6882E" w14:textId="77777777" w:rsidR="002F4816" w:rsidRDefault="007C352E">
      <w:pPr>
        <w:pStyle w:val="Title"/>
        <w:rPr>
          <w:color w:val="073763"/>
        </w:rPr>
      </w:pPr>
      <w:bookmarkStart w:id="3" w:name="_66lfe3kvf6iw" w:colFirst="0" w:colLast="0"/>
      <w:bookmarkEnd w:id="3"/>
      <w:proofErr w:type="spellStart"/>
      <w:r>
        <w:rPr>
          <w:color w:val="073763"/>
        </w:rPr>
        <w:t>Programme</w:t>
      </w:r>
      <w:proofErr w:type="spellEnd"/>
      <w:r>
        <w:rPr>
          <w:color w:val="073763"/>
        </w:rPr>
        <w:t xml:space="preserve">: Master of Business Administration </w:t>
      </w:r>
    </w:p>
    <w:p w14:paraId="76030581" w14:textId="77777777" w:rsidR="002F4816" w:rsidRDefault="002F4816">
      <w:pPr>
        <w:rPr>
          <w:color w:val="073763"/>
        </w:rPr>
      </w:pPr>
    </w:p>
    <w:p w14:paraId="6CF719ED" w14:textId="77777777" w:rsidR="002F4816" w:rsidRDefault="007C352E">
      <w:pPr>
        <w:pStyle w:val="Title"/>
        <w:rPr>
          <w:color w:val="073763"/>
        </w:rPr>
      </w:pPr>
      <w:bookmarkStart w:id="4" w:name="_qvinpguhcae4" w:colFirst="0" w:colLast="0"/>
      <w:bookmarkEnd w:id="4"/>
      <w:r>
        <w:rPr>
          <w:color w:val="073763"/>
        </w:rPr>
        <w:t xml:space="preserve">Module: Marketing Management </w:t>
      </w:r>
    </w:p>
    <w:p w14:paraId="5EAA80DF" w14:textId="77777777" w:rsidR="002F4816" w:rsidRDefault="007C352E">
      <w:pPr>
        <w:pStyle w:val="Title"/>
        <w:rPr>
          <w:color w:val="073763"/>
        </w:rPr>
      </w:pPr>
      <w:bookmarkStart w:id="5" w:name="_o4v8k5yf2u36" w:colFirst="0" w:colLast="0"/>
      <w:bookmarkEnd w:id="5"/>
      <w:r>
        <w:rPr>
          <w:color w:val="073763"/>
        </w:rPr>
        <w:t xml:space="preserve">Module code: LCMB7024 </w:t>
      </w:r>
    </w:p>
    <w:p w14:paraId="4E1EDAE1" w14:textId="77777777" w:rsidR="002F4816" w:rsidRDefault="002F4816">
      <w:pPr>
        <w:rPr>
          <w:color w:val="073763"/>
        </w:rPr>
      </w:pPr>
    </w:p>
    <w:p w14:paraId="10BFCAD9" w14:textId="77777777" w:rsidR="002F4816" w:rsidRDefault="007C352E">
      <w:pPr>
        <w:pStyle w:val="Title"/>
        <w:rPr>
          <w:color w:val="073763"/>
        </w:rPr>
      </w:pPr>
      <w:bookmarkStart w:id="6" w:name="_xkmpa7bvee12" w:colFirst="0" w:colLast="0"/>
      <w:bookmarkEnd w:id="6"/>
      <w:r>
        <w:rPr>
          <w:color w:val="073763"/>
        </w:rPr>
        <w:t xml:space="preserve">Assignment Title: Assessment component 1: Marketing Environment Analysis </w:t>
      </w:r>
    </w:p>
    <w:p w14:paraId="28D5A9E5" w14:textId="77777777" w:rsidR="002F4816" w:rsidRDefault="007C352E">
      <w:pPr>
        <w:pStyle w:val="Title"/>
        <w:rPr>
          <w:color w:val="073763"/>
        </w:rPr>
      </w:pPr>
      <w:bookmarkStart w:id="7" w:name="_fb9s42o85keq" w:colFirst="0" w:colLast="0"/>
      <w:bookmarkEnd w:id="7"/>
      <w:r>
        <w:rPr>
          <w:color w:val="073763"/>
        </w:rPr>
        <w:t>BHP Group - Marketing Environment Analysis</w:t>
      </w:r>
    </w:p>
    <w:p w14:paraId="27E37F79" w14:textId="0000D48C" w:rsidR="002F4816" w:rsidRDefault="00A92B2E">
      <w:pPr>
        <w:pStyle w:val="Title"/>
        <w:rPr>
          <w:color w:val="073763"/>
        </w:rPr>
      </w:pPr>
      <w:bookmarkStart w:id="8" w:name="_v3u1nr8dewzm" w:colFirst="0" w:colLast="0"/>
      <w:bookmarkEnd w:id="8"/>
      <w:r>
        <w:rPr>
          <w:color w:val="073763"/>
        </w:rPr>
        <w:t>Wordcount: 2400 words</w:t>
      </w:r>
    </w:p>
    <w:p w14:paraId="5D9E1128" w14:textId="77777777" w:rsidR="002F4816" w:rsidRDefault="002F4816">
      <w:pPr>
        <w:rPr>
          <w:color w:val="073763"/>
        </w:rPr>
      </w:pPr>
    </w:p>
    <w:p w14:paraId="14052152" w14:textId="77777777" w:rsidR="002F4816" w:rsidRDefault="007C352E">
      <w:pPr>
        <w:pStyle w:val="Title"/>
        <w:rPr>
          <w:color w:val="073763"/>
        </w:rPr>
      </w:pPr>
      <w:bookmarkStart w:id="9" w:name="_an53hn9jaddg" w:colFirst="0" w:colLast="0"/>
      <w:bookmarkEnd w:id="9"/>
      <w:r>
        <w:rPr>
          <w:color w:val="073763"/>
        </w:rPr>
        <w:t xml:space="preserve">Student ID: 2610333</w:t>
      </w:r>
    </w:p>
    <w:p w14:paraId="23DC0EF2" w14:textId="77777777" w:rsidR="002F4816" w:rsidRDefault="007C352E">
      <w:pPr>
        <w:pStyle w:val="Title"/>
        <w:rPr>
          <w:color w:val="073763"/>
        </w:rPr>
      </w:pPr>
      <w:bookmarkStart w:id="10" w:name="_t6imvqp2r9f0" w:colFirst="0" w:colLast="0"/>
      <w:bookmarkEnd w:id="10"/>
      <w:r>
        <w:rPr>
          <w:color w:val="073763"/>
        </w:rPr>
        <w:t xml:space="preserve">Student Name: AYANALI NIYAZALI SAIYAD</w:t>
      </w:r>
    </w:p>
    <w:p w14:paraId="57387943" w14:textId="77777777" w:rsidR="00A92B2E" w:rsidRPr="00A92B2E" w:rsidRDefault="00A92B2E" w:rsidP="00A92B2E"/>
    <w:p w14:paraId="201498EE" w14:textId="137AC0C2" w:rsidR="00A92B2E" w:rsidRPr="00A92B2E" w:rsidRDefault="00A92B2E" w:rsidP="00A92B2E">
      <w:pPr>
        <w:pStyle w:val="Title"/>
        <w:rPr>
          <w:color w:val="073763"/>
        </w:rPr>
      </w:pPr>
      <w:bookmarkStart w:id="11" w:name="_fi5pcbdrjj4y" w:colFirst="0" w:colLast="0"/>
      <w:bookmarkEnd w:id="11"/>
      <w:r w:rsidRPr="00A92B2E">
        <w:rPr>
          <w:color w:val="073763"/>
        </w:rPr>
        <w:t xml:space="preserve">Lecturer: </w:t>
      </w:r>
      <w:proofErr w:type="spellStart"/>
      <w:r w:rsidRPr="00A92B2E">
        <w:rPr>
          <w:color w:val="073763"/>
        </w:rPr>
        <w:t/>
      </w:r>
      <w:proofErr w:type="spellEnd"/>
      <w:r w:rsidRPr="00A92B2E">
        <w:rPr>
          <w:color w:val="073763"/>
        </w:rPr>
        <w:t/>
      </w:r>
      <w:r>
        <w:rPr>
          <w:color w:val="073763"/>
        </w:rPr>
        <w:t/>
      </w:r>
      <w:r w:rsidRPr="00A92B2E">
        <w:rPr>
          <w:color w:val="073763"/>
        </w:rPr>
        <w:t xml:space="preserve">Taonga Kaonga </w:t>
      </w:r>
      <w:proofErr w:type="spellStart"/>
      <w:r w:rsidRPr="00A92B2E">
        <w:rPr>
          <w:color w:val="073763"/>
        </w:rPr>
        <w:t>Sobere</w:t>
      </w:r>
      <w:proofErr w:type="spellEnd"/>
      <w:r w:rsidRPr="00A92B2E">
        <w:rPr>
          <w:color w:val="073763"/>
        </w:rPr>
        <w:t>-</w:t>
      </w:r>
    </w:p>
    <w:p w14:paraId="4C3630AE" w14:textId="513B9F3A" w:rsidR="002F4816" w:rsidRDefault="00A92B2E" w:rsidP="00A92B2E">
      <w:pPr>
        <w:pStyle w:val="Title"/>
        <w:rPr>
          <w:color w:val="073763"/>
        </w:rPr>
      </w:pPr>
      <w:proofErr w:type="spellStart"/>
      <w:r w:rsidRPr="00A92B2E">
        <w:rPr>
          <w:color w:val="073763"/>
        </w:rPr>
        <w:t>Snithers</w:t>
      </w:r>
      <w:proofErr w:type="spellEnd"/>
      <w:r w:rsidRPr="00A92B2E">
        <w:rPr>
          <w:color w:val="073763"/>
        </w:rPr>
        <w:t xml:space="preserve"> </w:t>
      </w:r>
    </w:p>
    <w:p w14:paraId="4B81100A" w14:textId="77777777" w:rsidR="00A92B2E" w:rsidRPr="00A92B2E" w:rsidRDefault="00A92B2E" w:rsidP="00A92B2E"/>
    <w:p w14:paraId="55F66A16" w14:textId="77777777" w:rsidR="002F4816" w:rsidRDefault="007C352E">
      <w:pPr>
        <w:pStyle w:val="Title"/>
        <w:rPr>
          <w:color w:val="073763"/>
        </w:rPr>
      </w:pPr>
      <w:bookmarkStart w:id="12" w:name="_w39y81qazk4" w:colFirst="0" w:colLast="0"/>
      <w:bookmarkEnd w:id="12"/>
      <w:r>
        <w:rPr>
          <w:color w:val="073763"/>
        </w:rPr>
        <w:t xml:space="preserve">Date of Submission: 22/10/2026</w:t>
      </w:r>
    </w:p>
    <w:p>
      <w:r>
        <w:br w:type="page"/>
      </w:r>
    </w:p>
    <w:p w14:paraId="58852E0E" w14:textId="77777777" w:rsidR="009A62AF" w:rsidRPr="007C352E" w:rsidRDefault="009A62AF" w:rsidP="009A62AF">
      <w:pPr>
        <w:pStyle w:val="TOCHeading"/>
        <w:jc w:val="center"/>
        <w:rPr>
          <w:b/>
        </w:rPr>
      </w:pPr>
      <w:r w:rsidRPr="007C352E">
        <w:rPr>
          <w:b/>
        </w:rPr>
        <w:t>Table of Contents</w:t>
      </w:r>
    </w:p>
    <w:p w14:paraId="0844B824" w14:textId="0E992D63" w:rsidR="009A62AF" w:rsidRDefault="0024096B">
      <w:pPr>
        <w:pStyle w:val="TOC1"/>
        <w:tabs>
          <w:tab w:val="right" w:leader="dot" w:pos="9350"/>
        </w:tabs>
        <w:rPr>
          <w:noProof/>
        </w:rPr>
      </w:pPr>
      <w:r>
        <w:fldChar w:fldCharType="begin"/>
      </w:r>
      <w:r w:rsidR="009A62AF">
        <w:instrText xml:space="preserve"> TOC \o "1-3" \h \z \u </w:instrText>
      </w:r>
      <w:r>
        <w:fldChar w:fldCharType="separate"/>
      </w:r>
      <w:hyperlink w:anchor="_Toc242789492" w:history="1">
        <w:r w:rsidR="009A62AF" w:rsidRPr="00556450">
          <w:rPr>
            <w:rStyle w:val="Hyperlink"/>
            <w:noProof/>
          </w:rPr>
          <w:t>Introduction</w:t>
        </w:r>
        <w:r w:rsidR="009A62AF">
          <w:rPr>
            <w:noProof/>
            <w:webHidden/>
          </w:rPr>
          <w:tab/>
        </w:r>
        <w:r>
          <w:rPr>
            <w:noProof/>
            <w:webHidden/>
          </w:rPr>
          <w:fldChar w:fldCharType="begin"/>
        </w:r>
        <w:r w:rsidR="009A62AF">
          <w:rPr>
            <w:noProof/>
            <w:webHidden/>
          </w:rPr>
          <w:instrText xml:space="preserve"> PAGEREF _Toc242789492 \h </w:instrText>
        </w:r>
        <w:r>
          <w:rPr>
            <w:noProof/>
            <w:webHidden/>
          </w:rPr>
        </w:r>
        <w:r>
          <w:rPr>
            <w:noProof/>
            <w:webHidden/>
          </w:rPr>
          <w:fldChar w:fldCharType="separate"/>
        </w:r>
        <w:r w:rsidR="00AD60E0">
          <w:rPr>
            <w:noProof/>
            <w:webHidden/>
          </w:rPr>
          <w:t>3</w:t>
        </w:r>
        <w:r>
          <w:rPr>
            <w:noProof/>
            <w:webHidden/>
          </w:rPr>
          <w:fldChar w:fldCharType="end"/>
        </w:r>
      </w:hyperlink>
    </w:p>
    <w:p w14:paraId="4F58E384" w14:textId="29B0FF46" w:rsidR="009A62AF" w:rsidRDefault="009A62AF">
      <w:pPr>
        <w:pStyle w:val="TOC1"/>
        <w:tabs>
          <w:tab w:val="right" w:leader="dot" w:pos="9350"/>
        </w:tabs>
        <w:rPr>
          <w:noProof/>
        </w:rPr>
      </w:pPr>
      <w:hyperlink w:anchor="_Toc242789493" w:history="1">
        <w:r w:rsidRPr="00556450">
          <w:rPr>
            <w:rStyle w:val="Hyperlink"/>
            <w:noProof/>
          </w:rPr>
          <w:t>Task 1: Marketing Environment Analysis</w:t>
        </w:r>
        <w:r>
          <w:rPr>
            <w:noProof/>
            <w:webHidden/>
          </w:rPr>
          <w:tab/>
        </w:r>
        <w:r w:rsidR="0024096B">
          <w:rPr>
            <w:noProof/>
            <w:webHidden/>
          </w:rPr>
          <w:fldChar w:fldCharType="begin"/>
        </w:r>
        <w:r>
          <w:rPr>
            <w:noProof/>
            <w:webHidden/>
          </w:rPr>
          <w:instrText xml:space="preserve"> PAGEREF _Toc242789493 \h </w:instrText>
        </w:r>
        <w:r w:rsidR="0024096B">
          <w:rPr>
            <w:noProof/>
            <w:webHidden/>
          </w:rPr>
        </w:r>
        <w:r w:rsidR="0024096B">
          <w:rPr>
            <w:noProof/>
            <w:webHidden/>
          </w:rPr>
          <w:fldChar w:fldCharType="separate"/>
        </w:r>
        <w:r w:rsidR="00AD60E0">
          <w:rPr>
            <w:noProof/>
            <w:webHidden/>
          </w:rPr>
          <w:t>3</w:t>
        </w:r>
        <w:r w:rsidR="0024096B">
          <w:rPr>
            <w:noProof/>
            <w:webHidden/>
          </w:rPr>
          <w:fldChar w:fldCharType="end"/>
        </w:r>
      </w:hyperlink>
    </w:p>
    <w:p w14:paraId="201D1FC3" w14:textId="3B940C9B" w:rsidR="009A62AF" w:rsidRDefault="009A62AF">
      <w:pPr>
        <w:pStyle w:val="TOC2"/>
        <w:tabs>
          <w:tab w:val="right" w:leader="dot" w:pos="9350"/>
        </w:tabs>
        <w:rPr>
          <w:noProof/>
        </w:rPr>
      </w:pPr>
      <w:hyperlink w:anchor="_Toc242789494" w:history="1">
        <w:r w:rsidRPr="00556450">
          <w:rPr>
            <w:rStyle w:val="Hyperlink"/>
            <w:noProof/>
          </w:rPr>
          <w:t>1.1 BHP and the External Marketing Environment</w:t>
        </w:r>
        <w:r>
          <w:rPr>
            <w:noProof/>
            <w:webHidden/>
          </w:rPr>
          <w:tab/>
        </w:r>
        <w:r w:rsidR="0024096B">
          <w:rPr>
            <w:noProof/>
            <w:webHidden/>
          </w:rPr>
          <w:fldChar w:fldCharType="begin"/>
        </w:r>
        <w:r>
          <w:rPr>
            <w:noProof/>
            <w:webHidden/>
          </w:rPr>
          <w:instrText xml:space="preserve"> PAGEREF _Toc242789494 \h </w:instrText>
        </w:r>
        <w:r w:rsidR="0024096B">
          <w:rPr>
            <w:noProof/>
            <w:webHidden/>
          </w:rPr>
        </w:r>
        <w:r w:rsidR="0024096B">
          <w:rPr>
            <w:noProof/>
            <w:webHidden/>
          </w:rPr>
          <w:fldChar w:fldCharType="separate"/>
        </w:r>
        <w:r w:rsidR="00AD60E0">
          <w:rPr>
            <w:noProof/>
            <w:webHidden/>
          </w:rPr>
          <w:t>3</w:t>
        </w:r>
        <w:r w:rsidR="0024096B">
          <w:rPr>
            <w:noProof/>
            <w:webHidden/>
          </w:rPr>
          <w:fldChar w:fldCharType="end"/>
        </w:r>
      </w:hyperlink>
    </w:p>
    <w:p w14:paraId="18584965" w14:textId="38A18CFD" w:rsidR="009A62AF" w:rsidRDefault="009A62AF">
      <w:pPr>
        <w:pStyle w:val="TOC2"/>
        <w:tabs>
          <w:tab w:val="right" w:leader="dot" w:pos="9350"/>
        </w:tabs>
        <w:rPr>
          <w:noProof/>
        </w:rPr>
      </w:pPr>
      <w:hyperlink w:anchor="_Toc242789495" w:history="1">
        <w:r w:rsidRPr="00556450">
          <w:rPr>
            <w:rStyle w:val="Hyperlink"/>
            <w:noProof/>
          </w:rPr>
          <w:t>1.2 Actor 1: Natural Environment and Sustainability Pressures</w:t>
        </w:r>
        <w:r>
          <w:rPr>
            <w:noProof/>
            <w:webHidden/>
          </w:rPr>
          <w:tab/>
        </w:r>
        <w:r w:rsidR="0024096B">
          <w:rPr>
            <w:noProof/>
            <w:webHidden/>
          </w:rPr>
          <w:fldChar w:fldCharType="begin"/>
        </w:r>
        <w:r>
          <w:rPr>
            <w:noProof/>
            <w:webHidden/>
          </w:rPr>
          <w:instrText xml:space="preserve"> PAGEREF _Toc242789495 \h </w:instrText>
        </w:r>
        <w:r w:rsidR="0024096B">
          <w:rPr>
            <w:noProof/>
            <w:webHidden/>
          </w:rPr>
        </w:r>
        <w:r w:rsidR="0024096B">
          <w:rPr>
            <w:noProof/>
            <w:webHidden/>
          </w:rPr>
          <w:fldChar w:fldCharType="separate"/>
        </w:r>
        <w:r w:rsidR="00AD60E0">
          <w:rPr>
            <w:noProof/>
            <w:webHidden/>
          </w:rPr>
          <w:t>3</w:t>
        </w:r>
        <w:r w:rsidR="0024096B">
          <w:rPr>
            <w:noProof/>
            <w:webHidden/>
          </w:rPr>
          <w:fldChar w:fldCharType="end"/>
        </w:r>
      </w:hyperlink>
    </w:p>
    <w:p w14:paraId="0E045B18" w14:textId="2234DB25" w:rsidR="009A62AF" w:rsidRDefault="009A62AF">
      <w:pPr>
        <w:pStyle w:val="TOC2"/>
        <w:tabs>
          <w:tab w:val="right" w:leader="dot" w:pos="9350"/>
        </w:tabs>
        <w:rPr>
          <w:noProof/>
        </w:rPr>
      </w:pPr>
      <w:hyperlink w:anchor="_Toc242789496" w:history="1">
        <w:r w:rsidRPr="00556450">
          <w:rPr>
            <w:rStyle w:val="Hyperlink"/>
            <w:noProof/>
          </w:rPr>
          <w:t>1.3 Actor 2: Government, Regulation and Political Pressures</w:t>
        </w:r>
        <w:r>
          <w:rPr>
            <w:noProof/>
            <w:webHidden/>
          </w:rPr>
          <w:tab/>
        </w:r>
        <w:r w:rsidR="0024096B">
          <w:rPr>
            <w:noProof/>
            <w:webHidden/>
          </w:rPr>
          <w:fldChar w:fldCharType="begin"/>
        </w:r>
        <w:r>
          <w:rPr>
            <w:noProof/>
            <w:webHidden/>
          </w:rPr>
          <w:instrText xml:space="preserve"> PAGEREF _Toc242789496 \h </w:instrText>
        </w:r>
        <w:r w:rsidR="0024096B">
          <w:rPr>
            <w:noProof/>
            <w:webHidden/>
          </w:rPr>
        </w:r>
        <w:r w:rsidR="0024096B">
          <w:rPr>
            <w:noProof/>
            <w:webHidden/>
          </w:rPr>
          <w:fldChar w:fldCharType="separate"/>
        </w:r>
        <w:r w:rsidR="00AD60E0">
          <w:rPr>
            <w:noProof/>
            <w:webHidden/>
          </w:rPr>
          <w:t>5</w:t>
        </w:r>
        <w:r w:rsidR="0024096B">
          <w:rPr>
            <w:noProof/>
            <w:webHidden/>
          </w:rPr>
          <w:fldChar w:fldCharType="end"/>
        </w:r>
      </w:hyperlink>
    </w:p>
    <w:p w14:paraId="5827726C" w14:textId="79A3DF12" w:rsidR="009A62AF" w:rsidRDefault="009A62AF">
      <w:pPr>
        <w:pStyle w:val="TOC2"/>
        <w:tabs>
          <w:tab w:val="right" w:leader="dot" w:pos="9350"/>
        </w:tabs>
        <w:rPr>
          <w:noProof/>
        </w:rPr>
      </w:pPr>
      <w:hyperlink w:anchor="_Toc242789497" w:history="1">
        <w:r w:rsidRPr="00556450">
          <w:rPr>
            <w:rStyle w:val="Hyperlink"/>
            <w:noProof/>
          </w:rPr>
          <w:t>1.4 Actor 3: Industrial Customers and Competitors</w:t>
        </w:r>
        <w:r>
          <w:rPr>
            <w:noProof/>
            <w:webHidden/>
          </w:rPr>
          <w:tab/>
        </w:r>
        <w:r w:rsidR="0024096B">
          <w:rPr>
            <w:noProof/>
            <w:webHidden/>
          </w:rPr>
          <w:fldChar w:fldCharType="begin"/>
        </w:r>
        <w:r>
          <w:rPr>
            <w:noProof/>
            <w:webHidden/>
          </w:rPr>
          <w:instrText xml:space="preserve"> PAGEREF _Toc242789497 \h </w:instrText>
        </w:r>
        <w:r w:rsidR="0024096B">
          <w:rPr>
            <w:noProof/>
            <w:webHidden/>
          </w:rPr>
        </w:r>
        <w:r w:rsidR="0024096B">
          <w:rPr>
            <w:noProof/>
            <w:webHidden/>
          </w:rPr>
          <w:fldChar w:fldCharType="separate"/>
        </w:r>
        <w:r w:rsidR="00AD60E0">
          <w:rPr>
            <w:noProof/>
            <w:webHidden/>
          </w:rPr>
          <w:t>6</w:t>
        </w:r>
        <w:r w:rsidR="0024096B">
          <w:rPr>
            <w:noProof/>
            <w:webHidden/>
          </w:rPr>
          <w:fldChar w:fldCharType="end"/>
        </w:r>
      </w:hyperlink>
    </w:p>
    <w:p w14:paraId="7C5D76BE" w14:textId="286819D4" w:rsidR="009A62AF" w:rsidRDefault="009A62AF">
      <w:pPr>
        <w:pStyle w:val="TOC2"/>
        <w:tabs>
          <w:tab w:val="right" w:leader="dot" w:pos="9350"/>
        </w:tabs>
        <w:rPr>
          <w:noProof/>
        </w:rPr>
      </w:pPr>
      <w:hyperlink w:anchor="_Toc242789498" w:history="1">
        <w:r w:rsidRPr="00556450">
          <w:rPr>
            <w:rStyle w:val="Hyperlink"/>
            <w:noProof/>
          </w:rPr>
          <w:t>1.5 Integrated Evaluation of the Three Actors</w:t>
        </w:r>
        <w:r>
          <w:rPr>
            <w:noProof/>
            <w:webHidden/>
          </w:rPr>
          <w:tab/>
        </w:r>
        <w:r w:rsidR="0024096B">
          <w:rPr>
            <w:noProof/>
            <w:webHidden/>
          </w:rPr>
          <w:fldChar w:fldCharType="begin"/>
        </w:r>
        <w:r>
          <w:rPr>
            <w:noProof/>
            <w:webHidden/>
          </w:rPr>
          <w:instrText xml:space="preserve"> PAGEREF _Toc242789498 \h </w:instrText>
        </w:r>
        <w:r w:rsidR="0024096B">
          <w:rPr>
            <w:noProof/>
            <w:webHidden/>
          </w:rPr>
        </w:r>
        <w:r w:rsidR="0024096B">
          <w:rPr>
            <w:noProof/>
            <w:webHidden/>
          </w:rPr>
          <w:fldChar w:fldCharType="separate"/>
        </w:r>
        <w:r w:rsidR="00AD60E0">
          <w:rPr>
            <w:noProof/>
            <w:webHidden/>
          </w:rPr>
          <w:t>7</w:t>
        </w:r>
        <w:r w:rsidR="0024096B">
          <w:rPr>
            <w:noProof/>
            <w:webHidden/>
          </w:rPr>
          <w:fldChar w:fldCharType="end"/>
        </w:r>
      </w:hyperlink>
    </w:p>
    <w:p w14:paraId="28A14B3D" w14:textId="6B6A104B" w:rsidR="009A62AF" w:rsidRDefault="009A62AF">
      <w:pPr>
        <w:pStyle w:val="TOC1"/>
        <w:tabs>
          <w:tab w:val="right" w:leader="dot" w:pos="9350"/>
        </w:tabs>
        <w:rPr>
          <w:noProof/>
        </w:rPr>
      </w:pPr>
      <w:hyperlink w:anchor="_Toc242789499" w:history="1">
        <w:r w:rsidRPr="00556450">
          <w:rPr>
            <w:rStyle w:val="Hyperlink"/>
            <w:noProof/>
          </w:rPr>
          <w:t>Task 2: Strategic Growth and Competitive Positioning</w:t>
        </w:r>
        <w:r>
          <w:rPr>
            <w:noProof/>
            <w:webHidden/>
          </w:rPr>
          <w:tab/>
        </w:r>
        <w:r w:rsidR="0024096B">
          <w:rPr>
            <w:noProof/>
            <w:webHidden/>
          </w:rPr>
          <w:fldChar w:fldCharType="begin"/>
        </w:r>
        <w:r>
          <w:rPr>
            <w:noProof/>
            <w:webHidden/>
          </w:rPr>
          <w:instrText xml:space="preserve"> PAGEREF _Toc242789499 \h </w:instrText>
        </w:r>
        <w:r w:rsidR="0024096B">
          <w:rPr>
            <w:noProof/>
            <w:webHidden/>
          </w:rPr>
        </w:r>
        <w:r w:rsidR="0024096B">
          <w:rPr>
            <w:noProof/>
            <w:webHidden/>
          </w:rPr>
          <w:fldChar w:fldCharType="separate"/>
        </w:r>
        <w:r w:rsidR="00AD60E0">
          <w:rPr>
            <w:noProof/>
            <w:webHidden/>
          </w:rPr>
          <w:t>7</w:t>
        </w:r>
        <w:r w:rsidR="0024096B">
          <w:rPr>
            <w:noProof/>
            <w:webHidden/>
          </w:rPr>
          <w:fldChar w:fldCharType="end"/>
        </w:r>
      </w:hyperlink>
    </w:p>
    <w:p w14:paraId="4ED03282" w14:textId="16891535" w:rsidR="009A62AF" w:rsidRDefault="009A62AF">
      <w:pPr>
        <w:pStyle w:val="TOC2"/>
        <w:tabs>
          <w:tab w:val="right" w:leader="dot" w:pos="9350"/>
        </w:tabs>
        <w:rPr>
          <w:noProof/>
        </w:rPr>
      </w:pPr>
      <w:hyperlink w:anchor="_Toc242789500" w:history="1">
        <w:r w:rsidRPr="00556450">
          <w:rPr>
            <w:rStyle w:val="Hyperlink"/>
            <w:noProof/>
          </w:rPr>
          <w:t>2.1 Application of the Ansoff Matrix</w:t>
        </w:r>
        <w:r>
          <w:rPr>
            <w:noProof/>
            <w:webHidden/>
          </w:rPr>
          <w:tab/>
        </w:r>
        <w:r w:rsidR="0024096B">
          <w:rPr>
            <w:noProof/>
            <w:webHidden/>
          </w:rPr>
          <w:fldChar w:fldCharType="begin"/>
        </w:r>
        <w:r>
          <w:rPr>
            <w:noProof/>
            <w:webHidden/>
          </w:rPr>
          <w:instrText xml:space="preserve"> PAGEREF _Toc242789500 \h </w:instrText>
        </w:r>
        <w:r w:rsidR="0024096B">
          <w:rPr>
            <w:noProof/>
            <w:webHidden/>
          </w:rPr>
        </w:r>
        <w:r w:rsidR="0024096B">
          <w:rPr>
            <w:noProof/>
            <w:webHidden/>
          </w:rPr>
          <w:fldChar w:fldCharType="separate"/>
        </w:r>
        <w:r w:rsidR="00AD60E0">
          <w:rPr>
            <w:noProof/>
            <w:webHidden/>
          </w:rPr>
          <w:t>7</w:t>
        </w:r>
        <w:r w:rsidR="0024096B">
          <w:rPr>
            <w:noProof/>
            <w:webHidden/>
          </w:rPr>
          <w:fldChar w:fldCharType="end"/>
        </w:r>
      </w:hyperlink>
    </w:p>
    <w:p w14:paraId="242E8CC8" w14:textId="4B440087" w:rsidR="009A62AF" w:rsidRDefault="009A62AF">
      <w:pPr>
        <w:pStyle w:val="TOC2"/>
        <w:tabs>
          <w:tab w:val="right" w:leader="dot" w:pos="9350"/>
        </w:tabs>
        <w:rPr>
          <w:noProof/>
        </w:rPr>
      </w:pPr>
      <w:hyperlink w:anchor="_Toc242789501" w:history="1">
        <w:r w:rsidRPr="00556450">
          <w:rPr>
            <w:rStyle w:val="Hyperlink"/>
            <w:noProof/>
          </w:rPr>
          <w:t>2.2 Recommended Growth Strategy: Product Development</w:t>
        </w:r>
        <w:r>
          <w:rPr>
            <w:noProof/>
            <w:webHidden/>
          </w:rPr>
          <w:tab/>
        </w:r>
        <w:r w:rsidR="0024096B">
          <w:rPr>
            <w:noProof/>
            <w:webHidden/>
          </w:rPr>
          <w:fldChar w:fldCharType="begin"/>
        </w:r>
        <w:r>
          <w:rPr>
            <w:noProof/>
            <w:webHidden/>
          </w:rPr>
          <w:instrText xml:space="preserve"> PAGEREF _Toc242789501 \h </w:instrText>
        </w:r>
        <w:r w:rsidR="0024096B">
          <w:rPr>
            <w:noProof/>
            <w:webHidden/>
          </w:rPr>
        </w:r>
        <w:r w:rsidR="0024096B">
          <w:rPr>
            <w:noProof/>
            <w:webHidden/>
          </w:rPr>
          <w:fldChar w:fldCharType="separate"/>
        </w:r>
        <w:r w:rsidR="00AD60E0">
          <w:rPr>
            <w:noProof/>
            <w:webHidden/>
          </w:rPr>
          <w:t>8</w:t>
        </w:r>
        <w:r w:rsidR="0024096B">
          <w:rPr>
            <w:noProof/>
            <w:webHidden/>
          </w:rPr>
          <w:fldChar w:fldCharType="end"/>
        </w:r>
      </w:hyperlink>
    </w:p>
    <w:p w14:paraId="28DB892F" w14:textId="574EBB5E" w:rsidR="009A62AF" w:rsidRDefault="009A62AF">
      <w:pPr>
        <w:pStyle w:val="TOC2"/>
        <w:tabs>
          <w:tab w:val="right" w:leader="dot" w:pos="9350"/>
        </w:tabs>
        <w:rPr>
          <w:noProof/>
        </w:rPr>
      </w:pPr>
      <w:hyperlink w:anchor="_Toc242789502" w:history="1">
        <w:r w:rsidRPr="00556450">
          <w:rPr>
            <w:rStyle w:val="Hyperlink"/>
            <w:noProof/>
          </w:rPr>
          <w:t>2.3 Competitive Advantage Using Porter’s Generic Strategies</w:t>
        </w:r>
        <w:r>
          <w:rPr>
            <w:noProof/>
            <w:webHidden/>
          </w:rPr>
          <w:tab/>
        </w:r>
        <w:r w:rsidR="0024096B">
          <w:rPr>
            <w:noProof/>
            <w:webHidden/>
          </w:rPr>
          <w:fldChar w:fldCharType="begin"/>
        </w:r>
        <w:r>
          <w:rPr>
            <w:noProof/>
            <w:webHidden/>
          </w:rPr>
          <w:instrText xml:space="preserve"> PAGEREF _Toc242789502 \h </w:instrText>
        </w:r>
        <w:r w:rsidR="0024096B">
          <w:rPr>
            <w:noProof/>
            <w:webHidden/>
          </w:rPr>
        </w:r>
        <w:r w:rsidR="0024096B">
          <w:rPr>
            <w:noProof/>
            <w:webHidden/>
          </w:rPr>
          <w:fldChar w:fldCharType="separate"/>
        </w:r>
        <w:r w:rsidR="00AD60E0">
          <w:rPr>
            <w:noProof/>
            <w:webHidden/>
          </w:rPr>
          <w:t>9</w:t>
        </w:r>
        <w:r w:rsidR="0024096B">
          <w:rPr>
            <w:noProof/>
            <w:webHidden/>
          </w:rPr>
          <w:fldChar w:fldCharType="end"/>
        </w:r>
      </w:hyperlink>
    </w:p>
    <w:p w14:paraId="092A9037" w14:textId="2D9420F5" w:rsidR="009A62AF" w:rsidRDefault="009A62AF">
      <w:pPr>
        <w:pStyle w:val="TOC2"/>
        <w:tabs>
          <w:tab w:val="right" w:leader="dot" w:pos="9350"/>
        </w:tabs>
        <w:rPr>
          <w:noProof/>
        </w:rPr>
      </w:pPr>
      <w:hyperlink w:anchor="_Toc242789503" w:history="1">
        <w:r w:rsidRPr="00556450">
          <w:rPr>
            <w:rStyle w:val="Hyperlink"/>
            <w:noProof/>
          </w:rPr>
          <w:t>2.4 Implementation, Risks and Performance Measurement</w:t>
        </w:r>
        <w:r>
          <w:rPr>
            <w:noProof/>
            <w:webHidden/>
          </w:rPr>
          <w:tab/>
        </w:r>
        <w:r w:rsidR="0024096B">
          <w:rPr>
            <w:noProof/>
            <w:webHidden/>
          </w:rPr>
          <w:fldChar w:fldCharType="begin"/>
        </w:r>
        <w:r>
          <w:rPr>
            <w:noProof/>
            <w:webHidden/>
          </w:rPr>
          <w:instrText xml:space="preserve"> PAGEREF _Toc242789503 \h </w:instrText>
        </w:r>
        <w:r w:rsidR="0024096B">
          <w:rPr>
            <w:noProof/>
            <w:webHidden/>
          </w:rPr>
        </w:r>
        <w:r w:rsidR="0024096B">
          <w:rPr>
            <w:noProof/>
            <w:webHidden/>
          </w:rPr>
          <w:fldChar w:fldCharType="separate"/>
        </w:r>
        <w:r w:rsidR="00AD60E0">
          <w:rPr>
            <w:noProof/>
            <w:webHidden/>
          </w:rPr>
          <w:t>10</w:t>
        </w:r>
        <w:r w:rsidR="0024096B">
          <w:rPr>
            <w:noProof/>
            <w:webHidden/>
          </w:rPr>
          <w:fldChar w:fldCharType="end"/>
        </w:r>
      </w:hyperlink>
    </w:p>
    <w:p w14:paraId="40EB540A" w14:textId="1BD3BBEA" w:rsidR="009A62AF" w:rsidRDefault="009A62AF">
      <w:pPr>
        <w:pStyle w:val="TOC1"/>
        <w:tabs>
          <w:tab w:val="right" w:leader="dot" w:pos="9350"/>
        </w:tabs>
        <w:rPr>
          <w:noProof/>
        </w:rPr>
      </w:pPr>
      <w:hyperlink w:anchor="_Toc242789504" w:history="1">
        <w:r w:rsidRPr="00556450">
          <w:rPr>
            <w:rStyle w:val="Hyperlink"/>
            <w:noProof/>
          </w:rPr>
          <w:t>Task 3: Managerial and Professional Reflection</w:t>
        </w:r>
        <w:r>
          <w:rPr>
            <w:noProof/>
            <w:webHidden/>
          </w:rPr>
          <w:tab/>
        </w:r>
        <w:r w:rsidR="0024096B">
          <w:rPr>
            <w:noProof/>
            <w:webHidden/>
          </w:rPr>
          <w:fldChar w:fldCharType="begin"/>
        </w:r>
        <w:r>
          <w:rPr>
            <w:noProof/>
            <w:webHidden/>
          </w:rPr>
          <w:instrText xml:space="preserve"> PAGEREF _Toc242789504 \h </w:instrText>
        </w:r>
        <w:r w:rsidR="0024096B">
          <w:rPr>
            <w:noProof/>
            <w:webHidden/>
          </w:rPr>
        </w:r>
        <w:r w:rsidR="0024096B">
          <w:rPr>
            <w:noProof/>
            <w:webHidden/>
          </w:rPr>
          <w:fldChar w:fldCharType="separate"/>
        </w:r>
        <w:r w:rsidR="00AD60E0">
          <w:rPr>
            <w:noProof/>
            <w:webHidden/>
          </w:rPr>
          <w:t>10</w:t>
        </w:r>
        <w:r w:rsidR="0024096B">
          <w:rPr>
            <w:noProof/>
            <w:webHidden/>
          </w:rPr>
          <w:fldChar w:fldCharType="end"/>
        </w:r>
      </w:hyperlink>
    </w:p>
    <w:p w14:paraId="1F03D71B" w14:textId="1A2EEAD0" w:rsidR="009A62AF" w:rsidRDefault="009A62AF">
      <w:pPr>
        <w:pStyle w:val="TOC2"/>
        <w:tabs>
          <w:tab w:val="right" w:leader="dot" w:pos="9350"/>
        </w:tabs>
        <w:rPr>
          <w:noProof/>
        </w:rPr>
      </w:pPr>
      <w:hyperlink w:anchor="_Toc242789505" w:history="1">
        <w:r w:rsidRPr="00556450">
          <w:rPr>
            <w:rStyle w:val="Hyperlink"/>
            <w:noProof/>
          </w:rPr>
          <w:t>3.1 Rationale for Company and Actor Selection</w:t>
        </w:r>
        <w:r>
          <w:rPr>
            <w:noProof/>
            <w:webHidden/>
          </w:rPr>
          <w:tab/>
        </w:r>
        <w:r w:rsidR="0024096B">
          <w:rPr>
            <w:noProof/>
            <w:webHidden/>
          </w:rPr>
          <w:fldChar w:fldCharType="begin"/>
        </w:r>
        <w:r>
          <w:rPr>
            <w:noProof/>
            <w:webHidden/>
          </w:rPr>
          <w:instrText xml:space="preserve"> PAGEREF _Toc242789505 \h </w:instrText>
        </w:r>
        <w:r w:rsidR="0024096B">
          <w:rPr>
            <w:noProof/>
            <w:webHidden/>
          </w:rPr>
        </w:r>
        <w:r w:rsidR="0024096B">
          <w:rPr>
            <w:noProof/>
            <w:webHidden/>
          </w:rPr>
          <w:fldChar w:fldCharType="separate"/>
        </w:r>
        <w:r w:rsidR="00AD60E0">
          <w:rPr>
            <w:noProof/>
            <w:webHidden/>
          </w:rPr>
          <w:t>10</w:t>
        </w:r>
        <w:r w:rsidR="0024096B">
          <w:rPr>
            <w:noProof/>
            <w:webHidden/>
          </w:rPr>
          <w:fldChar w:fldCharType="end"/>
        </w:r>
      </w:hyperlink>
    </w:p>
    <w:p w14:paraId="715FE79E" w14:textId="0598195A" w:rsidR="009A62AF" w:rsidRDefault="009A62AF">
      <w:pPr>
        <w:pStyle w:val="TOC2"/>
        <w:tabs>
          <w:tab w:val="right" w:leader="dot" w:pos="9350"/>
        </w:tabs>
        <w:rPr>
          <w:noProof/>
        </w:rPr>
      </w:pPr>
      <w:hyperlink w:anchor="_Toc242789506" w:history="1">
        <w:r w:rsidRPr="00556450">
          <w:rPr>
            <w:rStyle w:val="Hyperlink"/>
            <w:noProof/>
          </w:rPr>
          <w:t>3.2 Reflection on Strategic Decisions and Managerial Judgement</w:t>
        </w:r>
        <w:r>
          <w:rPr>
            <w:noProof/>
            <w:webHidden/>
          </w:rPr>
          <w:tab/>
        </w:r>
        <w:r w:rsidR="0024096B">
          <w:rPr>
            <w:noProof/>
            <w:webHidden/>
          </w:rPr>
          <w:fldChar w:fldCharType="begin"/>
        </w:r>
        <w:r>
          <w:rPr>
            <w:noProof/>
            <w:webHidden/>
          </w:rPr>
          <w:instrText xml:space="preserve"> PAGEREF _Toc242789506 \h </w:instrText>
        </w:r>
        <w:r w:rsidR="0024096B">
          <w:rPr>
            <w:noProof/>
            <w:webHidden/>
          </w:rPr>
        </w:r>
        <w:r w:rsidR="0024096B">
          <w:rPr>
            <w:noProof/>
            <w:webHidden/>
          </w:rPr>
          <w:fldChar w:fldCharType="separate"/>
        </w:r>
        <w:r w:rsidR="00AD60E0">
          <w:rPr>
            <w:noProof/>
            <w:webHidden/>
          </w:rPr>
          <w:t>11</w:t>
        </w:r>
        <w:r w:rsidR="0024096B">
          <w:rPr>
            <w:noProof/>
            <w:webHidden/>
          </w:rPr>
          <w:fldChar w:fldCharType="end"/>
        </w:r>
      </w:hyperlink>
    </w:p>
    <w:p w14:paraId="07459D2D" w14:textId="488DD1D9" w:rsidR="009A62AF" w:rsidRDefault="009A62AF">
      <w:pPr>
        <w:pStyle w:val="TOC2"/>
        <w:tabs>
          <w:tab w:val="right" w:leader="dot" w:pos="9350"/>
        </w:tabs>
        <w:rPr>
          <w:noProof/>
        </w:rPr>
      </w:pPr>
      <w:hyperlink w:anchor="_Toc242789507" w:history="1">
        <w:r w:rsidRPr="00556450">
          <w:rPr>
            <w:rStyle w:val="Hyperlink"/>
            <w:noProof/>
          </w:rPr>
          <w:t>3.3 Further Information and Professional Recommendations</w:t>
        </w:r>
        <w:r>
          <w:rPr>
            <w:noProof/>
            <w:webHidden/>
          </w:rPr>
          <w:tab/>
        </w:r>
        <w:r w:rsidR="0024096B">
          <w:rPr>
            <w:noProof/>
            <w:webHidden/>
          </w:rPr>
          <w:fldChar w:fldCharType="begin"/>
        </w:r>
        <w:r>
          <w:rPr>
            <w:noProof/>
            <w:webHidden/>
          </w:rPr>
          <w:instrText xml:space="preserve"> PAGEREF _Toc242789507 \h </w:instrText>
        </w:r>
        <w:r w:rsidR="0024096B">
          <w:rPr>
            <w:noProof/>
            <w:webHidden/>
          </w:rPr>
        </w:r>
        <w:r w:rsidR="0024096B">
          <w:rPr>
            <w:noProof/>
            <w:webHidden/>
          </w:rPr>
          <w:fldChar w:fldCharType="separate"/>
        </w:r>
        <w:r w:rsidR="00AD60E0">
          <w:rPr>
            <w:noProof/>
            <w:webHidden/>
          </w:rPr>
          <w:t>11</w:t>
        </w:r>
        <w:r w:rsidR="0024096B">
          <w:rPr>
            <w:noProof/>
            <w:webHidden/>
          </w:rPr>
          <w:fldChar w:fldCharType="end"/>
        </w:r>
      </w:hyperlink>
    </w:p>
    <w:p w14:paraId="14AB75BB" w14:textId="6145FF3F" w:rsidR="009A62AF" w:rsidRDefault="009A62AF">
      <w:pPr>
        <w:pStyle w:val="TOC1"/>
        <w:tabs>
          <w:tab w:val="right" w:leader="dot" w:pos="9350"/>
        </w:tabs>
        <w:rPr>
          <w:noProof/>
        </w:rPr>
      </w:pPr>
      <w:hyperlink w:anchor="_Toc242789508" w:history="1">
        <w:r w:rsidRPr="00556450">
          <w:rPr>
            <w:rStyle w:val="Hyperlink"/>
            <w:noProof/>
          </w:rPr>
          <w:t>Conclusion</w:t>
        </w:r>
        <w:r>
          <w:rPr>
            <w:noProof/>
            <w:webHidden/>
          </w:rPr>
          <w:tab/>
        </w:r>
        <w:r w:rsidR="0024096B">
          <w:rPr>
            <w:noProof/>
            <w:webHidden/>
          </w:rPr>
          <w:fldChar w:fldCharType="begin"/>
        </w:r>
        <w:r>
          <w:rPr>
            <w:noProof/>
            <w:webHidden/>
          </w:rPr>
          <w:instrText xml:space="preserve"> PAGEREF _Toc242789508 \h </w:instrText>
        </w:r>
        <w:r w:rsidR="0024096B">
          <w:rPr>
            <w:noProof/>
            <w:webHidden/>
          </w:rPr>
        </w:r>
        <w:r w:rsidR="0024096B">
          <w:rPr>
            <w:noProof/>
            <w:webHidden/>
          </w:rPr>
          <w:fldChar w:fldCharType="separate"/>
        </w:r>
        <w:r w:rsidR="00AD60E0">
          <w:rPr>
            <w:noProof/>
            <w:webHidden/>
          </w:rPr>
          <w:t>12</w:t>
        </w:r>
        <w:r w:rsidR="0024096B">
          <w:rPr>
            <w:noProof/>
            <w:webHidden/>
          </w:rPr>
          <w:fldChar w:fldCharType="end"/>
        </w:r>
      </w:hyperlink>
    </w:p>
    <w:p w14:paraId="10D04B1F" w14:textId="128CCF21" w:rsidR="009A62AF" w:rsidRDefault="009A62AF">
      <w:pPr>
        <w:pStyle w:val="TOC1"/>
        <w:tabs>
          <w:tab w:val="right" w:leader="dot" w:pos="9350"/>
        </w:tabs>
        <w:rPr>
          <w:noProof/>
        </w:rPr>
      </w:pPr>
      <w:hyperlink w:anchor="_Toc242789509" w:history="1">
        <w:r w:rsidRPr="00556450">
          <w:rPr>
            <w:rStyle w:val="Hyperlink"/>
            <w:noProof/>
          </w:rPr>
          <w:t>References</w:t>
        </w:r>
        <w:r>
          <w:rPr>
            <w:noProof/>
            <w:webHidden/>
          </w:rPr>
          <w:tab/>
        </w:r>
        <w:r w:rsidR="0024096B">
          <w:rPr>
            <w:noProof/>
            <w:webHidden/>
          </w:rPr>
          <w:fldChar w:fldCharType="begin"/>
        </w:r>
        <w:r>
          <w:rPr>
            <w:noProof/>
            <w:webHidden/>
          </w:rPr>
          <w:instrText xml:space="preserve"> PAGEREF _Toc242789509 \h </w:instrText>
        </w:r>
        <w:r w:rsidR="0024096B">
          <w:rPr>
            <w:noProof/>
            <w:webHidden/>
          </w:rPr>
        </w:r>
        <w:r w:rsidR="0024096B">
          <w:rPr>
            <w:noProof/>
            <w:webHidden/>
          </w:rPr>
          <w:fldChar w:fldCharType="separate"/>
        </w:r>
        <w:r w:rsidR="00AD60E0">
          <w:rPr>
            <w:noProof/>
            <w:webHidden/>
          </w:rPr>
          <w:t>13</w:t>
        </w:r>
        <w:r w:rsidR="0024096B">
          <w:rPr>
            <w:noProof/>
            <w:webHidden/>
          </w:rPr>
          <w:fldChar w:fldCharType="end"/>
        </w:r>
      </w:hyperlink>
    </w:p>
    <w:p w14:paraId="21DEA2FB" w14:textId="77777777" w:rsidR="009A62AF" w:rsidRDefault="0024096B">
      <w:r>
        <w:rPr>
          <w:b/>
          <w:bCs/>
          <w:noProof/>
        </w:rPr>
        <w:fldChar w:fldCharType="end"/>
      </w:r>
    </w:p>
    <w:p>
      <w:r>
        <w:br w:type="page"/>
      </w:r>
    </w:p>
    <w:p w14:paraId="47E544DE" w14:textId="77777777" w:rsidR="002F4816" w:rsidRDefault="007C352E">
      <w:pPr>
        <w:pStyle w:val="Heading1"/>
        <w:rPr>
          <w:sz w:val="46"/>
          <w:szCs w:val="46"/>
        </w:rPr>
      </w:pPr>
      <w:r>
        <w:lastRenderedPageBreak/>
        <w:t>Introduction</w:t>
      </w:r>
      <w:bookmarkEnd w:id="14"/>
    </w:p>
    <w:p w14:paraId="418FD8C8" w14:textId="3AE3608D" w:rsidR="002F4816" w:rsidRDefault="00A636A2">
      <w:r w:rsidRPr="00A636A2">
        <w:t xml:space="preserve">BHP Group Limited </w:t>
      </w:r>
      <w:r w:rsidR="007C352E">
        <w:t xml:space="preserve">is a large, global resources group with operations and commodity businesses that place it in the industrial supply chains that underpin infrastructure, electrification and economic development. The shift to a lower carbon economy, however, poses a strategic dilemma: the demand for minerals associated with energy transition technologies can provide a growth opportunity, but at the same time, the extraction and processing of these minerals puts pressure on the environment. Under the "clean-energy transition scenarios", the International Energy Agency expects significant increases in critical mineral demand (BW Online Bureau, 2026). In BHP's case, the environmental sustainability challenge is no longer a corporate responsibility question and is growing to have a significant impact on stakeholder trust, regulatory risk and the credibility of its market positioning. </w:t>
      </w:r>
    </w:p>
    <w:p w14:paraId="467C4C38" w14:textId="77777777" w:rsidR="002F4816" w:rsidRDefault="007C352E">
      <w:pPr>
        <w:pStyle w:val="Heading1"/>
      </w:pPr>
      <w:bookmarkStart w:id="15" w:name="_2dmy7zsb9xcl" w:colFirst="0" w:colLast="0"/>
      <w:bookmarkStart w:id="16" w:name="_Toc242789493"/>
      <w:bookmarkEnd w:id="15"/>
      <w:r>
        <w:t>Task 1: Marketing Environment Analysis</w:t>
      </w:r>
      <w:bookmarkEnd w:id="16"/>
    </w:p>
    <w:p w14:paraId="2984D8D6" w14:textId="7EC72E4D" w:rsidR="002F4816" w:rsidRDefault="007C352E">
      <w:pPr>
        <w:pStyle w:val="Heading2"/>
      </w:pPr>
      <w:bookmarkStart w:id="17" w:name="_uu58xw7wkkt8" w:colFirst="0" w:colLast="0"/>
      <w:bookmarkStart w:id="18" w:name="_Toc242789494"/>
      <w:bookmarkEnd w:id="17"/>
      <w:r>
        <w:t xml:space="preserve">1.1 BHP </w:t>
      </w:r>
      <w:r w:rsidR="00A636A2" w:rsidRPr="00A636A2">
        <w:t xml:space="preserve">Group Limited </w:t>
      </w:r>
      <w:r>
        <w:t>and the External Marketing Environment</w:t>
      </w:r>
      <w:bookmarkEnd w:id="18"/>
    </w:p>
    <w:p w14:paraId="687F5112" w14:textId="49EAFA84" w:rsidR="002F4816" w:rsidRDefault="007C352E">
      <w:r>
        <w:t xml:space="preserve">The external marketing environment is composed of the factors that are external to the </w:t>
      </w:r>
      <w:proofErr w:type="spellStart"/>
      <w:r>
        <w:t>organisation</w:t>
      </w:r>
      <w:proofErr w:type="spellEnd"/>
      <w:r>
        <w:t xml:space="preserve"> and beyond its immediate control that affect the </w:t>
      </w:r>
      <w:proofErr w:type="spellStart"/>
      <w:r>
        <w:t>organisation's</w:t>
      </w:r>
      <w:proofErr w:type="spellEnd"/>
      <w:r>
        <w:t xml:space="preserve"> capacity to develop customer value and hold its competitive position. These are key factors for BHP</w:t>
      </w:r>
      <w:r w:rsidR="00A636A2">
        <w:t xml:space="preserve"> </w:t>
      </w:r>
      <w:r w:rsidR="00A636A2" w:rsidRPr="00A636A2">
        <w:t>Group Limited</w:t>
      </w:r>
      <w:r>
        <w:t>, as a mining company relies on the use of resources, regulatory approvals, and demand from industrial buyers. Natural conditions and government regulation affect the conditions in which resources are available for extraction, and customers/competitors affect the commercial value of environmental improvements (Yujuan and Jacquline, 2023). BHP's annual reporting acknowledges climate-related risks and opportunities as relevant to making portfolio decisions and allocating capital.</w:t>
      </w:r>
    </w:p>
    <w:p w14:paraId="77561CBE" w14:textId="77777777" w:rsidR="002F4816" w:rsidRDefault="007C352E">
      <w:pPr>
        <w:pStyle w:val="Heading2"/>
      </w:pPr>
      <w:bookmarkStart w:id="19" w:name="_dvm2eb46yw70" w:colFirst="0" w:colLast="0"/>
      <w:bookmarkStart w:id="20" w:name="_Toc242789495"/>
      <w:bookmarkEnd w:id="19"/>
      <w:r>
        <w:t>1.2 Actor 1: Natural Environment and Sustainability Pressures</w:t>
      </w:r>
      <w:bookmarkEnd w:id="20"/>
    </w:p>
    <w:p w14:paraId="3D9992DE" w14:textId="77777777" w:rsidR="002F4816" w:rsidRDefault="007C352E">
      <w:r>
        <w:t xml:space="preserve">The natural environment is perhaps the most significant external actor given BHP's need to produce renewable energy, land and water; and the natural context has the potential to be a factor that impacts BHP's legitimacy and sustainability of access to resources. Industrial emissions, land disturbance/pressure on water resources and biodiversity are associated with mining and mineral processing. Meanwhile, </w:t>
      </w:r>
      <w:proofErr w:type="spellStart"/>
      <w:r>
        <w:t>decarbonisation</w:t>
      </w:r>
      <w:proofErr w:type="spellEnd"/>
      <w:r>
        <w:t xml:space="preserve"> generates demand for minerals to </w:t>
      </w:r>
      <w:r>
        <w:lastRenderedPageBreak/>
        <w:t>facilitate electrification and renewable-energy infrastructure. Strong demand prospects exist for critical minerals in clean-energy scenarios under the IEA (2024) projection. But this doesn't necessarily mean that all BHP commodities will have equally strong demand growth, and that higher demand will always be a boost to profitability.</w:t>
      </w:r>
    </w:p>
    <w:p w14:paraId="47A43394" w14:textId="7994D278" w:rsidR="002F4816" w:rsidRDefault="000C473E">
      <w:r w:rsidRPr="000C473E">
        <w:t>BHP Group Limited</w:t>
      </w:r>
      <w:r w:rsidR="007C352E">
        <w:t xml:space="preserve"> is also losing the legitimacy of its marketing in the eyes of the environment. Environmental information about the materials they consume is becoming more essential to industrial customers and other stakeholders. The Climate Transition Action Plan covers BHP's operational emissions and acknowledges the need to engage suppliers and customers on </w:t>
      </w:r>
      <w:proofErr w:type="spellStart"/>
      <w:r w:rsidR="007C352E">
        <w:t>decarbonisation</w:t>
      </w:r>
      <w:proofErr w:type="spellEnd"/>
      <w:r w:rsidR="007C352E">
        <w:t>. These pledges can bolster confidence among stakeholders in the process with transparency and evidence of progress. However, corporate pledges do not necessarily translate into environmental impacts.</w:t>
      </w:r>
    </w:p>
    <w:p w14:paraId="015B81F2" w14:textId="77777777" w:rsidR="002F4816" w:rsidRDefault="007C352E">
      <w:r>
        <w:t>Innovation in products and processes is also enabled by the natural environment. BHP may explore alternative production processes with lower emissions and energy efficiency and/or partner with customers to achieve reductions in their supply chain emissions. The measures may be useful to distinguish its products when buyers base their decisions on environmental performance, in addition to price, quality and supply reliability.</w:t>
      </w:r>
    </w:p>
    <w:p w14:paraId="2E94D7D7" w14:textId="77777777" w:rsidR="002F4816" w:rsidRDefault="007C352E">
      <w:r>
        <w:t xml:space="preserve">This is another challenge in implementation. New and better technologies can be costly, need new infrastructure and change existing practices. Even if the economic benefits of a project are high, it can be limited by the scarcity of water, limitations on biodiversity, and concerns from the community. Furthermore, the narrow scope of carbon emissions could cause the sustainability proposition to be incomplete, as it does not account for other environmental impacts. Instead, BHP needs to measure environmental performance with regard to its possible environmental impacts rather than solely on </w:t>
      </w:r>
      <w:proofErr w:type="spellStart"/>
      <w:r>
        <w:t>decarbonisation</w:t>
      </w:r>
      <w:proofErr w:type="spellEnd"/>
      <w:r>
        <w:t>.</w:t>
      </w:r>
    </w:p>
    <w:p w14:paraId="1F290C0E" w14:textId="77777777" w:rsidR="002F4816" w:rsidRDefault="007C352E">
      <w:r>
        <w:t>Overall, the natural environment constitutes a conditional opportunity for BHP, because sustainability can offer a plus to its market positioning provided that it is backed by a measurable level of performance, the feasibility of implementation and customer demand. If these conditions are not met, costs of investment and risk of credibility might make the benefits of marketing less obvious.</w:t>
      </w:r>
    </w:p>
    <w:p w14:paraId="04C035DE" w14:textId="6FBCB187" w:rsidR="002F4816" w:rsidRDefault="007C352E">
      <w:pPr>
        <w:pStyle w:val="Heading2"/>
      </w:pPr>
      <w:bookmarkStart w:id="21" w:name="_qlmtmbenb18q" w:colFirst="0" w:colLast="0"/>
      <w:bookmarkStart w:id="22" w:name="_Toc242789496"/>
      <w:bookmarkEnd w:id="21"/>
      <w:r>
        <w:lastRenderedPageBreak/>
        <w:t>1.3 Actor 2: Government</w:t>
      </w:r>
      <w:r w:rsidR="00FF44C2">
        <w:t>al Forces (</w:t>
      </w:r>
      <w:r w:rsidR="004E578B">
        <w:t>Legal</w:t>
      </w:r>
      <w:r>
        <w:t xml:space="preserve"> and Political Pressures</w:t>
      </w:r>
      <w:bookmarkEnd w:id="22"/>
      <w:r w:rsidR="00FF44C2">
        <w:t>)</w:t>
      </w:r>
    </w:p>
    <w:p w14:paraId="2382DADA" w14:textId="5D1EDBCC" w:rsidR="00013402" w:rsidRPr="00013402" w:rsidRDefault="00013402" w:rsidP="00013402">
      <w:pPr>
        <w:jc w:val="center"/>
        <w:rPr>
          <w:b/>
          <w:bCs/>
        </w:rPr>
      </w:pPr>
      <w:r>
        <w:rPr>
          <w:b/>
          <w:bCs/>
        </w:rPr>
        <w:t>Figure 1: Climate Policy Upscaling</w:t>
      </w:r>
    </w:p>
    <w:p w14:paraId="5CDF2707" w14:textId="77777777" w:rsidR="002F4816" w:rsidRDefault="007C352E">
      <w:pPr>
        <w:jc w:val="center"/>
      </w:pPr>
      <w:r>
        <w:rPr>
          <w:noProof/>
          <w:lang w:eastAsia="en-US"/>
        </w:rPr>
        <w:drawing>
          <wp:inline distT="114300" distB="114300" distL="114300" distR="114300" wp14:anchorId="00EFD783" wp14:editId="0C2B7BD5">
            <wp:extent cx="5457825" cy="330517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457825" cy="3305175"/>
                    </a:xfrm>
                    <a:prstGeom prst="rect">
                      <a:avLst/>
                    </a:prstGeom>
                    <a:ln/>
                  </pic:spPr>
                </pic:pic>
              </a:graphicData>
            </a:graphic>
          </wp:inline>
        </w:drawing>
      </w:r>
    </w:p>
    <w:p w14:paraId="45B82271" w14:textId="77777777" w:rsidR="002F4816" w:rsidRDefault="007C352E">
      <w:pPr>
        <w:jc w:val="center"/>
      </w:pPr>
      <w:r>
        <w:t>(Source: DCCEEW, 2026)</w:t>
      </w:r>
    </w:p>
    <w:p w14:paraId="2EE561D4" w14:textId="5C8E03EE" w:rsidR="002F4816" w:rsidRDefault="007C352E">
      <w:r>
        <w:t xml:space="preserve">Government regulation affects BHP's operating costs, investments and the credibility of environmental disclosure. The Safeguard Mechanism for facilities with emissions greater than 100,000 </w:t>
      </w:r>
      <w:proofErr w:type="spellStart"/>
      <w:r>
        <w:t>tonnes</w:t>
      </w:r>
      <w:proofErr w:type="spellEnd"/>
      <w:r>
        <w:t xml:space="preserve"> of carbon dioxide equivalent per year establishes emissions 'baselines' that are reduced over time for covered facilities. The Australian Government explains that the mechanism is designed to lower emissions from big industrial emitters and facilitate a shift towards a lower emissions economy (DCCEEW, 2026). Requirements for </w:t>
      </w:r>
      <w:r w:rsidR="000C473E" w:rsidRPr="000C473E">
        <w:t>BHP Group Limited</w:t>
      </w:r>
      <w:r>
        <w:t xml:space="preserve"> may become more relevant than ever for managing emissions and may become a strategic priority for optimal operation instead of just a commitment.</w:t>
      </w:r>
      <w:r w:rsidR="00371A50">
        <w:t xml:space="preserve"> </w:t>
      </w:r>
      <w:r>
        <w:t xml:space="preserve">There is added complexity with international regulation. The EU's Carbon Border Adjustment Mechanism will go into its final phase in 2026 and will apply to specific emissions-intensive products, such as iron and steel, </w:t>
      </w:r>
      <w:proofErr w:type="spellStart"/>
      <w:r>
        <w:t>aluminium</w:t>
      </w:r>
      <w:proofErr w:type="spellEnd"/>
      <w:r>
        <w:t xml:space="preserve"> and </w:t>
      </w:r>
      <w:proofErr w:type="spellStart"/>
      <w:r>
        <w:t>fertilisers</w:t>
      </w:r>
      <w:proofErr w:type="spellEnd"/>
      <w:r>
        <w:t xml:space="preserve"> (European Commission – EU, 2026). </w:t>
      </w:r>
      <w:r w:rsidR="00371A50" w:rsidRPr="00371A50">
        <w:t>The legal and political pressures impact BHP's marketing environment, in terms of affecting operational costs, investment decisions and compliance with environmental regulations.</w:t>
      </w:r>
      <w:r w:rsidR="00371A50">
        <w:t xml:space="preserve"> </w:t>
      </w:r>
      <w:r w:rsidR="00371A50" w:rsidRPr="00371A50">
        <w:t xml:space="preserve">Australia's Safeguard Mechanism is a </w:t>
      </w:r>
      <w:r w:rsidR="00371A50" w:rsidRPr="00371A50">
        <w:lastRenderedPageBreak/>
        <w:t xml:space="preserve">framework that involves setting progressively lower baselines for covered industrial facilities to adhere to by reducing emissions, thus </w:t>
      </w:r>
      <w:proofErr w:type="spellStart"/>
      <w:r w:rsidR="00371A50" w:rsidRPr="00371A50">
        <w:t>incentivising</w:t>
      </w:r>
      <w:proofErr w:type="spellEnd"/>
      <w:r w:rsidR="00371A50" w:rsidRPr="00371A50">
        <w:t xml:space="preserve"> investment in lower-emission technologies (DCCEEW, 2026). Likewise, the Carbon Border Adjustment Mechanism of the European Union will apply carbon elements to certain imports, which may impact cross-border industrial value chains (European Commission, 2026). These new rules provide BHP</w:t>
      </w:r>
      <w:r w:rsidR="00A102AA">
        <w:t xml:space="preserve"> </w:t>
      </w:r>
      <w:r w:rsidR="00A102AA" w:rsidRPr="00A102AA">
        <w:t xml:space="preserve">Group Limited </w:t>
      </w:r>
      <w:r w:rsidR="00371A50" w:rsidRPr="00371A50">
        <w:t xml:space="preserve">with even greater opportunities to enhance its environmental positioning through greater compliance and transparency of emissions. </w:t>
      </w:r>
    </w:p>
    <w:p w14:paraId="30E6C2D4" w14:textId="7ECAB6A4" w:rsidR="002F4816" w:rsidRDefault="007C352E">
      <w:pPr>
        <w:pStyle w:val="Heading2"/>
      </w:pPr>
      <w:bookmarkStart w:id="23" w:name="_va5kvtg2p9oi" w:colFirst="0" w:colLast="0"/>
      <w:bookmarkStart w:id="24" w:name="_Toc242789497"/>
      <w:bookmarkEnd w:id="23"/>
      <w:r>
        <w:t>1.4 Actor 3:</w:t>
      </w:r>
      <w:bookmarkEnd w:id="24"/>
      <w:r w:rsidR="00F449F8">
        <w:t xml:space="preserve"> </w:t>
      </w:r>
      <w:r w:rsidR="00F449F8" w:rsidRPr="00F449F8">
        <w:t>Technology and Innovation</w:t>
      </w:r>
    </w:p>
    <w:p w14:paraId="3AA4A017" w14:textId="1CE1B167" w:rsidR="00371A50" w:rsidRDefault="00371A50" w:rsidP="00371A50">
      <w:r>
        <w:t>Technology also affects BHP's marketing environment because innovation can enhance the efficiency of operations, minimize the environmental impacts and help BHP</w:t>
      </w:r>
      <w:r w:rsidR="00124413">
        <w:t xml:space="preserve"> </w:t>
      </w:r>
      <w:r w:rsidR="00124413" w:rsidRPr="00124413">
        <w:t>Group Limited</w:t>
      </w:r>
      <w:r>
        <w:t xml:space="preserve"> become more competitive. Renewable electricity and electrifying mining equipment, energy efficiency in processing, emissions monitoring could help BHP lower production costs, and enhance environmental performance</w:t>
      </w:r>
      <w:r w:rsidR="00B65600">
        <w:t xml:space="preserve"> (Roemer </w:t>
      </w:r>
      <w:r w:rsidR="00B65600">
        <w:rPr>
          <w:i/>
          <w:iCs/>
        </w:rPr>
        <w:t>et al.</w:t>
      </w:r>
      <w:r w:rsidR="00B65600">
        <w:t xml:space="preserve"> 2026)</w:t>
      </w:r>
      <w:r>
        <w:t xml:space="preserve">. BHP's climate strategy </w:t>
      </w:r>
      <w:proofErr w:type="spellStart"/>
      <w:r>
        <w:t>emphasises</w:t>
      </w:r>
      <w:proofErr w:type="spellEnd"/>
      <w:r>
        <w:t xml:space="preserve"> the need to collaborate with its customers and suppliers to facilitate </w:t>
      </w:r>
      <w:proofErr w:type="spellStart"/>
      <w:r>
        <w:t>decarbonisation</w:t>
      </w:r>
      <w:proofErr w:type="spellEnd"/>
      <w:r>
        <w:t>, illustrating how technological innovation can help to promote broader supply-chain benefits (BHP, 2024). But new technology doesn't always provide a competitive advantage. Technical performance is uncertain and implementation delays, high capital costs can restrict benefits, especially in an environment of variable commodity prices and the need to allocate funds wisely</w:t>
      </w:r>
      <w:r w:rsidR="006928F7">
        <w:t xml:space="preserve"> (Lai, 2025)</w:t>
      </w:r>
      <w:r>
        <w:t>.</w:t>
      </w:r>
    </w:p>
    <w:p w14:paraId="0869D72B" w14:textId="232499B6" w:rsidR="00F449F8" w:rsidRPr="00F449F8" w:rsidRDefault="00371A50" w:rsidP="00371A50">
      <w:r>
        <w:t>There is an opportunity for BHP</w:t>
      </w:r>
      <w:r w:rsidR="00124413">
        <w:t xml:space="preserve"> </w:t>
      </w:r>
      <w:r w:rsidR="00124413" w:rsidRPr="00124413">
        <w:t>Group Limited</w:t>
      </w:r>
      <w:r>
        <w:t xml:space="preserve"> to stand out with technologies for cleaner production, digital monitoring systems and transparent environmental data. These technologies could help to increase the efficiency of the resources used, increase the quality of the emissions reporting and provide customers with a better understanding of the environmental performance of the resources supplied. Investment in technological development could also help product development by enhancing the existing commodities without having to venture into new markets</w:t>
      </w:r>
      <w:r w:rsidR="00A92B2E">
        <w:t xml:space="preserve"> (</w:t>
      </w:r>
      <w:r w:rsidR="00A92B2E" w:rsidRPr="00A92B2E">
        <w:t>Bouguerra</w:t>
      </w:r>
      <w:r w:rsidR="00A92B2E">
        <w:t xml:space="preserve"> </w:t>
      </w:r>
      <w:r w:rsidR="00A92B2E">
        <w:rPr>
          <w:i/>
          <w:iCs/>
        </w:rPr>
        <w:t>et al.</w:t>
      </w:r>
      <w:r w:rsidR="00A92B2E">
        <w:t xml:space="preserve"> 2023)</w:t>
      </w:r>
      <w:r>
        <w:t xml:space="preserve">. The benefits, however, are dependent on the commercial viability, measurable environmental gains and implementation success. If a number of competitors use similar technologies, BHP could lose its edge, and if their technology fails or the costs are higher, then it will impact profitability. </w:t>
      </w:r>
    </w:p>
    <w:p w14:paraId="5262FB27" w14:textId="77777777" w:rsidR="002F4816" w:rsidRDefault="007C352E">
      <w:pPr>
        <w:pStyle w:val="Heading2"/>
      </w:pPr>
      <w:bookmarkStart w:id="25" w:name="_c5cqfoqt7e6m" w:colFirst="0" w:colLast="0"/>
      <w:bookmarkStart w:id="26" w:name="_Toc242789498"/>
      <w:bookmarkEnd w:id="25"/>
      <w:r>
        <w:lastRenderedPageBreak/>
        <w:t>1.5 Integrated Evaluation of the Three Actors</w:t>
      </w:r>
      <w:bookmarkEnd w:id="26"/>
    </w:p>
    <w:p w14:paraId="3A49EC3F" w14:textId="77777777" w:rsidR="002F4816" w:rsidRDefault="007C352E">
      <w:r>
        <w:t xml:space="preserve">Pressure from the natural environment, further strengthening of the incentive regime through regulation and the influence of industrial customers on the commercial value of cleaner technologies all contribute to cleaner production (Habib </w:t>
      </w:r>
      <w:r>
        <w:rPr>
          <w:i/>
          <w:iCs/>
        </w:rPr>
        <w:t>et al.</w:t>
      </w:r>
      <w:r>
        <w:t xml:space="preserve"> 2022). BHP's key opportunity is the prospect of being differentiated in a credible way on the basis of its environment; its biggest challenge is making measurable progress while not compromising its competitiveness.</w:t>
      </w:r>
    </w:p>
    <w:p w14:paraId="40F90800" w14:textId="77777777" w:rsidR="002F4816" w:rsidRDefault="007C352E">
      <w:pPr>
        <w:pStyle w:val="Heading1"/>
      </w:pPr>
      <w:bookmarkStart w:id="27" w:name="_68x9ygb22w9c" w:colFirst="0" w:colLast="0"/>
      <w:bookmarkStart w:id="28" w:name="_Toc242789499"/>
      <w:bookmarkEnd w:id="27"/>
      <w:r>
        <w:t>Task 2: Strategic Growth and Competitive Positioning</w:t>
      </w:r>
      <w:bookmarkEnd w:id="28"/>
    </w:p>
    <w:p w14:paraId="2CB4BD0C" w14:textId="77777777" w:rsidR="002F4816" w:rsidRDefault="007C352E">
      <w:pPr>
        <w:pStyle w:val="Heading2"/>
      </w:pPr>
      <w:bookmarkStart w:id="29" w:name="_clvnafcu1nh7" w:colFirst="0" w:colLast="0"/>
      <w:bookmarkStart w:id="30" w:name="_Toc242789500"/>
      <w:bookmarkEnd w:id="29"/>
      <w:r>
        <w:t>2.1 Application of the Ansoff Matrix</w:t>
      </w:r>
      <w:bookmarkEnd w:id="30"/>
    </w:p>
    <w:p w14:paraId="50F89893" w14:textId="29F93564" w:rsidR="00013402" w:rsidRPr="00013402" w:rsidRDefault="00013402" w:rsidP="00013402">
      <w:pPr>
        <w:jc w:val="center"/>
        <w:rPr>
          <w:b/>
          <w:bCs/>
        </w:rPr>
      </w:pPr>
      <w:r>
        <w:rPr>
          <w:b/>
          <w:bCs/>
        </w:rPr>
        <w:t>Figure 2: Ansoff Matrix</w:t>
      </w:r>
    </w:p>
    <w:p w14:paraId="2CC52F0E" w14:textId="77777777" w:rsidR="002F4816" w:rsidRDefault="007C352E">
      <w:pPr>
        <w:jc w:val="center"/>
      </w:pPr>
      <w:r>
        <w:rPr>
          <w:noProof/>
          <w:lang w:eastAsia="en-US"/>
        </w:rPr>
        <w:drawing>
          <wp:inline distT="114300" distB="114300" distL="114300" distR="114300" wp14:anchorId="7B3A598B" wp14:editId="088A1390">
            <wp:extent cx="3533775" cy="2527139"/>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l="20673" t="14164" r="19952" b="4791"/>
                    <a:stretch>
                      <a:fillRect/>
                    </a:stretch>
                  </pic:blipFill>
                  <pic:spPr>
                    <a:xfrm>
                      <a:off x="0" y="0"/>
                      <a:ext cx="3533775" cy="2527139"/>
                    </a:xfrm>
                    <a:prstGeom prst="rect">
                      <a:avLst/>
                    </a:prstGeom>
                    <a:ln/>
                  </pic:spPr>
                </pic:pic>
              </a:graphicData>
            </a:graphic>
          </wp:inline>
        </w:drawing>
      </w:r>
    </w:p>
    <w:p w14:paraId="7245EFD2" w14:textId="77777777" w:rsidR="002F4816" w:rsidRDefault="007C352E">
      <w:pPr>
        <w:jc w:val="center"/>
      </w:pPr>
      <w:r>
        <w:t>(Source: Maris &amp; Maris, 2019)</w:t>
      </w:r>
    </w:p>
    <w:p w14:paraId="000E389D" w14:textId="77777777" w:rsidR="002F4816" w:rsidRDefault="007C352E">
      <w:r>
        <w:t xml:space="preserve">The Ansoff Matrix identifies four types of growth strategies: Market Penetration, Market Development, Product Development and Diversification. At BHP Group, market penetration would potentially involve growing the sales of existing commodities with existing industrial customers, but without growth being limited by competition or lack of customer demand to switch. Market development may include providing current resources to a new market segment, such as developing industrial markets in geopolitically uncertain countries with an interest in electrification and the development of renewable energy infrastructure (Azer and Ibrahim, 2026). Product development can be used to help improve the existing products </w:t>
      </w:r>
      <w:r>
        <w:lastRenderedPageBreak/>
        <w:t>available to the customer by taking a cleaner production approach and strengthening environmental traceability and customer collaboration.</w:t>
      </w:r>
    </w:p>
    <w:p w14:paraId="03C613FB" w14:textId="53800413" w:rsidR="00155C21" w:rsidRPr="00155C21" w:rsidRDefault="00155C21" w:rsidP="00155C21">
      <w:pPr>
        <w:jc w:val="center"/>
        <w:rPr>
          <w:b/>
        </w:rPr>
      </w:pPr>
      <w:r w:rsidRPr="002138E0">
        <w:rPr>
          <w:b/>
        </w:rPr>
        <w:t>Figure 3: Final Ansoff Matrix</w:t>
      </w:r>
    </w:p>
    <w:p w14:paraId="3C9E931C" w14:textId="77777777" w:rsidR="002138E0" w:rsidRDefault="009576C5" w:rsidP="002138E0">
      <w:pPr>
        <w:jc w:val="center"/>
      </w:pPr>
      <w:r>
        <w:rPr>
          <w:noProof/>
          <w:lang w:eastAsia="en-US"/>
        </w:rPr>
        <w:drawing>
          <wp:inline distT="0" distB="0" distL="0" distR="0" wp14:anchorId="341D1FF4" wp14:editId="5C5FA6A9">
            <wp:extent cx="3236080" cy="2957417"/>
            <wp:effectExtent l="19050" t="0" r="2420" b="0"/>
            <wp:docPr id="5" name="Picture 4" descr="BHP Group Ansoff Matrix Infographi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HP Group Ansoff Matrix Infographic.png"/>
                    <pic:cNvPicPr/>
                  </pic:nvPicPr>
                  <pic:blipFill>
                    <a:blip r:embed="rId10" cstate="print"/>
                    <a:stretch>
                      <a:fillRect/>
                    </a:stretch>
                  </pic:blipFill>
                  <pic:spPr>
                    <a:xfrm>
                      <a:off x="0" y="0"/>
                      <a:ext cx="3235324" cy="2956726"/>
                    </a:xfrm>
                    <a:prstGeom prst="rect">
                      <a:avLst/>
                    </a:prstGeom>
                  </pic:spPr>
                </pic:pic>
              </a:graphicData>
            </a:graphic>
          </wp:inline>
        </w:drawing>
      </w:r>
    </w:p>
    <w:p w14:paraId="5170A97E" w14:textId="78EB7153" w:rsidR="002138E0" w:rsidRDefault="002138E0" w:rsidP="002138E0">
      <w:pPr>
        <w:jc w:val="center"/>
      </w:pPr>
      <w:r>
        <w:t>(Source: Self</w:t>
      </w:r>
      <w:r w:rsidR="00155C21">
        <w:t>-</w:t>
      </w:r>
      <w:r>
        <w:t>created)</w:t>
      </w:r>
    </w:p>
    <w:p w14:paraId="6A231A3E" w14:textId="77777777" w:rsidR="002F4816" w:rsidRDefault="007C352E">
      <w:pPr>
        <w:pStyle w:val="Heading2"/>
      </w:pPr>
      <w:bookmarkStart w:id="31" w:name="_regiwtrljxpi" w:colFirst="0" w:colLast="0"/>
      <w:bookmarkStart w:id="32" w:name="_Toc242789501"/>
      <w:bookmarkEnd w:id="31"/>
      <w:r>
        <w:t>2.2 Recommended Growth Strategy: Product Development</w:t>
      </w:r>
      <w:bookmarkEnd w:id="32"/>
    </w:p>
    <w:p w14:paraId="5FB2A3B3" w14:textId="77777777" w:rsidR="002F4816" w:rsidRDefault="007C352E">
      <w:r>
        <w:t>The key strategy for BHP's growth should be product development, as this allows the firm to enhance its current resources and meet growing customer sustainability demands. BHP could increase its environmental performance and traceability of its mineral products, including copper and iron ore, which are used in electrification and renewable energy infrastructure, and in the steel industry, without entering new industries (The Guardian, 2026).</w:t>
      </w:r>
    </w:p>
    <w:p w14:paraId="633EE86F" w14:textId="77777777" w:rsidR="002F4816" w:rsidRDefault="007C352E">
      <w:r>
        <w:t xml:space="preserve">Commercially viable technologies, such as renewable electricity, electrification of mining equipment, energy efficiency and lower-emission processing, should be </w:t>
      </w:r>
      <w:proofErr w:type="spellStart"/>
      <w:r>
        <w:t>prioritised</w:t>
      </w:r>
      <w:proofErr w:type="spellEnd"/>
      <w:r>
        <w:t xml:space="preserve"> by BHP. It could be a means for customers to verify information related to product emissions independently and can work with steel manufacturers and other industrial customers to explore and identify viable </w:t>
      </w:r>
      <w:proofErr w:type="spellStart"/>
      <w:r>
        <w:t>decarbonisation</w:t>
      </w:r>
      <w:proofErr w:type="spellEnd"/>
      <w:r>
        <w:t xml:space="preserve"> opportunities (The Guardian, 2026). Differentiation would then stem from the quality of the resources, their sustainable supply, the environment and credible information, not just the messaging of sustainability.</w:t>
      </w:r>
    </w:p>
    <w:p w14:paraId="7F67E56E" w14:textId="77777777" w:rsidR="002F4816" w:rsidRDefault="007C352E">
      <w:r>
        <w:lastRenderedPageBreak/>
        <w:t xml:space="preserve">However, product development requires substantial capital investment, and the technology may not work as expected and can be a lengthy process to implement (Chiu </w:t>
      </w:r>
      <w:r>
        <w:rPr>
          <w:i/>
          <w:iCs/>
        </w:rPr>
        <w:t>et al.</w:t>
      </w:r>
      <w:r>
        <w:t xml:space="preserve"> 2022). In addition, the production of lower carbon does not necessarily mean having a premium. Before BHP commits to further initiatives at the customer level, it should determine the willingness of the customers to pay and the expected ROI.</w:t>
      </w:r>
    </w:p>
    <w:p w14:paraId="4FD99782" w14:textId="77777777" w:rsidR="002F4816" w:rsidRDefault="007C352E">
      <w:r>
        <w:t xml:space="preserve">Product development is better than market development since it enhances the value proposition within the existing market segments, instead of depending on expansion in geographical markets primarily. </w:t>
      </w:r>
    </w:p>
    <w:p w14:paraId="69963B74" w14:textId="77777777" w:rsidR="002F4816" w:rsidRDefault="007C352E">
      <w:pPr>
        <w:pStyle w:val="Heading2"/>
      </w:pPr>
      <w:bookmarkStart w:id="33" w:name="_m1w8707wte9m" w:colFirst="0" w:colLast="0"/>
      <w:bookmarkStart w:id="34" w:name="_Toc242789502"/>
      <w:bookmarkEnd w:id="33"/>
      <w:r>
        <w:t>2.3 Competitive Advantage Using Porter’s Generic Strategies</w:t>
      </w:r>
      <w:bookmarkEnd w:id="34"/>
    </w:p>
    <w:p w14:paraId="4373BA31" w14:textId="77777777" w:rsidR="002F4816" w:rsidRDefault="007C352E">
      <w:r>
        <w:t>The best competitive strategy for BHP is differentiation – competing with just a price war is a strategy that will expose the company to commodity market volatility and to lower-cost producers. BHP can translate this through consistent product quality, reliability and deliveries, responsible operational practices and strong industrial customer relationships. This positioning could be reinforced by environmental performance, as the customers are increasingly taking the emissions in their supply chains into account.</w:t>
      </w:r>
    </w:p>
    <w:p w14:paraId="49BAB69A" w14:textId="77777777" w:rsidR="002F4816" w:rsidRDefault="007C352E">
      <w:r>
        <w:t xml:space="preserve">The importance of credible sustainability information lies in the need for evidence that lower-emission sourcing leads to measurable improvements, especially in the eyes of the customer. BHP has the potential to build the market case by providing emissions data that is independently verified; reporting boundaries that are clearly defined; and a clear explanation of how to calculate product-related emissions (BHP, 2026). </w:t>
      </w:r>
    </w:p>
    <w:p w14:paraId="1AFC12C1" w14:textId="77777777" w:rsidR="002F4816" w:rsidRDefault="007C352E">
      <w:r>
        <w:t xml:space="preserve">Differentiation is not necessarily a path to greater profitability, though. If other mining companies start using the same technology and environmental reporting, environmental performance could become the industry standard, and not a competitive edge. </w:t>
      </w:r>
    </w:p>
    <w:p w14:paraId="536843AA" w14:textId="77777777" w:rsidR="002F4816" w:rsidRDefault="007C352E">
      <w:r>
        <w:t xml:space="preserve">Therefore, the process of differentiation needs to be backed up by visible enhancements to the process. Reducing emissions over a long period of time and ensuring reliable delivery and strong environmental management are essential and can't be fixed with marketing communications. </w:t>
      </w:r>
    </w:p>
    <w:p w14:paraId="61F8AA85" w14:textId="77777777" w:rsidR="002F4816" w:rsidRDefault="007C352E">
      <w:pPr>
        <w:pStyle w:val="Heading2"/>
      </w:pPr>
      <w:bookmarkStart w:id="35" w:name="_9xcnx39waqxp" w:colFirst="0" w:colLast="0"/>
      <w:bookmarkStart w:id="36" w:name="_Toc242789503"/>
      <w:bookmarkEnd w:id="35"/>
      <w:r>
        <w:lastRenderedPageBreak/>
        <w:t>2.4 Implementation, Risks and Performance Measurement</w:t>
      </w:r>
      <w:bookmarkEnd w:id="36"/>
    </w:p>
    <w:p w14:paraId="1BB2A163" w14:textId="77777777" w:rsidR="002F4816" w:rsidRDefault="007C352E">
      <w:r>
        <w:t>BHP needs to make investments based on a phased investment plan for product development. First, it needs to evaluate cleaner technologies in terms of capital costs, technical feasibility, the potential emissions reductions, and projected returns. The company could test the performance at selected operations and only make a significant investment in its wider rollout if it deemed success to be high. Working with current industrial users should develop insights into the environmental improvements that affect customer purchase and whether customers would be willing to accept a longer-term contract or price (</w:t>
      </w:r>
      <w:proofErr w:type="spellStart"/>
      <w:r>
        <w:t>Gonghang</w:t>
      </w:r>
      <w:proofErr w:type="spellEnd"/>
      <w:r>
        <w:t xml:space="preserve"> </w:t>
      </w:r>
      <w:r>
        <w:rPr>
          <w:i/>
          <w:iCs/>
        </w:rPr>
        <w:t>et al.</w:t>
      </w:r>
      <w:r>
        <w:t xml:space="preserve"> 2024). Environmental communications should include information on the extent, methodology and limits of the emission data, and where applicable, an independent verification. </w:t>
      </w:r>
    </w:p>
    <w:p w14:paraId="2EE60A1D" w14:textId="77777777" w:rsidR="002F4816" w:rsidRDefault="007C352E">
      <w:r>
        <w:t>A balanced set of indicators should be used to measure performance: percentage of lower carbon product sales growth, customer retention, emissions intensity per unit sold or produced, capital expenditure vs budget and investment return. Technology failure, cost overruns, lack of customer demand and the appearance of similar products by competitors are key risks. Therefore, BHP should set itself targets and measure its successes against financial and environmental benchmarks and only expand those that are proven to be commercial.</w:t>
      </w:r>
    </w:p>
    <w:p w14:paraId="4A1EC863" w14:textId="77777777" w:rsidR="002F4816" w:rsidRDefault="007C352E">
      <w:pPr>
        <w:pStyle w:val="Heading1"/>
      </w:pPr>
      <w:bookmarkStart w:id="37" w:name="_5c3872qti11v" w:colFirst="0" w:colLast="0"/>
      <w:bookmarkStart w:id="38" w:name="_Toc242789504"/>
      <w:bookmarkEnd w:id="37"/>
      <w:r>
        <w:t>Task 3: Managerial and Professional Reflection</w:t>
      </w:r>
      <w:bookmarkEnd w:id="38"/>
    </w:p>
    <w:p w14:paraId="19FA4D3E" w14:textId="77777777" w:rsidR="002F4816" w:rsidRDefault="007C352E">
      <w:pPr>
        <w:pStyle w:val="Heading2"/>
      </w:pPr>
      <w:bookmarkStart w:id="39" w:name="_p2zqslw9yudu" w:colFirst="0" w:colLast="0"/>
      <w:bookmarkStart w:id="40" w:name="_Toc242789505"/>
      <w:bookmarkEnd w:id="39"/>
      <w:r>
        <w:t>3.1 Rationale for Company and Actor Selection</w:t>
      </w:r>
      <w:bookmarkEnd w:id="40"/>
    </w:p>
    <w:p w14:paraId="3271FDBE" w14:textId="77777777" w:rsidR="002F4816" w:rsidRDefault="007C352E">
      <w:r>
        <w:t xml:space="preserve">BHP was chosen because it is significantly affected by the pressures of nature, regulation and evolving preferences of industrial customers. The focus was given to the natural environment, since the extraction of resources has an impact on the environment, and at the same time, the transition to energy will add demand for some of the minerals. But if BHP is to be able to do that, it will be reliant on the ability to limit its impact on the environment without sacrificing the efficiencies it brings to the company. Emissions regulation was added because the costs of compliance can be affected by regulation, the value of investing in environmental improvement can be affected by regulation, and the benefits of environmental improvement can be affected by regulation (Shi </w:t>
      </w:r>
      <w:r>
        <w:rPr>
          <w:i/>
          <w:iCs/>
        </w:rPr>
        <w:t>et al.</w:t>
      </w:r>
      <w:r>
        <w:t xml:space="preserve"> 2024). </w:t>
      </w:r>
    </w:p>
    <w:p w14:paraId="5A204108" w14:textId="77777777" w:rsidR="002F4816" w:rsidRDefault="007C352E">
      <w:pPr>
        <w:pStyle w:val="Heading2"/>
      </w:pPr>
      <w:bookmarkStart w:id="41" w:name="_r45b19lhq24u" w:colFirst="0" w:colLast="0"/>
      <w:bookmarkStart w:id="42" w:name="_Toc242789506"/>
      <w:bookmarkEnd w:id="41"/>
      <w:r>
        <w:lastRenderedPageBreak/>
        <w:t>3.2 Reflection on Strategic Decisions and Managerial Judgement</w:t>
      </w:r>
      <w:bookmarkEnd w:id="42"/>
    </w:p>
    <w:p w14:paraId="226BB609" w14:textId="77777777" w:rsidR="002F4816" w:rsidRDefault="007C352E">
      <w:r>
        <w:t>The recommendation was product development, given the need to strengthen BHP's value proposition through better environmental performance and traceability of existing commodities, without immediately entering new, unknown markets. This decision isn't without risk, though, between differentiating for the long run and being exposed to the market for the short run. Cleaner technologies could reduce emissions and strengthen customer relationships but may require high capital expenditures, create implementation delays, and introduce uncertainty about the return on investment, which could compromise profitability. The recommendation is also based on the uncertainty of customer demand: industrial customers may prefer materials with lower emissions, but will not agree to pay more if the price and supply reliability of a material are more important to them in the purchasing decision.</w:t>
      </w:r>
    </w:p>
    <w:p w14:paraId="193340DA" w14:textId="77777777" w:rsidR="002F4816" w:rsidRDefault="007C352E">
      <w:r>
        <w:t>Another drawback is the use of secondary data, especially corporate sustainability reporting, which could focus more on the commitments made rather than the actual results being achieved. Regulatory documents are valuable sources of information on the requirements facing customers, but published information will not capture the intent of customers to purchase a new technology and its commercial success.</w:t>
      </w:r>
    </w:p>
    <w:p w14:paraId="5E4BACE8" w14:textId="77777777" w:rsidR="002F4816" w:rsidRDefault="007C352E">
      <w:pPr>
        <w:pStyle w:val="Heading2"/>
      </w:pPr>
      <w:bookmarkStart w:id="43" w:name="_fzdqaxd98daq" w:colFirst="0" w:colLast="0"/>
      <w:bookmarkStart w:id="44" w:name="_Toc242789507"/>
      <w:bookmarkEnd w:id="43"/>
      <w:r>
        <w:t>3.3 Further Information and Professional Recommendations</w:t>
      </w:r>
      <w:bookmarkEnd w:id="44"/>
    </w:p>
    <w:p w14:paraId="18352596" w14:textId="77777777" w:rsidR="002F4816" w:rsidRDefault="007C352E">
      <w:r>
        <w:t>BHP should interview existing industrial customers and carry out willingness-to-pay research to determine which environmental attributes have an impact on the purchasing decision prior to significantly investing in capital. Emissions intensity, product quality, delivery reliability, pricing and sustainability verification are areas to consider for competitor benchmarking, as they will help identify if proposed improvements provide meaningful differentiation.</w:t>
      </w:r>
    </w:p>
    <w:p w14:paraId="49EFB525" w14:textId="77777777" w:rsidR="002F4816" w:rsidRDefault="007C352E">
      <w:r>
        <w:t xml:space="preserve">Senior leadership is expected to make a financial appraisal that includes net present value, payback period, implementation cost and sensitivity analysis. Alternative assumptions of the commodity prices, carbon regulation, technology performance and customer demand should be used in scenario analysis. </w:t>
      </w:r>
    </w:p>
    <w:p w14:paraId="0C053B7D" w14:textId="77777777" w:rsidR="002F4816" w:rsidRDefault="007C352E">
      <w:pPr>
        <w:pStyle w:val="Heading1"/>
      </w:pPr>
      <w:bookmarkStart w:id="45" w:name="_vdrke7u1hccr" w:colFirst="0" w:colLast="0"/>
      <w:bookmarkStart w:id="46" w:name="_Toc242789508"/>
      <w:bookmarkEnd w:id="45"/>
      <w:r>
        <w:lastRenderedPageBreak/>
        <w:t>Conclusion</w:t>
      </w:r>
      <w:bookmarkEnd w:id="46"/>
    </w:p>
    <w:p>
      <w:pPr>
        <w:spacing w:line="360" w:lineRule="auto"/>
        <w:jc w:val="both"/>
      </w:pPr>
      <w:r>
        <w:rPr>
          <w:rFonts w:ascii="Calibri" w:hAnsi="Calibri" w:eastAsia="Calibri" w:cs="Calibri"/>
          <w:color w:val="000000"/>
          <w:sz w:val="24"/>
          <w:szCs w:val="24"/>
          <w:lang w:val="en-US"/>
        </w:rPr>
        <w:t xml:space="preserve">BHP is increasingly exposed to pressures and tensions from customers, regulatory agencies and the environment, all of which could have a significant impact on its competitive position in the future, and the ability to respond credibly with sustainability is becoming increasingly crucial. But the success of any venture will rely on proven environmental results, proven customer need, and a sound investment opportunity that is not only cost-effective but also differentiates the product/service based on real-world performance and results and not just on marketing.</w:t>
      </w:r>
    </w:p>
    <w:p>
      <w:r>
        <w:br w:type="page"/>
      </w:r>
    </w:p>
    <w:p w14:paraId="72B1D276" w14:textId="77777777" w:rsidR="002F4816" w:rsidRDefault="007C352E">
      <w:pPr>
        <w:pStyle w:val="Heading1"/>
      </w:pPr>
      <w:bookmarkStart w:id="47" w:name="_nljvd7820snm" w:colFirst="0" w:colLast="0"/>
      <w:bookmarkStart w:id="48" w:name="_Toc242789509"/>
      <w:bookmarkEnd w:id="47"/>
      <w:r>
        <w:lastRenderedPageBreak/>
        <w:t>References</w:t>
      </w:r>
      <w:bookmarkEnd w:id="48"/>
    </w:p>
    <w:p w14:paraId="3589A7E2" w14:textId="77777777" w:rsidR="00A92B2E" w:rsidRDefault="00A92B2E" w:rsidP="00A92B2E">
      <w:pPr>
        <w:spacing w:before="200"/>
      </w:pPr>
      <w:r>
        <w:t xml:space="preserve">Azer D, and Ibrahim C, 2026.  Renewable energy and energy security under geopolitical vulnerability: New evidence from fragile regions, </w:t>
      </w:r>
      <w:r w:rsidRPr="00A92B2E">
        <w:rPr>
          <w:i/>
          <w:iCs/>
        </w:rPr>
        <w:t>Energy Policy</w:t>
      </w:r>
      <w:r>
        <w:t xml:space="preserve">, Volume 217, 115470, ISSN 0301-4215, </w:t>
      </w:r>
      <w:hyperlink r:id="rId11">
        <w:r w:rsidRPr="00A92B2E">
          <w:rPr>
            <w:color w:val="1155CC"/>
            <w:u w:val="single"/>
          </w:rPr>
          <w:t>https://doi.org/10.1016/j.enpol.2026.115470</w:t>
        </w:r>
      </w:hyperlink>
      <w:r>
        <w:t xml:space="preserve">. </w:t>
      </w:r>
    </w:p>
    <w:p w14:paraId="7CFA4FC1" w14:textId="77777777" w:rsidR="00A92B2E" w:rsidRDefault="00A92B2E" w:rsidP="00A92B2E">
      <w:pPr>
        <w:spacing w:before="200"/>
      </w:pPr>
      <w:r>
        <w:t xml:space="preserve">BHP., 2024. </w:t>
      </w:r>
      <w:r w:rsidRPr="00A92B2E">
        <w:rPr>
          <w:i/>
          <w:iCs/>
        </w:rPr>
        <w:t>BHP's Climate Transition Action Plan (CTAP) 2024.</w:t>
      </w:r>
      <w:r>
        <w:t xml:space="preserve"> [Online] Available at: </w:t>
      </w:r>
      <w:hyperlink r:id="rId12">
        <w:r w:rsidRPr="00A92B2E">
          <w:rPr>
            <w:color w:val="1155CC"/>
            <w:u w:val="single"/>
          </w:rPr>
          <w:t>https://www.bhp.com/sustainability/climate-change/climate-transition-action-plan</w:t>
        </w:r>
      </w:hyperlink>
    </w:p>
    <w:p w14:paraId="29D2AA55" w14:textId="77777777" w:rsidR="00A92B2E" w:rsidRDefault="00A92B2E" w:rsidP="00A92B2E">
      <w:pPr>
        <w:spacing w:before="200"/>
      </w:pPr>
      <w:r>
        <w:t xml:space="preserve">BHP., 2026. </w:t>
      </w:r>
      <w:r w:rsidRPr="00A92B2E">
        <w:rPr>
          <w:i/>
          <w:iCs/>
        </w:rPr>
        <w:t>Operational GHG emissions (Scopes 1 and 2 emissions from our operated assets).</w:t>
      </w:r>
      <w:r>
        <w:t xml:space="preserve"> [Online] Available at: </w:t>
      </w:r>
      <w:hyperlink r:id="rId13">
        <w:r w:rsidRPr="00A92B2E">
          <w:rPr>
            <w:color w:val="1155CC"/>
            <w:u w:val="single"/>
          </w:rPr>
          <w:t>https://www.bhp.com/sustainability/climate-change/operational-ghg-emissions</w:t>
        </w:r>
      </w:hyperlink>
    </w:p>
    <w:p w14:paraId="11DD453D" w14:textId="77777777" w:rsidR="00A92B2E" w:rsidRDefault="00A92B2E" w:rsidP="00A92B2E">
      <w:pPr>
        <w:spacing w:before="200"/>
      </w:pPr>
      <w:r w:rsidRPr="00A92B2E">
        <w:t xml:space="preserve">Bouguerra, A., </w:t>
      </w:r>
      <w:proofErr w:type="spellStart"/>
      <w:r w:rsidRPr="00A92B2E">
        <w:t>Gölgeci</w:t>
      </w:r>
      <w:proofErr w:type="spellEnd"/>
      <w:r w:rsidRPr="00A92B2E">
        <w:t xml:space="preserve">, I., Gligor, D.M., Khan, Z., Arslan, A. and </w:t>
      </w:r>
      <w:proofErr w:type="spellStart"/>
      <w:r w:rsidRPr="00A92B2E">
        <w:t>Tatoglu</w:t>
      </w:r>
      <w:proofErr w:type="spellEnd"/>
      <w:r w:rsidRPr="00A92B2E">
        <w:t xml:space="preserve">, E., 2023. Strategic agility and product development in emerging markets: The role of employee resilience and self-efficacy as </w:t>
      </w:r>
      <w:proofErr w:type="spellStart"/>
      <w:r w:rsidRPr="00A92B2E">
        <w:t>microfoundations</w:t>
      </w:r>
      <w:proofErr w:type="spellEnd"/>
      <w:r w:rsidRPr="00A92B2E">
        <w:t xml:space="preserve">. </w:t>
      </w:r>
      <w:r w:rsidRPr="00A92B2E">
        <w:rPr>
          <w:i/>
          <w:iCs/>
        </w:rPr>
        <w:t>IEEE transactions on engineering management</w:t>
      </w:r>
      <w:r w:rsidRPr="00A92B2E">
        <w:t xml:space="preserve">, </w:t>
      </w:r>
      <w:r w:rsidRPr="00A92B2E">
        <w:rPr>
          <w:i/>
          <w:iCs/>
        </w:rPr>
        <w:t>71</w:t>
      </w:r>
      <w:r w:rsidRPr="00A92B2E">
        <w:t>, pp.1598-1612.</w:t>
      </w:r>
    </w:p>
    <w:p w14:paraId="70B5FE23" w14:textId="77777777" w:rsidR="00A92B2E" w:rsidRDefault="00A92B2E" w:rsidP="00A92B2E">
      <w:pPr>
        <w:spacing w:before="200"/>
      </w:pPr>
      <w:r>
        <w:t xml:space="preserve">BW Online Bureau., 2026. </w:t>
      </w:r>
      <w:r w:rsidRPr="00A92B2E">
        <w:rPr>
          <w:i/>
          <w:iCs/>
        </w:rPr>
        <w:t xml:space="preserve">Institutional Partnerships Expand </w:t>
      </w:r>
      <w:proofErr w:type="gramStart"/>
      <w:r w:rsidRPr="00A92B2E">
        <w:rPr>
          <w:i/>
          <w:iCs/>
        </w:rPr>
        <w:t>In</w:t>
      </w:r>
      <w:proofErr w:type="gramEnd"/>
      <w:r w:rsidRPr="00A92B2E">
        <w:rPr>
          <w:i/>
          <w:iCs/>
        </w:rPr>
        <w:t xml:space="preserve"> Critical Minerals Research Space.</w:t>
      </w:r>
      <w:r>
        <w:t xml:space="preserve"> [Online] Available at: </w:t>
      </w:r>
      <w:hyperlink r:id="rId14">
        <w:r w:rsidRPr="00A92B2E">
          <w:rPr>
            <w:color w:val="1155CC"/>
            <w:u w:val="single"/>
          </w:rPr>
          <w:t>https://www.bweducation.com/article/institutional-partnerships-expand-in-critical-minerals-research-space-601292</w:t>
        </w:r>
      </w:hyperlink>
    </w:p>
    <w:p w14:paraId="10E381C6" w14:textId="77777777" w:rsidR="00A92B2E" w:rsidRDefault="00A92B2E" w:rsidP="00A92B2E">
      <w:pPr>
        <w:spacing w:before="200"/>
      </w:pPr>
      <w:r>
        <w:t xml:space="preserve">Chiu, Y.-J., Hu, Y.-C., Yao, C.-Y., &amp; Yeh, C.-H. (2022). Identifying Key Risk Factors in Product Development Projects. </w:t>
      </w:r>
      <w:r w:rsidRPr="00A92B2E">
        <w:rPr>
          <w:i/>
          <w:iCs/>
        </w:rPr>
        <w:t>Mathematics</w:t>
      </w:r>
      <w:r>
        <w:t xml:space="preserve">, </w:t>
      </w:r>
      <w:r w:rsidRPr="00A92B2E">
        <w:rPr>
          <w:i/>
          <w:iCs/>
        </w:rPr>
        <w:t>10</w:t>
      </w:r>
      <w:r>
        <w:t xml:space="preserve">(8), 1295. </w:t>
      </w:r>
      <w:hyperlink r:id="rId15">
        <w:r w:rsidRPr="00A92B2E">
          <w:rPr>
            <w:color w:val="1155CC"/>
            <w:u w:val="single"/>
          </w:rPr>
          <w:t>https://doi.org/10.3390/math10081295</w:t>
        </w:r>
      </w:hyperlink>
    </w:p>
    <w:p w14:paraId="02F6428E" w14:textId="77777777" w:rsidR="00A92B2E" w:rsidRDefault="00A92B2E" w:rsidP="00A92B2E">
      <w:pPr>
        <w:spacing w:before="200"/>
      </w:pPr>
      <w:r>
        <w:t xml:space="preserve">DCCEEW., 2026. </w:t>
      </w:r>
      <w:r w:rsidRPr="00A92B2E">
        <w:rPr>
          <w:i/>
          <w:iCs/>
        </w:rPr>
        <w:t>Safeguard Mechanism.</w:t>
      </w:r>
      <w:r>
        <w:t xml:space="preserve"> [Online] Available at: </w:t>
      </w:r>
      <w:hyperlink r:id="rId16">
        <w:r w:rsidRPr="00A92B2E">
          <w:rPr>
            <w:color w:val="1155CC"/>
            <w:u w:val="single"/>
          </w:rPr>
          <w:t>https://www.dcceew.gov.au/climate-change/emissions-reporting/national-greenhouse-energy-reporting-scheme/safeguard-mechanism</w:t>
        </w:r>
      </w:hyperlink>
    </w:p>
    <w:p w14:paraId="3C63E8D9" w14:textId="77777777" w:rsidR="00A92B2E" w:rsidRDefault="00A92B2E" w:rsidP="00A92B2E">
      <w:pPr>
        <w:spacing w:before="200"/>
      </w:pPr>
      <w:r>
        <w:t xml:space="preserve">European Commission – EU, 2026. </w:t>
      </w:r>
      <w:r w:rsidRPr="00A92B2E">
        <w:rPr>
          <w:i/>
          <w:iCs/>
        </w:rPr>
        <w:t>Carbon Border Adjustment Mechanism (CBAM).</w:t>
      </w:r>
      <w:r>
        <w:t xml:space="preserve"> [Online] Available at: </w:t>
      </w:r>
      <w:hyperlink r:id="rId17">
        <w:r w:rsidRPr="00A92B2E">
          <w:rPr>
            <w:color w:val="1155CC"/>
            <w:u w:val="single"/>
          </w:rPr>
          <w:t>https://taxation-customs.ec.europa.eu/carbon-border-adjustment-mechanism_en</w:t>
        </w:r>
      </w:hyperlink>
    </w:p>
    <w:p w14:paraId="5FE8AD91" w14:textId="77777777" w:rsidR="00A92B2E" w:rsidRDefault="00A92B2E" w:rsidP="00A92B2E">
      <w:pPr>
        <w:spacing w:before="200"/>
      </w:pPr>
      <w:proofErr w:type="spellStart"/>
      <w:r>
        <w:lastRenderedPageBreak/>
        <w:t>Gonghang</w:t>
      </w:r>
      <w:proofErr w:type="spellEnd"/>
      <w:r>
        <w:t xml:space="preserve"> C, Aemon S, Muhammad F. R, Lucian B, Chi-Wei S, 2024. Green marketing horizon: Industry sustainability through marketing and innovation,</w:t>
      </w:r>
      <w:r w:rsidRPr="00A92B2E">
        <w:rPr>
          <w:i/>
          <w:iCs/>
        </w:rPr>
        <w:t xml:space="preserve"> Journal of Innovation &amp; Knowledge, Volume 9,</w:t>
      </w:r>
      <w:r>
        <w:t xml:space="preserve"> Issue 4, 100606, ISSN 2444-569X, </w:t>
      </w:r>
      <w:hyperlink r:id="rId18">
        <w:r w:rsidRPr="00A92B2E">
          <w:rPr>
            <w:color w:val="1155CC"/>
            <w:u w:val="single"/>
          </w:rPr>
          <w:t>https://doi.org/10.1016/j.jik.2024.100606</w:t>
        </w:r>
      </w:hyperlink>
      <w:r>
        <w:t xml:space="preserve">. </w:t>
      </w:r>
    </w:p>
    <w:p w14:paraId="7C577142" w14:textId="77777777" w:rsidR="00A92B2E" w:rsidRDefault="00A92B2E" w:rsidP="00A92B2E">
      <w:pPr>
        <w:spacing w:before="200"/>
      </w:pPr>
      <w:r>
        <w:t xml:space="preserve">Habib, M. A., Karim, M. R., Dulal, M., &amp; Munir, M. S. (2022). Impact of Institutional Pressure on Cleaner Production and Sustainable Firm Performance. </w:t>
      </w:r>
      <w:r w:rsidRPr="00A92B2E">
        <w:rPr>
          <w:i/>
          <w:iCs/>
        </w:rPr>
        <w:t>Sustainability</w:t>
      </w:r>
      <w:r>
        <w:t xml:space="preserve">, </w:t>
      </w:r>
      <w:r w:rsidRPr="00A92B2E">
        <w:rPr>
          <w:i/>
          <w:iCs/>
        </w:rPr>
        <w:t>14</w:t>
      </w:r>
      <w:r>
        <w:t xml:space="preserve">(24), 16748. </w:t>
      </w:r>
      <w:hyperlink r:id="rId19">
        <w:r w:rsidRPr="00A92B2E">
          <w:rPr>
            <w:color w:val="1155CC"/>
            <w:u w:val="single"/>
          </w:rPr>
          <w:t>https://doi.org/10.3390/su142416748</w:t>
        </w:r>
      </w:hyperlink>
    </w:p>
    <w:p w14:paraId="41A0EC29" w14:textId="77777777" w:rsidR="00A92B2E" w:rsidRDefault="00A92B2E" w:rsidP="00A92B2E">
      <w:pPr>
        <w:spacing w:before="200"/>
      </w:pPr>
      <w:r w:rsidRPr="006928F7">
        <w:t xml:space="preserve">Lai, L., 2025. Risk Control and Financial Analysis in Energy Industry Project Investment. </w:t>
      </w:r>
      <w:r w:rsidRPr="00A92B2E">
        <w:rPr>
          <w:i/>
          <w:iCs/>
        </w:rPr>
        <w:t>International Journal of Engineering Advances</w:t>
      </w:r>
      <w:r w:rsidRPr="006928F7">
        <w:t xml:space="preserve">, </w:t>
      </w:r>
      <w:r w:rsidRPr="00A92B2E">
        <w:rPr>
          <w:i/>
          <w:iCs/>
        </w:rPr>
        <w:t>2</w:t>
      </w:r>
      <w:r w:rsidRPr="006928F7">
        <w:t>(3), pp.21-28.</w:t>
      </w:r>
    </w:p>
    <w:p w14:paraId="5590AC0C" w14:textId="77777777" w:rsidR="00A92B2E" w:rsidRDefault="00A92B2E" w:rsidP="00A92B2E">
      <w:pPr>
        <w:spacing w:before="200"/>
      </w:pPr>
      <w:r>
        <w:t xml:space="preserve">Maris, S </w:t>
      </w:r>
      <w:proofErr w:type="gramStart"/>
      <w:r>
        <w:t>&amp; .S</w:t>
      </w:r>
      <w:proofErr w:type="gramEnd"/>
      <w:r>
        <w:t xml:space="preserve">, Maris Shinia Clarissia. (2019). A STUDY ON ANSOFF MATRIX TECHNIQUE: AS A GROWTH STRATEGY AND AN ADAPTIVE LEARNING TECHNIQUE ADOPTED IN THE LEADING BRAND OF PRODUCTS. JAC: A Journal of Composition Theory. 12. PP (1494-1506). </w:t>
      </w:r>
    </w:p>
    <w:p w14:paraId="2A252951" w14:textId="77777777" w:rsidR="00A92B2E" w:rsidRDefault="00A92B2E" w:rsidP="00A92B2E">
      <w:pPr>
        <w:spacing w:before="200"/>
      </w:pPr>
      <w:r w:rsidRPr="00B65600">
        <w:t xml:space="preserve">Roemer, J., </w:t>
      </w:r>
      <w:proofErr w:type="spellStart"/>
      <w:r w:rsidRPr="00B65600">
        <w:t>Mungyeko</w:t>
      </w:r>
      <w:proofErr w:type="spellEnd"/>
      <w:r w:rsidRPr="00B65600">
        <w:t xml:space="preserve"> </w:t>
      </w:r>
      <w:proofErr w:type="spellStart"/>
      <w:r w:rsidRPr="00B65600">
        <w:t>Bisulandu</w:t>
      </w:r>
      <w:proofErr w:type="spellEnd"/>
      <w:r w:rsidRPr="00B65600">
        <w:t xml:space="preserve">, B.J.R., Rousse, D.R., Pellerin, M., </w:t>
      </w:r>
      <w:proofErr w:type="spellStart"/>
      <w:r w:rsidRPr="00B65600">
        <w:t>Bozorg</w:t>
      </w:r>
      <w:proofErr w:type="spellEnd"/>
      <w:r w:rsidRPr="00B65600">
        <w:t xml:space="preserve">, M. and Ilinca, A., 2026. Energy consumption, decarbonization pathways, and renewable energy integration in the mining industry: A system-level review. </w:t>
      </w:r>
      <w:r w:rsidRPr="00A92B2E">
        <w:rPr>
          <w:i/>
          <w:iCs/>
        </w:rPr>
        <w:t>Energies</w:t>
      </w:r>
      <w:r w:rsidRPr="00B65600">
        <w:t xml:space="preserve">, </w:t>
      </w:r>
      <w:r w:rsidRPr="00A92B2E">
        <w:rPr>
          <w:i/>
          <w:iCs/>
        </w:rPr>
        <w:t>19</w:t>
      </w:r>
      <w:r w:rsidRPr="00B65600">
        <w:t>(8), p.1890.</w:t>
      </w:r>
    </w:p>
    <w:p w14:paraId="6EAEE3E9" w14:textId="77777777" w:rsidR="00A92B2E" w:rsidRDefault="00A92B2E" w:rsidP="00A92B2E">
      <w:pPr>
        <w:spacing w:before="200"/>
      </w:pPr>
      <w:r>
        <w:t xml:space="preserve">Shi, W., Wang, W., Tang, W., Qiao, F., Zhang, G., Pei, R., &amp; Zhang, L. (2024). How Environmental Regulation Affects Pollution Reduction and Carbon Reduction Synergies—An Empirical Analysis Based on Chinese Provincial Data. </w:t>
      </w:r>
      <w:r w:rsidRPr="00A92B2E">
        <w:rPr>
          <w:i/>
          <w:iCs/>
        </w:rPr>
        <w:t>Sustainability</w:t>
      </w:r>
      <w:r>
        <w:t xml:space="preserve">, </w:t>
      </w:r>
      <w:r w:rsidRPr="00A92B2E">
        <w:rPr>
          <w:i/>
          <w:iCs/>
        </w:rPr>
        <w:t>16</w:t>
      </w:r>
      <w:r>
        <w:t xml:space="preserve">(13), 5331. </w:t>
      </w:r>
      <w:hyperlink r:id="rId20">
        <w:r w:rsidRPr="00A92B2E">
          <w:rPr>
            <w:color w:val="1155CC"/>
            <w:u w:val="single"/>
          </w:rPr>
          <w:t>https://doi.org/10.3390/su16135331</w:t>
        </w:r>
      </w:hyperlink>
    </w:p>
    <w:p w14:paraId="466A5988" w14:textId="77777777" w:rsidR="00A92B2E" w:rsidRDefault="00A92B2E" w:rsidP="00A92B2E">
      <w:pPr>
        <w:spacing w:before="200"/>
      </w:pPr>
      <w:r>
        <w:t xml:space="preserve">The Guardian., 2026. </w:t>
      </w:r>
      <w:r w:rsidRPr="00A92B2E">
        <w:rPr>
          <w:i/>
          <w:iCs/>
        </w:rPr>
        <w:t>BHP quietly scrapped plan to build Pilbara plant that would have drastically cut emissions.</w:t>
      </w:r>
      <w:r>
        <w:t xml:space="preserve"> [</w:t>
      </w:r>
      <w:proofErr w:type="gramStart"/>
      <w:r>
        <w:t>Online]  Available</w:t>
      </w:r>
      <w:proofErr w:type="gramEnd"/>
      <w:r>
        <w:t xml:space="preserve"> at: </w:t>
      </w:r>
      <w:hyperlink r:id="rId21">
        <w:r w:rsidRPr="00A92B2E">
          <w:rPr>
            <w:color w:val="1155CC"/>
            <w:u w:val="single"/>
          </w:rPr>
          <w:t>https://www.theguardian.com/world/2026/may/25/bhp-mining-pilbara-iron-ore-plant-to-drastically-cut-emissions-scrapped</w:t>
        </w:r>
      </w:hyperlink>
    </w:p>
    <w:p w14:paraId="78F981DB" w14:textId="77777777" w:rsidR="00A92B2E" w:rsidRDefault="00A92B2E" w:rsidP="00A92B2E">
      <w:pPr>
        <w:spacing w:before="200"/>
      </w:pPr>
      <w:r>
        <w:t>Yujuan Wu, Jacquline Tham., 2023. The impact of environmental regulation, Environment, Social and Government Performance, and technological innovation on enterprise resilience under a green recovery,</w:t>
      </w:r>
      <w:r w:rsidRPr="00A92B2E">
        <w:rPr>
          <w:i/>
          <w:iCs/>
        </w:rPr>
        <w:t xml:space="preserve"> </w:t>
      </w:r>
      <w:proofErr w:type="spellStart"/>
      <w:r w:rsidRPr="00A92B2E">
        <w:rPr>
          <w:i/>
          <w:iCs/>
        </w:rPr>
        <w:t>Heliyon</w:t>
      </w:r>
      <w:proofErr w:type="spellEnd"/>
      <w:r w:rsidRPr="00A92B2E">
        <w:rPr>
          <w:i/>
          <w:iCs/>
        </w:rPr>
        <w:t xml:space="preserve">, </w:t>
      </w:r>
      <w:r>
        <w:t xml:space="preserve">Volume 9, Issue 10, 2023, e20278, ISSN 2405-8440, </w:t>
      </w:r>
      <w:hyperlink r:id="rId22">
        <w:r w:rsidRPr="00A92B2E">
          <w:rPr>
            <w:color w:val="1155CC"/>
            <w:u w:val="single"/>
          </w:rPr>
          <w:t>https://doi.org/10.1016/j.heliyon.2023.e20278</w:t>
        </w:r>
      </w:hyperlink>
      <w:r>
        <w:t xml:space="preserve">. </w:t>
      </w:r>
    </w:p>
    <w:sectPr w:rsidR="00A92B2E" w:rsidSect="009A62AF">
      <w:headerReference w:type="default" r:id="rId23"/>
      <w:footerReference w:type="defaul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A972CD" w14:textId="77777777" w:rsidR="005D2796" w:rsidRDefault="005D2796">
      <w:pPr>
        <w:spacing w:line="240" w:lineRule="auto"/>
      </w:pPr>
      <w:r>
        <w:separator/>
      </w:r>
    </w:p>
  </w:endnote>
  <w:endnote w:type="continuationSeparator" w:id="0">
    <w:p w14:paraId="7F743EBD" w14:textId="77777777" w:rsidR="005D2796" w:rsidRDefault="005D27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2D12A8D-C1E5-4FE2-8C70-111C51A9E979}"/>
    <w:embedBold r:id="rId2" w:fontKey="{027F565B-9859-4998-9C80-6BD0866F43CA}"/>
    <w:embedItalic r:id="rId3" w:fontKey="{72BF8A5F-11DA-4A3F-94A1-74B00FB5F34A}"/>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4" w:fontKey="{E4ACDD99-0C5E-4A3B-B86B-AED9C2185BC2}"/>
  </w:font>
  <w:font w:name="Cambria">
    <w:panose1 w:val="02040503050406030204"/>
    <w:charset w:val="00"/>
    <w:family w:val="roman"/>
    <w:pitch w:val="variable"/>
    <w:sig w:usb0="E00006FF" w:usb1="420024FF" w:usb2="02000000" w:usb3="00000000" w:csb0="0000019F" w:csb1="00000000"/>
    <w:embedRegular r:id="rId5" w:fontKey="{CAE8AC06-6B57-4ADD-A0F0-F8695BA807D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0533415"/>
      <w:docPartObj>
        <w:docPartGallery w:val="Page Numbers (Bottom of Page)"/>
        <w:docPartUnique/>
      </w:docPartObj>
    </w:sdtPr>
    <w:sdtEndPr>
      <w:rPr>
        <w:color w:val="7F7F7F" w:themeColor="background1" w:themeShade="7F"/>
        <w:spacing w:val="60"/>
      </w:rPr>
    </w:sdtEndPr>
    <w:sdtContent>
      <w:p w14:paraId="75C244E6" w14:textId="77777777" w:rsidR="009A62AF" w:rsidRDefault="0024096B">
        <w:pPr>
          <w:pStyle w:val="Footer"/>
          <w:pBdr>
            <w:top w:val="single" w:sz="4" w:space="1" w:color="D9D9D9" w:themeColor="background1" w:themeShade="D9"/>
          </w:pBdr>
          <w:rPr>
            <w:b/>
            <w:bCs/>
          </w:rPr>
        </w:pPr>
        <w:r>
          <w:fldChar w:fldCharType="begin"/>
        </w:r>
        <w:r w:rsidR="009A62AF">
          <w:instrText xml:space="preserve"> PAGE   \* MERGEFORMAT </w:instrText>
        </w:r>
        <w:r>
          <w:fldChar w:fldCharType="separate"/>
        </w:r>
        <w:r w:rsidR="009576C5" w:rsidRPr="009576C5">
          <w:rPr>
            <w:b/>
            <w:bCs/>
            <w:noProof/>
          </w:rPr>
          <w:t>2</w:t>
        </w:r>
        <w:r>
          <w:rPr>
            <w:b/>
            <w:bCs/>
            <w:noProof/>
          </w:rPr>
          <w:fldChar w:fldCharType="end"/>
        </w:r>
        <w:r w:rsidR="009A62AF">
          <w:rPr>
            <w:b/>
            <w:bCs/>
          </w:rPr>
          <w:t xml:space="preserve"> | </w:t>
        </w:r>
        <w:r w:rsidR="009A62AF">
          <w:rPr>
            <w:color w:val="7F7F7F" w:themeColor="background1" w:themeShade="7F"/>
            <w:spacing w:val="60"/>
          </w:rPr>
          <w:t>Page</w:t>
        </w:r>
      </w:p>
    </w:sdtContent>
  </w:sdt>
  <w:p w14:paraId="38DA2829" w14:textId="77777777" w:rsidR="009A62AF" w:rsidRDefault="009A62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542265" w14:textId="77777777" w:rsidR="005D2796" w:rsidRDefault="005D2796">
      <w:pPr>
        <w:spacing w:line="240" w:lineRule="auto"/>
      </w:pPr>
      <w:r>
        <w:separator/>
      </w:r>
    </w:p>
  </w:footnote>
  <w:footnote w:type="continuationSeparator" w:id="0">
    <w:p w14:paraId="29E1AE4B" w14:textId="77777777" w:rsidR="005D2796" w:rsidRDefault="005D279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548FBB" w14:textId="77777777" w:rsidR="002F4816" w:rsidRDefault="007C352E">
    <w:r>
      <w:rPr>
        <w:noProof/>
        <w:lang w:eastAsia="en-US"/>
      </w:rPr>
      <w:drawing>
        <wp:inline distT="114300" distB="114300" distL="114300" distR="114300" wp14:anchorId="5D7D068C" wp14:editId="20710493">
          <wp:extent cx="1519238" cy="52199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519238" cy="521994"/>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BA68C4"/>
    <w:multiLevelType w:val="hybridMultilevel"/>
    <w:tmpl w:val="0026EE6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919893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F4816"/>
    <w:rsid w:val="00013402"/>
    <w:rsid w:val="000C473E"/>
    <w:rsid w:val="00124413"/>
    <w:rsid w:val="00155C21"/>
    <w:rsid w:val="002138E0"/>
    <w:rsid w:val="00213E1C"/>
    <w:rsid w:val="0024096B"/>
    <w:rsid w:val="00281A09"/>
    <w:rsid w:val="002F4816"/>
    <w:rsid w:val="00371A50"/>
    <w:rsid w:val="003A65D3"/>
    <w:rsid w:val="004E578B"/>
    <w:rsid w:val="005D2796"/>
    <w:rsid w:val="006772FC"/>
    <w:rsid w:val="006928F7"/>
    <w:rsid w:val="007C352E"/>
    <w:rsid w:val="007C7159"/>
    <w:rsid w:val="009576C5"/>
    <w:rsid w:val="009A62AF"/>
    <w:rsid w:val="00A102AA"/>
    <w:rsid w:val="00A636A2"/>
    <w:rsid w:val="00A83234"/>
    <w:rsid w:val="00A92B2E"/>
    <w:rsid w:val="00A96ABD"/>
    <w:rsid w:val="00AD60E0"/>
    <w:rsid w:val="00B168A2"/>
    <w:rsid w:val="00B65600"/>
    <w:rsid w:val="00BE1C1C"/>
    <w:rsid w:val="00F449F8"/>
    <w:rsid w:val="00FE1737"/>
    <w:rsid w:val="00FF44C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29010"/>
  <w15:docId w15:val="{E2C3D24D-CD9E-478C-87E2-E94CFDDD02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US"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1737"/>
  </w:style>
  <w:style w:type="paragraph" w:styleId="Heading1">
    <w:name w:val="heading 1"/>
    <w:basedOn w:val="Normal"/>
    <w:next w:val="Normal"/>
    <w:uiPriority w:val="9"/>
    <w:qFormat/>
    <w:rsid w:val="00FE1737"/>
    <w:pPr>
      <w:keepNext/>
      <w:keepLines/>
      <w:outlineLvl w:val="0"/>
    </w:pPr>
    <w:rPr>
      <w:b/>
      <w:bCs/>
      <w:color w:val="073763"/>
      <w:sz w:val="28"/>
      <w:szCs w:val="28"/>
    </w:rPr>
  </w:style>
  <w:style w:type="paragraph" w:styleId="Heading2">
    <w:name w:val="heading 2"/>
    <w:basedOn w:val="Normal"/>
    <w:next w:val="Normal"/>
    <w:uiPriority w:val="9"/>
    <w:unhideWhenUsed/>
    <w:qFormat/>
    <w:rsid w:val="00FE1737"/>
    <w:pPr>
      <w:keepNext/>
      <w:keepLines/>
      <w:outlineLvl w:val="1"/>
    </w:pPr>
    <w:rPr>
      <w:b/>
      <w:bCs/>
      <w:color w:val="073763"/>
      <w:sz w:val="26"/>
      <w:szCs w:val="26"/>
    </w:rPr>
  </w:style>
  <w:style w:type="paragraph" w:styleId="Heading3">
    <w:name w:val="heading 3"/>
    <w:basedOn w:val="Normal"/>
    <w:next w:val="Normal"/>
    <w:uiPriority w:val="9"/>
    <w:semiHidden/>
    <w:unhideWhenUsed/>
    <w:qFormat/>
    <w:rsid w:val="00FE1737"/>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FE1737"/>
    <w:pPr>
      <w:keepNext/>
      <w:keepLines/>
      <w:spacing w:before="280" w:after="80"/>
      <w:outlineLvl w:val="3"/>
    </w:pPr>
    <w:rPr>
      <w:color w:val="666666"/>
    </w:rPr>
  </w:style>
  <w:style w:type="paragraph" w:styleId="Heading5">
    <w:name w:val="heading 5"/>
    <w:basedOn w:val="Normal"/>
    <w:next w:val="Normal"/>
    <w:uiPriority w:val="9"/>
    <w:semiHidden/>
    <w:unhideWhenUsed/>
    <w:qFormat/>
    <w:rsid w:val="00FE1737"/>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FE1737"/>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FE1737"/>
    <w:tblPr>
      <w:tblCellMar>
        <w:top w:w="100" w:type="dxa"/>
        <w:left w:w="100" w:type="dxa"/>
        <w:bottom w:w="100" w:type="dxa"/>
        <w:right w:w="100" w:type="dxa"/>
      </w:tblCellMar>
    </w:tblPr>
  </w:style>
  <w:style w:type="paragraph" w:styleId="Title">
    <w:name w:val="Title"/>
    <w:basedOn w:val="Normal"/>
    <w:next w:val="Normal"/>
    <w:uiPriority w:val="10"/>
    <w:qFormat/>
    <w:rsid w:val="00FE1737"/>
    <w:pPr>
      <w:keepNext/>
      <w:keepLines/>
      <w:jc w:val="center"/>
    </w:pPr>
    <w:rPr>
      <w:b/>
      <w:bCs/>
      <w:sz w:val="32"/>
      <w:szCs w:val="32"/>
    </w:rPr>
  </w:style>
  <w:style w:type="paragraph" w:styleId="Subtitle">
    <w:name w:val="Subtitle"/>
    <w:basedOn w:val="Normal"/>
    <w:next w:val="Normal"/>
    <w:uiPriority w:val="11"/>
    <w:qFormat/>
    <w:rsid w:val="00FE1737"/>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9A62AF"/>
    <w:pPr>
      <w:tabs>
        <w:tab w:val="center" w:pos="4513"/>
        <w:tab w:val="right" w:pos="9026"/>
      </w:tabs>
      <w:spacing w:line="240" w:lineRule="auto"/>
    </w:pPr>
  </w:style>
  <w:style w:type="character" w:customStyle="1" w:styleId="HeaderChar">
    <w:name w:val="Header Char"/>
    <w:basedOn w:val="DefaultParagraphFont"/>
    <w:link w:val="Header"/>
    <w:uiPriority w:val="99"/>
    <w:rsid w:val="009A62AF"/>
  </w:style>
  <w:style w:type="paragraph" w:styleId="Footer">
    <w:name w:val="footer"/>
    <w:basedOn w:val="Normal"/>
    <w:link w:val="FooterChar"/>
    <w:uiPriority w:val="99"/>
    <w:unhideWhenUsed/>
    <w:rsid w:val="009A62AF"/>
    <w:pPr>
      <w:tabs>
        <w:tab w:val="center" w:pos="4513"/>
        <w:tab w:val="right" w:pos="9026"/>
      </w:tabs>
      <w:spacing w:line="240" w:lineRule="auto"/>
    </w:pPr>
  </w:style>
  <w:style w:type="character" w:customStyle="1" w:styleId="FooterChar">
    <w:name w:val="Footer Char"/>
    <w:basedOn w:val="DefaultParagraphFont"/>
    <w:link w:val="Footer"/>
    <w:uiPriority w:val="99"/>
    <w:rsid w:val="009A62AF"/>
  </w:style>
  <w:style w:type="paragraph" w:styleId="TOCHeading">
    <w:name w:val="TOC Heading"/>
    <w:basedOn w:val="Heading1"/>
    <w:next w:val="Normal"/>
    <w:uiPriority w:val="39"/>
    <w:unhideWhenUsed/>
    <w:qFormat/>
    <w:rsid w:val="009A62AF"/>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eastAsia="en-US"/>
    </w:rPr>
  </w:style>
  <w:style w:type="paragraph" w:styleId="TOC1">
    <w:name w:val="toc 1"/>
    <w:basedOn w:val="Normal"/>
    <w:next w:val="Normal"/>
    <w:autoRedefine/>
    <w:uiPriority w:val="39"/>
    <w:unhideWhenUsed/>
    <w:rsid w:val="009A62AF"/>
    <w:pPr>
      <w:spacing w:after="100"/>
    </w:pPr>
  </w:style>
  <w:style w:type="paragraph" w:styleId="TOC2">
    <w:name w:val="toc 2"/>
    <w:basedOn w:val="Normal"/>
    <w:next w:val="Normal"/>
    <w:autoRedefine/>
    <w:uiPriority w:val="39"/>
    <w:unhideWhenUsed/>
    <w:rsid w:val="009A62AF"/>
    <w:pPr>
      <w:spacing w:after="100"/>
      <w:ind w:left="240"/>
    </w:pPr>
  </w:style>
  <w:style w:type="character" w:styleId="Hyperlink">
    <w:name w:val="Hyperlink"/>
    <w:basedOn w:val="DefaultParagraphFont"/>
    <w:uiPriority w:val="99"/>
    <w:unhideWhenUsed/>
    <w:rsid w:val="009A62AF"/>
    <w:rPr>
      <w:color w:val="0000FF" w:themeColor="hyperlink"/>
      <w:u w:val="single"/>
    </w:rPr>
  </w:style>
  <w:style w:type="paragraph" w:styleId="BalloonText">
    <w:name w:val="Balloon Text"/>
    <w:basedOn w:val="Normal"/>
    <w:link w:val="BalloonTextChar"/>
    <w:uiPriority w:val="99"/>
    <w:semiHidden/>
    <w:unhideWhenUsed/>
    <w:rsid w:val="007C352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352E"/>
    <w:rPr>
      <w:rFonts w:ascii="Tahoma" w:hAnsi="Tahoma" w:cs="Tahoma"/>
      <w:sz w:val="16"/>
      <w:szCs w:val="16"/>
    </w:rPr>
  </w:style>
  <w:style w:type="paragraph" w:styleId="ListParagraph">
    <w:name w:val="List Paragraph"/>
    <w:basedOn w:val="Normal"/>
    <w:uiPriority w:val="34"/>
    <w:qFormat/>
    <w:rsid w:val="00A92B2E"/>
    <w:pPr>
      <w:ind w:left="720"/>
      <w:contextualSpacing/>
    </w:pPr>
  </w:style>
  <w:style w:type="character" w:styleId="FootnoteReference">
    <w:name w:val="footnote reference"/>
    <w:rPr>
      <w:vertAlign w:val="superscript"/>
    </w:rPr>
  </w:style>
  <w:style w:type="paragraph" w:styleId="FootnoteText">
    <w:name w:val="footnote text"/>
    <w:basedOn w:val="Normal"/>
    <w:pPr>
      <w:spacing w:after="0" w:line="240" w:lineRule="auto"/>
    </w:pPr>
    <w:rPr>
      <w:sz w:val="18"/>
      <w:szCs w:val="18"/>
    </w:rPr>
  </w:style>
  <w:style w:type="character" w:styleId="EndnoteReference">
    <w:name w:val="endnote reference"/>
    <w:rPr>
      <w:vertAlign w:val="superscript"/>
    </w:rPr>
  </w:style>
  <w:style w:type="paragraph" w:styleId="EndnoteText">
    <w:name w:val="endnote text"/>
    <w:basedOn w:val="Normal"/>
    <w:pPr>
      <w:spacing w:after="0" w:line="240" w:lineRule="auto"/>
    </w:pPr>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
<Relationship Id="rIdStyles" Type="http://schemas.openxmlformats.org/officeDocument/2006/relationships/styles" Target="styles.xml"/>
<Relationship Id="rIdNumbering" Type="http://schemas.openxmlformats.org/officeDocument/2006/relationships/numbering" Target="numbering.xml"/>
<Relationship Id="rIdSettings" Type="http://schemas.openxmlformats.org/officeDocument/2006/relationships/settings" Target="settings.xml"/>
<Relationship Id="rId101" Type="http://schemas.openxmlformats.org/officeDocument/2006/relationships/image" Target="media/image1.png"/>
<Relationship Id="rId102" Type="http://schemas.openxmlformats.org/officeDocument/2006/relationships/image" Target="media/image2.png"/>
<Relationship Id="rId103" Type="http://schemas.openxmlformats.org/officeDocument/2006/relationships/image" Target="media/image3.png"/>
<Relationship Id="rId104" Type="http://schemas.openxmlformats.org/officeDocument/2006/relationships/image" Target="media/image4.png"/>
<Relationship Id="rId8" Type="http://schemas.openxmlformats.org/officeDocument/2006/relationships/image" Target="media/image1.png"/>
<Relationship Id="rId13" Type="http://schemas.openxmlformats.org/officeDocument/2006/relationships/hyperlink" Target="https://www.bhp.com/sustainability/climate-change/operational-ghg-emissions" TargetMode="External"/>
<Relationship Id="rId18" Type="http://schemas.openxmlformats.org/officeDocument/2006/relationships/hyperlink" Target="https://doi.org/10.1016/j.jik.2024.100606" TargetMode="External"/>
<Relationship Id="rId26" Type="http://schemas.openxmlformats.org/officeDocument/2006/relationships/theme" Target="theme/theme1.xml"/>
<Relationship Id="rId21" Type="http://schemas.openxmlformats.org/officeDocument/2006/relationships/hyperlink" Target="https://www.theguardian.com/world/2026/may/25/bhp-mining-pilbara-iron-ore-plant-to-drastically-cut-emissions-scrapped" TargetMode="External"/>
<Relationship Id="rId12" Type="http://schemas.openxmlformats.org/officeDocument/2006/relationships/hyperlink" Target="https://www.bhp.com/sustainability/climate-change/climate-transition-action-plan" TargetMode="External"/>
<Relationship Id="rId17" Type="http://schemas.openxmlformats.org/officeDocument/2006/relationships/hyperlink" Target="https://taxation-customs.ec.europa.eu/carbon-border-adjustment-mechanism_en" TargetMode="External"/>
<Relationship Id="rId25" Type="http://schemas.openxmlformats.org/officeDocument/2006/relationships/fontTable" Target="fontTable.xml"/>
<Relationship Id="rId16" Type="http://schemas.openxmlformats.org/officeDocument/2006/relationships/hyperlink" Target="https://www.dcceew.gov.au/climate-change/emissions-reporting/national-greenhouse-energy-reporting-scheme/safeguard-mechanism" TargetMode="External"/>
<Relationship Id="rId20" Type="http://schemas.openxmlformats.org/officeDocument/2006/relationships/hyperlink" Target="https://doi.org/10.3390/su16135331" TargetMode="External"/>
<Relationship Id="rId1" Type="http://schemas.openxmlformats.org/officeDocument/2006/relationships/customXml" Target="../customXml/item1.xml"/>
<Relationship Id="rId11" Type="http://schemas.openxmlformats.org/officeDocument/2006/relationships/hyperlink" Target="https://doi.org/10.1016/j.enpol.2026.115470" TargetMode="External"/>
<Relationship Id="rId24"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hyperlink" Target="https://doi.org/10.3390/math10081295" TargetMode="External"/>
<Relationship Id="rId23" Type="http://schemas.openxmlformats.org/officeDocument/2006/relationships/header" Target="header1.xml"/>
<Relationship Id="rId10" Type="http://schemas.openxmlformats.org/officeDocument/2006/relationships/image" Target="media/image3.png"/>
<Relationship Id="rId19" Type="http://schemas.openxmlformats.org/officeDocument/2006/relationships/hyperlink" Target="https://doi.org/10.3390/su142416748" TargetMode="External"/>
<Relationship Id="rId9" Type="http://schemas.openxmlformats.org/officeDocument/2006/relationships/image" Target="media/image2.png"/>
<Relationship Id="rId14" Type="http://schemas.openxmlformats.org/officeDocument/2006/relationships/hyperlink" Target="https://www.bweducation.com/article/institutional-partnerships-expand-in-critical-minerals-research-space-601292" TargetMode="External"/>
<Relationship Id="rId22" Type="http://schemas.openxmlformats.org/officeDocument/2006/relationships/hyperlink" Target="https://doi.org/10.1016/j.heliyon.2023.e20278" TargetMode="External"/>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ACA1E0-8050-44C0-9EB5-A9595AD8C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Application>EZTEditor</Application>
  <AppVersion>1.0.7314</AppVersion>
</Properties>
</file>

<file path=docProps/core.xml><?xml version="1.0" encoding="utf-8"?>
<cp:coreProperties xmlns:cp="http://schemas.openxmlformats.org/package/2006/metadata/core-properties" xmlns:dc="http://purl.org/dc/elements/1.1/" xmlns:dcterms="http://purl.org/dc/terms/" xmlns:xsi="http://www.w3.org/2001/XMLSchema-instance">
  <dc:title>Tài liệu</dc:title>
  <cp:revision>1</cp:revision>
  <dcterms:created xsi:type="dcterms:W3CDTF">2026-01-01T00:00:00Z</dcterms:created>
  <dcterms:modified xsi:type="dcterms:W3CDTF">2026-01-01T00:00:00Z</dcterms:modified>
</cp:coreProperties>
</file>