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98BEE" w14:textId="77777777" w:rsidR="00FE057E" w:rsidRPr="0023728F" w:rsidRDefault="00000000">
      <w:pPr>
        <w:jc w:val="center"/>
        <w:rPr>
          <w:rFonts w:cs="Times New Roman"/>
          <w:szCs w:val="24"/>
        </w:rPr>
      </w:pPr>
      <w:r w:rsidRPr="0023728F">
        <w:rPr>
          <w:rFonts w:cs="Times New Roman"/>
          <w:noProof/>
          <w:szCs w:val="24"/>
        </w:rPr>
        <w:drawing>
          <wp:inline distT="0" distB="0" distL="0" distR="0" wp14:anchorId="541988DD" wp14:editId="72A47134">
            <wp:extent cx="1920240" cy="7680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20240" cy="768096"/>
                    </a:xfrm>
                    <a:prstGeom prst="rect">
                      <a:avLst/>
                    </a:prstGeom>
                  </pic:spPr>
                </pic:pic>
              </a:graphicData>
            </a:graphic>
          </wp:inline>
        </w:drawing>
      </w:r>
    </w:p>
    <w:p w14:paraId="6F5A1B93" w14:textId="77777777" w:rsidR="00FE057E" w:rsidRPr="0023728F" w:rsidRDefault="00000000">
      <w:pPr>
        <w:jc w:val="center"/>
        <w:rPr>
          <w:rFonts w:cs="Times New Roman"/>
          <w:szCs w:val="24"/>
        </w:rPr>
      </w:pPr>
      <w:r w:rsidRPr="0023728F">
        <w:rPr>
          <w:rFonts w:cs="Times New Roman"/>
          <w:b/>
          <w:szCs w:val="24"/>
        </w:rPr>
        <w:t>UNIVERSITY OF WALES TRINITY SAINT DAVID</w:t>
      </w:r>
    </w:p>
    <w:p w14:paraId="6EE0C8D1" w14:textId="77777777" w:rsidR="00FE057E" w:rsidRPr="0023728F" w:rsidRDefault="00000000">
      <w:pPr>
        <w:jc w:val="center"/>
        <w:rPr>
          <w:rFonts w:cs="Times New Roman"/>
          <w:szCs w:val="24"/>
        </w:rPr>
      </w:pPr>
      <w:r w:rsidRPr="0023728F">
        <w:rPr>
          <w:rFonts w:cs="Times New Roman"/>
          <w:b/>
          <w:szCs w:val="24"/>
        </w:rPr>
        <w:t>Master of Business Administration</w:t>
      </w:r>
    </w:p>
    <w:p w14:paraId="4084E1DA" w14:textId="77777777" w:rsidR="00FE057E" w:rsidRPr="0023728F" w:rsidRDefault="00000000">
      <w:pPr>
        <w:jc w:val="center"/>
        <w:rPr>
          <w:rFonts w:cs="Times New Roman"/>
          <w:szCs w:val="24"/>
        </w:rPr>
      </w:pPr>
      <w:r w:rsidRPr="0023728F">
        <w:rPr>
          <w:rFonts w:cs="Times New Roman"/>
          <w:b/>
          <w:szCs w:val="24"/>
        </w:rPr>
        <w:t>Human Capital Management (LCMB7023)</w:t>
      </w:r>
    </w:p>
    <w:p w14:paraId="44D93FA3" w14:textId="77777777" w:rsidR="00FE057E" w:rsidRPr="0023728F" w:rsidRDefault="00000000">
      <w:pPr>
        <w:jc w:val="center"/>
        <w:rPr>
          <w:rFonts w:cs="Times New Roman"/>
          <w:szCs w:val="24"/>
        </w:rPr>
      </w:pPr>
      <w:r w:rsidRPr="0023728F">
        <w:rPr>
          <w:rFonts w:cs="Times New Roman"/>
          <w:b/>
          <w:szCs w:val="24"/>
        </w:rPr>
        <w:t>Assessment Component 1: Individual Report</w:t>
      </w:r>
    </w:p>
    <w:p w14:paraId="5D6B2914" w14:textId="77777777" w:rsidR="00FE057E" w:rsidRPr="0023728F" w:rsidRDefault="00FE057E">
      <w:pPr>
        <w:rPr>
          <w:rFonts w:cs="Times New Roman"/>
          <w:szCs w:val="24"/>
        </w:rPr>
      </w:pPr>
    </w:p>
    <w:p w14:paraId="7313CE70" w14:textId="77777777" w:rsidR="00FE057E" w:rsidRPr="0023728F" w:rsidRDefault="00FE057E">
      <w:pPr>
        <w:rPr>
          <w:rFonts w:cs="Times New Roman"/>
          <w:szCs w:val="24"/>
        </w:rPr>
      </w:pPr>
    </w:p>
    <w:p w14:paraId="59E38749" w14:textId="77777777" w:rsidR="00FE057E" w:rsidRPr="0023728F" w:rsidRDefault="00000000">
      <w:pPr>
        <w:jc w:val="center"/>
        <w:rPr>
          <w:rFonts w:cs="Times New Roman"/>
          <w:szCs w:val="24"/>
        </w:rPr>
      </w:pPr>
      <w:proofErr w:type="spellStart"/>
      <w:r w:rsidRPr="0023728F">
        <w:rPr>
          <w:rFonts w:cs="Times New Roman"/>
          <w:i/>
          <w:szCs w:val="24"/>
        </w:rPr>
        <w:t>NexSpace</w:t>
      </w:r>
      <w:proofErr w:type="spellEnd"/>
      <w:r w:rsidRPr="0023728F">
        <w:rPr>
          <w:rFonts w:cs="Times New Roman"/>
          <w:i/>
          <w:szCs w:val="24"/>
        </w:rPr>
        <w:t xml:space="preserve"> Health Systems (NHSX)</w:t>
      </w:r>
    </w:p>
    <w:p w14:paraId="08C9EB3E" w14:textId="77777777" w:rsidR="00FE057E" w:rsidRPr="0023728F" w:rsidRDefault="00FE057E">
      <w:pPr>
        <w:rPr>
          <w:rFonts w:cs="Times New Roman"/>
          <w:szCs w:val="24"/>
        </w:rPr>
      </w:pPr>
    </w:p>
    <w:p w14:paraId="45525655" w14:textId="77777777" w:rsidR="00FE057E" w:rsidRPr="0023728F" w:rsidRDefault="00FE057E">
      <w:pPr>
        <w:rPr>
          <w:rFonts w:cs="Times New Roman"/>
          <w:szCs w:val="24"/>
        </w:rPr>
      </w:pPr>
    </w:p>
    <w:tbl>
      <w:tblPr>
        <w:tblStyle w:val="TableGrid"/>
        <w:tblW w:w="0" w:type="auto"/>
        <w:jc w:val="center"/>
        <w:tblLook w:val="04A0" w:firstRow="1" w:lastRow="0" w:firstColumn="1" w:lastColumn="0" w:noHBand="0" w:noVBand="1"/>
      </w:tblPr>
      <w:tblGrid>
        <w:gridCol w:w="4499"/>
        <w:gridCol w:w="4517"/>
      </w:tblGrid>
      <w:tr w:rsidR="00FE057E" w:rsidRPr="0023728F" w14:paraId="0AE92A8F" w14:textId="77777777">
        <w:trPr>
          <w:jc w:val="center"/>
        </w:trPr>
        <w:tc>
          <w:tcPr>
            <w:tcW w:w="4824" w:type="dxa"/>
            <w:shd w:val="clear" w:color="auto" w:fill="E7E6E6"/>
            <w:vAlign w:val="center"/>
          </w:tcPr>
          <w:p w14:paraId="02C6C630" w14:textId="77777777" w:rsidR="00FE057E" w:rsidRPr="0023728F" w:rsidRDefault="00000000">
            <w:pPr>
              <w:rPr>
                <w:rFonts w:cs="Times New Roman"/>
                <w:szCs w:val="24"/>
              </w:rPr>
            </w:pPr>
            <w:r w:rsidRPr="0023728F">
              <w:rPr>
                <w:rFonts w:cs="Times New Roman"/>
                <w:b/>
                <w:szCs w:val="24"/>
              </w:rPr>
              <w:t>Lecturer(s)</w:t>
            </w:r>
          </w:p>
        </w:tc>
        <w:tc>
          <w:tcPr>
            <w:tcW w:w="4824" w:type="dxa"/>
            <w:vAlign w:val="center"/>
          </w:tcPr>
          <w:p w14:paraId="1EADC19B" w14:textId="40CD4427" w:rsidR="00FE057E" w:rsidRPr="0023728F" w:rsidRDefault="00000000">
            <w:pPr>
              <w:rPr>
                <w:rFonts w:cs="Times New Roman"/>
                <w:szCs w:val="24"/>
              </w:rPr>
            </w:pPr>
            <w:r w:rsidRPr="0023728F">
              <w:rPr>
                <w:rFonts w:cs="Times New Roman"/>
                <w:szCs w:val="24"/>
              </w:rPr>
              <w:t>Eno Maycock (Birmingham)</w:t>
            </w:r>
          </w:p>
        </w:tc>
      </w:tr>
      <w:tr w:rsidR="00FE057E" w:rsidRPr="0023728F" w14:paraId="21A84BEF" w14:textId="77777777">
        <w:trPr>
          <w:jc w:val="center"/>
        </w:trPr>
        <w:tc>
          <w:tcPr>
            <w:tcW w:w="4824" w:type="dxa"/>
            <w:shd w:val="clear" w:color="auto" w:fill="E7E6E6"/>
            <w:vAlign w:val="center"/>
          </w:tcPr>
          <w:p w14:paraId="2E1272DD" w14:textId="77777777" w:rsidR="00FE057E" w:rsidRPr="0023728F" w:rsidRDefault="00000000">
            <w:pPr>
              <w:rPr>
                <w:rFonts w:cs="Times New Roman"/>
                <w:szCs w:val="24"/>
              </w:rPr>
            </w:pPr>
            <w:r w:rsidRPr="0023728F">
              <w:rPr>
                <w:rFonts w:cs="Times New Roman"/>
                <w:b/>
                <w:szCs w:val="24"/>
              </w:rPr>
              <w:t>Student Name</w:t>
            </w:r>
          </w:p>
        </w:tc>
        <w:tc>
          <w:tcPr>
            <w:tcW w:w="4824" w:type="dxa"/>
            <w:vAlign w:val="center"/>
          </w:tcPr>
          <w:p w14:paraId="14CD43A2" w14:textId="5C3A1B8A" w:rsidR="00FE057E" w:rsidRPr="0023728F" w:rsidRDefault="006053DF">
            <w:pPr>
              <w:rPr>
                <w:rFonts w:cs="Times New Roman"/>
                <w:szCs w:val="24"/>
              </w:rPr>
            </w:pPr>
            <w:r>
              <w:rPr>
                <w:rFonts w:cs="Times New Roman"/>
                <w:szCs w:val="24"/>
              </w:rPr>
              <w:t>Rani Ravat</w:t>
            </w:r>
          </w:p>
        </w:tc>
      </w:tr>
      <w:tr w:rsidR="00FE057E" w:rsidRPr="0023728F" w14:paraId="08C5E3A5" w14:textId="77777777">
        <w:trPr>
          <w:jc w:val="center"/>
        </w:trPr>
        <w:tc>
          <w:tcPr>
            <w:tcW w:w="4824" w:type="dxa"/>
            <w:shd w:val="clear" w:color="auto" w:fill="E7E6E6"/>
            <w:vAlign w:val="center"/>
          </w:tcPr>
          <w:p w14:paraId="5075DE80" w14:textId="77777777" w:rsidR="00FE057E" w:rsidRPr="0023728F" w:rsidRDefault="00000000">
            <w:pPr>
              <w:rPr>
                <w:rFonts w:cs="Times New Roman"/>
                <w:szCs w:val="24"/>
              </w:rPr>
            </w:pPr>
            <w:r w:rsidRPr="0023728F">
              <w:rPr>
                <w:rFonts w:cs="Times New Roman"/>
                <w:b/>
                <w:szCs w:val="24"/>
              </w:rPr>
              <w:t>Student ID</w:t>
            </w:r>
          </w:p>
        </w:tc>
        <w:tc>
          <w:tcPr>
            <w:tcW w:w="4824" w:type="dxa"/>
            <w:vAlign w:val="center"/>
          </w:tcPr>
          <w:p w14:paraId="54E5A3B3" w14:textId="1DF0FFFD" w:rsidR="00FE057E" w:rsidRPr="0023728F" w:rsidRDefault="006053DF">
            <w:pPr>
              <w:rPr>
                <w:rFonts w:cs="Times New Roman"/>
                <w:szCs w:val="24"/>
              </w:rPr>
            </w:pPr>
            <w:r>
              <w:rPr>
                <w:rFonts w:cs="Times New Roman"/>
                <w:szCs w:val="24"/>
              </w:rPr>
              <w:t>2605880</w:t>
            </w:r>
          </w:p>
        </w:tc>
      </w:tr>
      <w:tr w:rsidR="00FE057E" w:rsidRPr="0023728F" w14:paraId="4A252E54" w14:textId="77777777">
        <w:trPr>
          <w:jc w:val="center"/>
        </w:trPr>
        <w:tc>
          <w:tcPr>
            <w:tcW w:w="4824" w:type="dxa"/>
            <w:shd w:val="clear" w:color="auto" w:fill="E7E6E6"/>
            <w:vAlign w:val="center"/>
          </w:tcPr>
          <w:p w14:paraId="2ABAEDB6" w14:textId="77777777" w:rsidR="00FE057E" w:rsidRPr="0023728F" w:rsidRDefault="00000000">
            <w:pPr>
              <w:rPr>
                <w:rFonts w:cs="Times New Roman"/>
                <w:szCs w:val="24"/>
              </w:rPr>
            </w:pPr>
            <w:r w:rsidRPr="0023728F">
              <w:rPr>
                <w:rFonts w:cs="Times New Roman"/>
                <w:b/>
                <w:szCs w:val="24"/>
              </w:rPr>
              <w:t>Submission Date</w:t>
            </w:r>
          </w:p>
        </w:tc>
        <w:tc>
          <w:tcPr>
            <w:tcW w:w="4824" w:type="dxa"/>
            <w:vAlign w:val="center"/>
          </w:tcPr>
          <w:p w14:paraId="603E1E81" w14:textId="6CB8D4C7" w:rsidR="00FE057E" w:rsidRPr="0023728F" w:rsidRDefault="00000000">
            <w:pPr>
              <w:rPr>
                <w:rFonts w:cs="Times New Roman"/>
                <w:szCs w:val="24"/>
              </w:rPr>
            </w:pPr>
            <w:r w:rsidRPr="0023728F">
              <w:rPr>
                <w:rFonts w:cs="Times New Roman"/>
                <w:szCs w:val="24"/>
              </w:rPr>
              <w:t>1</w:t>
            </w:r>
            <w:r w:rsidR="005216CA">
              <w:rPr>
                <w:rFonts w:cs="Times New Roman"/>
                <w:szCs w:val="24"/>
              </w:rPr>
              <w:t>4</w:t>
            </w:r>
            <w:r w:rsidRPr="0023728F">
              <w:rPr>
                <w:rFonts w:cs="Times New Roman"/>
                <w:szCs w:val="24"/>
              </w:rPr>
              <w:t xml:space="preserve"> October 2026</w:t>
            </w:r>
          </w:p>
        </w:tc>
      </w:tr>
      <w:tr w:rsidR="00FE057E" w:rsidRPr="0023728F" w14:paraId="29626877" w14:textId="77777777">
        <w:trPr>
          <w:jc w:val="center"/>
        </w:trPr>
        <w:tc>
          <w:tcPr>
            <w:tcW w:w="4824" w:type="dxa"/>
            <w:shd w:val="clear" w:color="auto" w:fill="E7E6E6"/>
            <w:vAlign w:val="center"/>
          </w:tcPr>
          <w:p w14:paraId="0F6F22D6" w14:textId="77777777" w:rsidR="00FE057E" w:rsidRPr="0023728F" w:rsidRDefault="00000000">
            <w:pPr>
              <w:rPr>
                <w:rFonts w:cs="Times New Roman"/>
                <w:szCs w:val="24"/>
              </w:rPr>
            </w:pPr>
            <w:r w:rsidRPr="0023728F">
              <w:rPr>
                <w:rFonts w:cs="Times New Roman"/>
                <w:b/>
                <w:szCs w:val="24"/>
              </w:rPr>
              <w:t>Word Count</w:t>
            </w:r>
          </w:p>
        </w:tc>
        <w:tc>
          <w:tcPr>
            <w:tcW w:w="4824" w:type="dxa"/>
            <w:vAlign w:val="center"/>
          </w:tcPr>
          <w:p w14:paraId="359828CF" w14:textId="702DF234" w:rsidR="00FE057E" w:rsidRPr="0023728F" w:rsidRDefault="004D179D">
            <w:pPr>
              <w:rPr>
                <w:rFonts w:cs="Times New Roman"/>
                <w:szCs w:val="24"/>
              </w:rPr>
            </w:pPr>
            <w:r>
              <w:rPr>
                <w:rFonts w:cs="Times New Roman"/>
                <w:szCs w:val="24"/>
              </w:rPr>
              <w:t>2</w:t>
            </w:r>
            <w:r w:rsidR="00B515F3">
              <w:rPr>
                <w:rFonts w:cs="Times New Roman"/>
                <w:szCs w:val="24"/>
              </w:rPr>
              <w:t>441 Words</w:t>
            </w:r>
          </w:p>
        </w:tc>
      </w:tr>
    </w:tbl>
    <w:p w14:paraId="3F4E59D9" w14:textId="77777777" w:rsidR="00FE057E" w:rsidRPr="0023728F" w:rsidRDefault="00000000">
      <w:pPr>
        <w:rPr>
          <w:rFonts w:cs="Times New Roman"/>
          <w:szCs w:val="24"/>
        </w:rPr>
      </w:pPr>
      <w:r w:rsidRPr="0023728F">
        <w:rPr>
          <w:rFonts w:cs="Times New Roman"/>
          <w:szCs w:val="24"/>
        </w:rPr>
        <w:br w:type="page"/>
      </w:r>
    </w:p>
    <w:sdt>
      <w:sdtPr>
        <w:rPr>
          <w:rFonts w:eastAsia="Times New Roman" w:cstheme="minorBidi"/>
          <w:b w:val="0"/>
          <w:bCs w:val="0"/>
          <w:szCs w:val="22"/>
        </w:rPr>
        <w:id w:val="-1006352604"/>
        <w:docPartObj>
          <w:docPartGallery w:val="Table of Contents"/>
          <w:docPartUnique/>
        </w:docPartObj>
      </w:sdtPr>
      <w:sdtEndPr>
        <w:rPr>
          <w:noProof/>
        </w:rPr>
      </w:sdtEndPr>
      <w:sdtContent>
        <w:p w14:paraId="3BD9B1A6" w14:textId="77777777" w:rsidR="00C12046" w:rsidRDefault="00C12046" w:rsidP="00C12046">
          <w:pPr>
            <w:pStyle w:val="TOCHeading"/>
            <w:jc w:val="center"/>
          </w:pPr>
          <w:r>
            <w:t>Table of Contents</w:t>
          </w:r>
        </w:p>
        <w:p w14:paraId="298102A6" w14:textId="77777777" w:rsidR="00C12046" w:rsidRDefault="00C12046">
          <w:pPr>
            <w:pStyle w:val="TOC1"/>
            <w:tabs>
              <w:tab w:val="right" w:leader="dot" w:pos="9016"/>
            </w:tabs>
            <w:rPr>
              <w:rFonts w:asciiTheme="minorHAnsi" w:eastAsiaTheme="minorEastAsia" w:hAnsiTheme="minorHAnsi"/>
              <w:noProof/>
              <w:kern w:val="2"/>
              <w:szCs w:val="30"/>
              <w:lang w:val="en-IN" w:eastAsia="en-IN" w:bidi="bn-IN"/>
              <w14:ligatures w14:val="standardContextual"/>
            </w:rPr>
          </w:pPr>
          <w:r>
            <w:fldChar w:fldCharType="begin"/>
          </w:r>
          <w:r>
            <w:instrText xml:space="preserve"> TOC \o "1-3" \h \z \u </w:instrText>
          </w:r>
          <w:r>
            <w:fldChar w:fldCharType="separate"/>
          </w:r>
          <w:hyperlink w:anchor="_Toc242776394" w:history="1">
            <w:r w:rsidRPr="00885601">
              <w:rPr>
                <w:rStyle w:val="Hyperlink"/>
                <w:noProof/>
              </w:rPr>
              <w:t>TASK A: DESIGNING INNOVATIVE WORKING PRACTICES</w:t>
            </w:r>
            <w:r>
              <w:rPr>
                <w:noProof/>
                <w:webHidden/>
              </w:rPr>
              <w:tab/>
            </w:r>
            <w:r>
              <w:rPr>
                <w:noProof/>
                <w:webHidden/>
              </w:rPr>
              <w:fldChar w:fldCharType="begin"/>
            </w:r>
            <w:r>
              <w:rPr>
                <w:noProof/>
                <w:webHidden/>
              </w:rPr>
              <w:instrText xml:space="preserve"> PAGEREF _Toc242776394 \h </w:instrText>
            </w:r>
            <w:r>
              <w:rPr>
                <w:noProof/>
                <w:webHidden/>
              </w:rPr>
            </w:r>
            <w:r>
              <w:rPr>
                <w:noProof/>
                <w:webHidden/>
              </w:rPr>
              <w:fldChar w:fldCharType="separate"/>
            </w:r>
            <w:r>
              <w:rPr>
                <w:noProof/>
                <w:webHidden/>
              </w:rPr>
              <w:t>2</w:t>
            </w:r>
            <w:r>
              <w:rPr>
                <w:noProof/>
                <w:webHidden/>
              </w:rPr>
              <w:fldChar w:fldCharType="end"/>
            </w:r>
          </w:hyperlink>
        </w:p>
        <w:p w14:paraId="554F6FDF"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395" w:history="1">
            <w:r w:rsidRPr="00885601">
              <w:rPr>
                <w:rStyle w:val="Hyperlink"/>
                <w:noProof/>
              </w:rPr>
              <w:t>1. Introduction and strategic context</w:t>
            </w:r>
            <w:r>
              <w:rPr>
                <w:noProof/>
                <w:webHidden/>
              </w:rPr>
              <w:tab/>
            </w:r>
            <w:r>
              <w:rPr>
                <w:noProof/>
                <w:webHidden/>
              </w:rPr>
              <w:fldChar w:fldCharType="begin"/>
            </w:r>
            <w:r>
              <w:rPr>
                <w:noProof/>
                <w:webHidden/>
              </w:rPr>
              <w:instrText xml:space="preserve"> PAGEREF _Toc242776395 \h </w:instrText>
            </w:r>
            <w:r>
              <w:rPr>
                <w:noProof/>
                <w:webHidden/>
              </w:rPr>
            </w:r>
            <w:r>
              <w:rPr>
                <w:noProof/>
                <w:webHidden/>
              </w:rPr>
              <w:fldChar w:fldCharType="separate"/>
            </w:r>
            <w:r>
              <w:rPr>
                <w:noProof/>
                <w:webHidden/>
              </w:rPr>
              <w:t>2</w:t>
            </w:r>
            <w:r>
              <w:rPr>
                <w:noProof/>
                <w:webHidden/>
              </w:rPr>
              <w:fldChar w:fldCharType="end"/>
            </w:r>
          </w:hyperlink>
        </w:p>
        <w:p w14:paraId="6383A87C"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396" w:history="1">
            <w:r w:rsidRPr="00885601">
              <w:rPr>
                <w:rStyle w:val="Hyperlink"/>
                <w:noProof/>
              </w:rPr>
              <w:t>2. Critical evaluation of traditional and contemporary work design</w:t>
            </w:r>
            <w:r>
              <w:rPr>
                <w:noProof/>
                <w:webHidden/>
              </w:rPr>
              <w:tab/>
            </w:r>
            <w:r>
              <w:rPr>
                <w:noProof/>
                <w:webHidden/>
              </w:rPr>
              <w:fldChar w:fldCharType="begin"/>
            </w:r>
            <w:r>
              <w:rPr>
                <w:noProof/>
                <w:webHidden/>
              </w:rPr>
              <w:instrText xml:space="preserve"> PAGEREF _Toc242776396 \h </w:instrText>
            </w:r>
            <w:r>
              <w:rPr>
                <w:noProof/>
                <w:webHidden/>
              </w:rPr>
            </w:r>
            <w:r>
              <w:rPr>
                <w:noProof/>
                <w:webHidden/>
              </w:rPr>
              <w:fldChar w:fldCharType="separate"/>
            </w:r>
            <w:r>
              <w:rPr>
                <w:noProof/>
                <w:webHidden/>
              </w:rPr>
              <w:t>3</w:t>
            </w:r>
            <w:r>
              <w:rPr>
                <w:noProof/>
                <w:webHidden/>
              </w:rPr>
              <w:fldChar w:fldCharType="end"/>
            </w:r>
          </w:hyperlink>
        </w:p>
        <w:p w14:paraId="4CE37B28"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397" w:history="1">
            <w:r w:rsidRPr="00885601">
              <w:rPr>
                <w:rStyle w:val="Hyperlink"/>
                <w:noProof/>
              </w:rPr>
              <w:t>3. Innovative working practices for NHSX</w:t>
            </w:r>
            <w:r>
              <w:rPr>
                <w:noProof/>
                <w:webHidden/>
              </w:rPr>
              <w:tab/>
            </w:r>
            <w:r>
              <w:rPr>
                <w:noProof/>
                <w:webHidden/>
              </w:rPr>
              <w:fldChar w:fldCharType="begin"/>
            </w:r>
            <w:r>
              <w:rPr>
                <w:noProof/>
                <w:webHidden/>
              </w:rPr>
              <w:instrText xml:space="preserve"> PAGEREF _Toc242776397 \h </w:instrText>
            </w:r>
            <w:r>
              <w:rPr>
                <w:noProof/>
                <w:webHidden/>
              </w:rPr>
            </w:r>
            <w:r>
              <w:rPr>
                <w:noProof/>
                <w:webHidden/>
              </w:rPr>
              <w:fldChar w:fldCharType="separate"/>
            </w:r>
            <w:r>
              <w:rPr>
                <w:noProof/>
                <w:webHidden/>
              </w:rPr>
              <w:t>3</w:t>
            </w:r>
            <w:r>
              <w:rPr>
                <w:noProof/>
                <w:webHidden/>
              </w:rPr>
              <w:fldChar w:fldCharType="end"/>
            </w:r>
          </w:hyperlink>
        </w:p>
        <w:p w14:paraId="4DF88CC4"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398" w:history="1">
            <w:r w:rsidRPr="00885601">
              <w:rPr>
                <w:rStyle w:val="Hyperlink"/>
                <w:noProof/>
              </w:rPr>
              <w:t>4. Hybrid, flexible and autonomous work</w:t>
            </w:r>
            <w:r>
              <w:rPr>
                <w:noProof/>
                <w:webHidden/>
              </w:rPr>
              <w:tab/>
            </w:r>
            <w:r>
              <w:rPr>
                <w:noProof/>
                <w:webHidden/>
              </w:rPr>
              <w:fldChar w:fldCharType="begin"/>
            </w:r>
            <w:r>
              <w:rPr>
                <w:noProof/>
                <w:webHidden/>
              </w:rPr>
              <w:instrText xml:space="preserve"> PAGEREF _Toc242776398 \h </w:instrText>
            </w:r>
            <w:r>
              <w:rPr>
                <w:noProof/>
                <w:webHidden/>
              </w:rPr>
            </w:r>
            <w:r>
              <w:rPr>
                <w:noProof/>
                <w:webHidden/>
              </w:rPr>
              <w:fldChar w:fldCharType="separate"/>
            </w:r>
            <w:r>
              <w:rPr>
                <w:noProof/>
                <w:webHidden/>
              </w:rPr>
              <w:t>3</w:t>
            </w:r>
            <w:r>
              <w:rPr>
                <w:noProof/>
                <w:webHidden/>
              </w:rPr>
              <w:fldChar w:fldCharType="end"/>
            </w:r>
          </w:hyperlink>
        </w:p>
        <w:p w14:paraId="533D0FDF"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399" w:history="1">
            <w:r w:rsidRPr="00885601">
              <w:rPr>
                <w:rStyle w:val="Hyperlink"/>
                <w:noProof/>
              </w:rPr>
              <w:t>5. Digital collaboration and sociotechnical design</w:t>
            </w:r>
            <w:r>
              <w:rPr>
                <w:noProof/>
                <w:webHidden/>
              </w:rPr>
              <w:tab/>
            </w:r>
            <w:r>
              <w:rPr>
                <w:noProof/>
                <w:webHidden/>
              </w:rPr>
              <w:fldChar w:fldCharType="begin"/>
            </w:r>
            <w:r>
              <w:rPr>
                <w:noProof/>
                <w:webHidden/>
              </w:rPr>
              <w:instrText xml:space="preserve"> PAGEREF _Toc242776399 \h </w:instrText>
            </w:r>
            <w:r>
              <w:rPr>
                <w:noProof/>
                <w:webHidden/>
              </w:rPr>
            </w:r>
            <w:r>
              <w:rPr>
                <w:noProof/>
                <w:webHidden/>
              </w:rPr>
              <w:fldChar w:fldCharType="separate"/>
            </w:r>
            <w:r>
              <w:rPr>
                <w:noProof/>
                <w:webHidden/>
              </w:rPr>
              <w:t>4</w:t>
            </w:r>
            <w:r>
              <w:rPr>
                <w:noProof/>
                <w:webHidden/>
              </w:rPr>
              <w:fldChar w:fldCharType="end"/>
            </w:r>
          </w:hyperlink>
        </w:p>
        <w:p w14:paraId="6896C197"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0" w:history="1">
            <w:r w:rsidRPr="00885601">
              <w:rPr>
                <w:rStyle w:val="Hyperlink"/>
                <w:noProof/>
              </w:rPr>
              <w:t>6. Integrated framework and performance impact</w:t>
            </w:r>
            <w:r>
              <w:rPr>
                <w:noProof/>
                <w:webHidden/>
              </w:rPr>
              <w:tab/>
            </w:r>
            <w:r>
              <w:rPr>
                <w:noProof/>
                <w:webHidden/>
              </w:rPr>
              <w:fldChar w:fldCharType="begin"/>
            </w:r>
            <w:r>
              <w:rPr>
                <w:noProof/>
                <w:webHidden/>
              </w:rPr>
              <w:instrText xml:space="preserve"> PAGEREF _Toc242776400 \h </w:instrText>
            </w:r>
            <w:r>
              <w:rPr>
                <w:noProof/>
                <w:webHidden/>
              </w:rPr>
            </w:r>
            <w:r>
              <w:rPr>
                <w:noProof/>
                <w:webHidden/>
              </w:rPr>
              <w:fldChar w:fldCharType="separate"/>
            </w:r>
            <w:r>
              <w:rPr>
                <w:noProof/>
                <w:webHidden/>
              </w:rPr>
              <w:t>4</w:t>
            </w:r>
            <w:r>
              <w:rPr>
                <w:noProof/>
                <w:webHidden/>
              </w:rPr>
              <w:fldChar w:fldCharType="end"/>
            </w:r>
          </w:hyperlink>
        </w:p>
        <w:p w14:paraId="7A8DA70D"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1" w:history="1">
            <w:r w:rsidRPr="00885601">
              <w:rPr>
                <w:rStyle w:val="Hyperlink"/>
                <w:noProof/>
              </w:rPr>
              <w:t>7. Concluding judgement</w:t>
            </w:r>
            <w:r>
              <w:rPr>
                <w:noProof/>
                <w:webHidden/>
              </w:rPr>
              <w:tab/>
            </w:r>
            <w:r>
              <w:rPr>
                <w:noProof/>
                <w:webHidden/>
              </w:rPr>
              <w:fldChar w:fldCharType="begin"/>
            </w:r>
            <w:r>
              <w:rPr>
                <w:noProof/>
                <w:webHidden/>
              </w:rPr>
              <w:instrText xml:space="preserve"> PAGEREF _Toc242776401 \h </w:instrText>
            </w:r>
            <w:r>
              <w:rPr>
                <w:noProof/>
                <w:webHidden/>
              </w:rPr>
            </w:r>
            <w:r>
              <w:rPr>
                <w:noProof/>
                <w:webHidden/>
              </w:rPr>
              <w:fldChar w:fldCharType="separate"/>
            </w:r>
            <w:r>
              <w:rPr>
                <w:noProof/>
                <w:webHidden/>
              </w:rPr>
              <w:t>5</w:t>
            </w:r>
            <w:r>
              <w:rPr>
                <w:noProof/>
                <w:webHidden/>
              </w:rPr>
              <w:fldChar w:fldCharType="end"/>
            </w:r>
          </w:hyperlink>
        </w:p>
        <w:p w14:paraId="274E9ED3" w14:textId="77777777" w:rsidR="00C12046" w:rsidRDefault="00C12046">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2" w:history="1">
            <w:r w:rsidRPr="00885601">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_Toc242776402 \h </w:instrText>
            </w:r>
            <w:r>
              <w:rPr>
                <w:noProof/>
                <w:webHidden/>
              </w:rPr>
            </w:r>
            <w:r>
              <w:rPr>
                <w:noProof/>
                <w:webHidden/>
              </w:rPr>
              <w:fldChar w:fldCharType="separate"/>
            </w:r>
            <w:r>
              <w:rPr>
                <w:noProof/>
                <w:webHidden/>
              </w:rPr>
              <w:t>5</w:t>
            </w:r>
            <w:r>
              <w:rPr>
                <w:noProof/>
                <w:webHidden/>
              </w:rPr>
              <w:fldChar w:fldCharType="end"/>
            </w:r>
          </w:hyperlink>
        </w:p>
        <w:p w14:paraId="0E2FDD4C"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3" w:history="1">
            <w:r w:rsidRPr="00885601">
              <w:rPr>
                <w:rStyle w:val="Hyperlink"/>
                <w:noProof/>
              </w:rPr>
              <w:t>1. Introduction</w:t>
            </w:r>
            <w:r>
              <w:rPr>
                <w:noProof/>
                <w:webHidden/>
              </w:rPr>
              <w:tab/>
            </w:r>
            <w:r>
              <w:rPr>
                <w:noProof/>
                <w:webHidden/>
              </w:rPr>
              <w:fldChar w:fldCharType="begin"/>
            </w:r>
            <w:r>
              <w:rPr>
                <w:noProof/>
                <w:webHidden/>
              </w:rPr>
              <w:instrText xml:space="preserve"> PAGEREF _Toc242776403 \h </w:instrText>
            </w:r>
            <w:r>
              <w:rPr>
                <w:noProof/>
                <w:webHidden/>
              </w:rPr>
            </w:r>
            <w:r>
              <w:rPr>
                <w:noProof/>
                <w:webHidden/>
              </w:rPr>
              <w:fldChar w:fldCharType="separate"/>
            </w:r>
            <w:r>
              <w:rPr>
                <w:noProof/>
                <w:webHidden/>
              </w:rPr>
              <w:t>5</w:t>
            </w:r>
            <w:r>
              <w:rPr>
                <w:noProof/>
                <w:webHidden/>
              </w:rPr>
              <w:fldChar w:fldCharType="end"/>
            </w:r>
          </w:hyperlink>
        </w:p>
        <w:p w14:paraId="5D495B83"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4" w:history="1">
            <w:r w:rsidRPr="00885601">
              <w:rPr>
                <w:rStyle w:val="Hyperlink"/>
                <w:noProof/>
              </w:rPr>
              <w:t>2. Critical evaluation of talent-development theories</w:t>
            </w:r>
            <w:r>
              <w:rPr>
                <w:noProof/>
                <w:webHidden/>
              </w:rPr>
              <w:tab/>
            </w:r>
            <w:r>
              <w:rPr>
                <w:noProof/>
                <w:webHidden/>
              </w:rPr>
              <w:fldChar w:fldCharType="begin"/>
            </w:r>
            <w:r>
              <w:rPr>
                <w:noProof/>
                <w:webHidden/>
              </w:rPr>
              <w:instrText xml:space="preserve"> PAGEREF _Toc242776404 \h </w:instrText>
            </w:r>
            <w:r>
              <w:rPr>
                <w:noProof/>
                <w:webHidden/>
              </w:rPr>
            </w:r>
            <w:r>
              <w:rPr>
                <w:noProof/>
                <w:webHidden/>
              </w:rPr>
              <w:fldChar w:fldCharType="separate"/>
            </w:r>
            <w:r>
              <w:rPr>
                <w:noProof/>
                <w:webHidden/>
              </w:rPr>
              <w:t>5</w:t>
            </w:r>
            <w:r>
              <w:rPr>
                <w:noProof/>
                <w:webHidden/>
              </w:rPr>
              <w:fldChar w:fldCharType="end"/>
            </w:r>
          </w:hyperlink>
        </w:p>
        <w:p w14:paraId="6248A58D"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5" w:history="1">
            <w:r w:rsidRPr="00885601">
              <w:rPr>
                <w:rStyle w:val="Hyperlink"/>
                <w:noProof/>
              </w:rPr>
              <w:t>3. Strategic talent-growth strategy for NHSX</w:t>
            </w:r>
            <w:r>
              <w:rPr>
                <w:noProof/>
                <w:webHidden/>
              </w:rPr>
              <w:tab/>
            </w:r>
            <w:r>
              <w:rPr>
                <w:noProof/>
                <w:webHidden/>
              </w:rPr>
              <w:fldChar w:fldCharType="begin"/>
            </w:r>
            <w:r>
              <w:rPr>
                <w:noProof/>
                <w:webHidden/>
              </w:rPr>
              <w:instrText xml:space="preserve"> PAGEREF _Toc242776405 \h </w:instrText>
            </w:r>
            <w:r>
              <w:rPr>
                <w:noProof/>
                <w:webHidden/>
              </w:rPr>
            </w:r>
            <w:r>
              <w:rPr>
                <w:noProof/>
                <w:webHidden/>
              </w:rPr>
              <w:fldChar w:fldCharType="separate"/>
            </w:r>
            <w:r>
              <w:rPr>
                <w:noProof/>
                <w:webHidden/>
              </w:rPr>
              <w:t>6</w:t>
            </w:r>
            <w:r>
              <w:rPr>
                <w:noProof/>
                <w:webHidden/>
              </w:rPr>
              <w:fldChar w:fldCharType="end"/>
            </w:r>
          </w:hyperlink>
        </w:p>
        <w:p w14:paraId="180400D2"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6" w:history="1">
            <w:r w:rsidRPr="00885601">
              <w:rPr>
                <w:rStyle w:val="Hyperlink"/>
                <w:noProof/>
              </w:rPr>
              <w:t>4. Conclusion</w:t>
            </w:r>
            <w:r>
              <w:rPr>
                <w:noProof/>
                <w:webHidden/>
              </w:rPr>
              <w:tab/>
            </w:r>
            <w:r>
              <w:rPr>
                <w:noProof/>
                <w:webHidden/>
              </w:rPr>
              <w:fldChar w:fldCharType="begin"/>
            </w:r>
            <w:r>
              <w:rPr>
                <w:noProof/>
                <w:webHidden/>
              </w:rPr>
              <w:instrText xml:space="preserve"> PAGEREF _Toc242776406 \h </w:instrText>
            </w:r>
            <w:r>
              <w:rPr>
                <w:noProof/>
                <w:webHidden/>
              </w:rPr>
            </w:r>
            <w:r>
              <w:rPr>
                <w:noProof/>
                <w:webHidden/>
              </w:rPr>
              <w:fldChar w:fldCharType="separate"/>
            </w:r>
            <w:r>
              <w:rPr>
                <w:noProof/>
                <w:webHidden/>
              </w:rPr>
              <w:t>8</w:t>
            </w:r>
            <w:r>
              <w:rPr>
                <w:noProof/>
                <w:webHidden/>
              </w:rPr>
              <w:fldChar w:fldCharType="end"/>
            </w:r>
          </w:hyperlink>
        </w:p>
        <w:p w14:paraId="6CA02FA9" w14:textId="77777777" w:rsidR="00C12046" w:rsidRDefault="00C12046">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7" w:history="1">
            <w:r w:rsidRPr="00885601">
              <w:rPr>
                <w:rStyle w:val="Hyperlink"/>
                <w:noProof/>
                <w:lang w:val="en-IN"/>
              </w:rPr>
              <w:t>TASK C: REFLECTIVE REPORT</w:t>
            </w:r>
            <w:r>
              <w:rPr>
                <w:noProof/>
                <w:webHidden/>
              </w:rPr>
              <w:tab/>
            </w:r>
            <w:r>
              <w:rPr>
                <w:noProof/>
                <w:webHidden/>
              </w:rPr>
              <w:fldChar w:fldCharType="begin"/>
            </w:r>
            <w:r>
              <w:rPr>
                <w:noProof/>
                <w:webHidden/>
              </w:rPr>
              <w:instrText xml:space="preserve"> PAGEREF _Toc242776407 \h </w:instrText>
            </w:r>
            <w:r>
              <w:rPr>
                <w:noProof/>
                <w:webHidden/>
              </w:rPr>
            </w:r>
            <w:r>
              <w:rPr>
                <w:noProof/>
                <w:webHidden/>
              </w:rPr>
              <w:fldChar w:fldCharType="separate"/>
            </w:r>
            <w:r>
              <w:rPr>
                <w:noProof/>
                <w:webHidden/>
              </w:rPr>
              <w:t>8</w:t>
            </w:r>
            <w:r>
              <w:rPr>
                <w:noProof/>
                <w:webHidden/>
              </w:rPr>
              <w:fldChar w:fldCharType="end"/>
            </w:r>
          </w:hyperlink>
        </w:p>
        <w:p w14:paraId="58514926"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8" w:history="1">
            <w:r w:rsidRPr="00885601">
              <w:rPr>
                <w:rStyle w:val="Hyperlink"/>
                <w:noProof/>
                <w:lang w:val="en-IN"/>
              </w:rPr>
              <w:t>1. AI as a Strategic Tool</w:t>
            </w:r>
            <w:r>
              <w:rPr>
                <w:noProof/>
                <w:webHidden/>
              </w:rPr>
              <w:tab/>
            </w:r>
            <w:r>
              <w:rPr>
                <w:noProof/>
                <w:webHidden/>
              </w:rPr>
              <w:fldChar w:fldCharType="begin"/>
            </w:r>
            <w:r>
              <w:rPr>
                <w:noProof/>
                <w:webHidden/>
              </w:rPr>
              <w:instrText xml:space="preserve"> PAGEREF _Toc242776408 \h </w:instrText>
            </w:r>
            <w:r>
              <w:rPr>
                <w:noProof/>
                <w:webHidden/>
              </w:rPr>
            </w:r>
            <w:r>
              <w:rPr>
                <w:noProof/>
                <w:webHidden/>
              </w:rPr>
              <w:fldChar w:fldCharType="separate"/>
            </w:r>
            <w:r>
              <w:rPr>
                <w:noProof/>
                <w:webHidden/>
              </w:rPr>
              <w:t>8</w:t>
            </w:r>
            <w:r>
              <w:rPr>
                <w:noProof/>
                <w:webHidden/>
              </w:rPr>
              <w:fldChar w:fldCharType="end"/>
            </w:r>
          </w:hyperlink>
        </w:p>
        <w:p w14:paraId="4170203B"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09" w:history="1">
            <w:r w:rsidRPr="00885601">
              <w:rPr>
                <w:rStyle w:val="Hyperlink"/>
                <w:noProof/>
                <w:lang w:val="en-IN"/>
              </w:rPr>
              <w:t>2. Reflective Analysis: Three Examples</w:t>
            </w:r>
            <w:r>
              <w:rPr>
                <w:noProof/>
                <w:webHidden/>
              </w:rPr>
              <w:tab/>
            </w:r>
            <w:r>
              <w:rPr>
                <w:noProof/>
                <w:webHidden/>
              </w:rPr>
              <w:fldChar w:fldCharType="begin"/>
            </w:r>
            <w:r>
              <w:rPr>
                <w:noProof/>
                <w:webHidden/>
              </w:rPr>
              <w:instrText xml:space="preserve"> PAGEREF _Toc242776409 \h </w:instrText>
            </w:r>
            <w:r>
              <w:rPr>
                <w:noProof/>
                <w:webHidden/>
              </w:rPr>
            </w:r>
            <w:r>
              <w:rPr>
                <w:noProof/>
                <w:webHidden/>
              </w:rPr>
              <w:fldChar w:fldCharType="separate"/>
            </w:r>
            <w:r>
              <w:rPr>
                <w:noProof/>
                <w:webHidden/>
              </w:rPr>
              <w:t>9</w:t>
            </w:r>
            <w:r>
              <w:rPr>
                <w:noProof/>
                <w:webHidden/>
              </w:rPr>
              <w:fldChar w:fldCharType="end"/>
            </w:r>
          </w:hyperlink>
        </w:p>
        <w:p w14:paraId="059140B8" w14:textId="77777777" w:rsidR="00C12046" w:rsidRDefault="00C12046">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10" w:history="1">
            <w:r w:rsidRPr="00885601">
              <w:rPr>
                <w:rStyle w:val="Hyperlink"/>
                <w:noProof/>
                <w:lang w:val="en-IN"/>
              </w:rPr>
              <w:t>3. Personal Capability Development Plan</w:t>
            </w:r>
            <w:r>
              <w:rPr>
                <w:noProof/>
                <w:webHidden/>
              </w:rPr>
              <w:tab/>
            </w:r>
            <w:r>
              <w:rPr>
                <w:noProof/>
                <w:webHidden/>
              </w:rPr>
              <w:fldChar w:fldCharType="begin"/>
            </w:r>
            <w:r>
              <w:rPr>
                <w:noProof/>
                <w:webHidden/>
              </w:rPr>
              <w:instrText xml:space="preserve"> PAGEREF _Toc242776410 \h </w:instrText>
            </w:r>
            <w:r>
              <w:rPr>
                <w:noProof/>
                <w:webHidden/>
              </w:rPr>
            </w:r>
            <w:r>
              <w:rPr>
                <w:noProof/>
                <w:webHidden/>
              </w:rPr>
              <w:fldChar w:fldCharType="separate"/>
            </w:r>
            <w:r>
              <w:rPr>
                <w:noProof/>
                <w:webHidden/>
              </w:rPr>
              <w:t>10</w:t>
            </w:r>
            <w:r>
              <w:rPr>
                <w:noProof/>
                <w:webHidden/>
              </w:rPr>
              <w:fldChar w:fldCharType="end"/>
            </w:r>
          </w:hyperlink>
        </w:p>
        <w:p w14:paraId="306C78AF" w14:textId="77777777" w:rsidR="00C12046" w:rsidRDefault="00C12046">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76411" w:history="1">
            <w:r w:rsidRPr="00885601">
              <w:rPr>
                <w:rStyle w:val="Hyperlink"/>
                <w:noProof/>
              </w:rPr>
              <w:t>Reference List</w:t>
            </w:r>
            <w:r>
              <w:rPr>
                <w:noProof/>
                <w:webHidden/>
              </w:rPr>
              <w:tab/>
            </w:r>
            <w:r>
              <w:rPr>
                <w:noProof/>
                <w:webHidden/>
              </w:rPr>
              <w:fldChar w:fldCharType="begin"/>
            </w:r>
            <w:r>
              <w:rPr>
                <w:noProof/>
                <w:webHidden/>
              </w:rPr>
              <w:instrText xml:space="preserve"> PAGEREF _Toc242776411 \h </w:instrText>
            </w:r>
            <w:r>
              <w:rPr>
                <w:noProof/>
                <w:webHidden/>
              </w:rPr>
            </w:r>
            <w:r>
              <w:rPr>
                <w:noProof/>
                <w:webHidden/>
              </w:rPr>
              <w:fldChar w:fldCharType="separate"/>
            </w:r>
            <w:r>
              <w:rPr>
                <w:noProof/>
                <w:webHidden/>
              </w:rPr>
              <w:t>11</w:t>
            </w:r>
            <w:r>
              <w:rPr>
                <w:noProof/>
                <w:webHidden/>
              </w:rPr>
              <w:fldChar w:fldCharType="end"/>
            </w:r>
          </w:hyperlink>
        </w:p>
        <w:p w14:paraId="4C5EA0FF" w14:textId="77777777" w:rsidR="00C12046" w:rsidRDefault="00C12046">
          <w:r>
            <w:rPr>
              <w:b/>
              <w:bCs/>
              <w:noProof/>
            </w:rPr>
            <w:fldChar w:fldCharType="end"/>
          </w:r>
        </w:p>
      </w:sdtContent>
    </w:sdt>
    <w:p w14:paraId="65534527" w14:textId="77777777" w:rsidR="00C12046" w:rsidRDefault="00C12046">
      <w:pPr>
        <w:spacing w:before="0" w:after="200" w:line="276" w:lineRule="auto"/>
        <w:jc w:val="left"/>
        <w:rPr>
          <w:rFonts w:eastAsiaTheme="majorEastAsia" w:cstheme="majorBidi"/>
          <w:b/>
          <w:bCs/>
          <w:szCs w:val="28"/>
        </w:rPr>
      </w:pPr>
      <w:bookmarkStart w:id="0" w:name="_Toc242776394"/>
      <w:r>
        <w:br w:type="page"/>
      </w:r>
    </w:p>
    <w:p w14:paraId="4690E64C" w14:textId="77777777" w:rsidR="00641314" w:rsidRPr="00641314" w:rsidRDefault="00641314" w:rsidP="00450D1D">
      <w:pPr>
        <w:pStyle w:val="Heading1"/>
      </w:pPr>
      <w:r w:rsidRPr="00641314">
        <w:lastRenderedPageBreak/>
        <w:t>TASK A: DESIGNING INNOVATIVE WORKING PRACTICES</w:t>
      </w:r>
      <w:bookmarkEnd w:id="0"/>
    </w:p>
    <w:p w14:paraId="3FDFD87C" w14:textId="77777777" w:rsidR="00641314" w:rsidRPr="00450D1D" w:rsidRDefault="00641314" w:rsidP="00450D1D">
      <w:pPr>
        <w:pStyle w:val="Heading2"/>
      </w:pPr>
      <w:bookmarkStart w:id="1" w:name="_Toc242776395"/>
      <w:r w:rsidRPr="00450D1D">
        <w:t>1. Introduction and strategic context</w:t>
      </w:r>
      <w:bookmarkEnd w:id="1"/>
    </w:p>
    <w:p w14:paraId="0980F5F3" w14:textId="77777777" w:rsidR="00641314" w:rsidRDefault="00641314" w:rsidP="00641314">
      <w:r>
        <w:t xml:space="preserve">The </w:t>
      </w:r>
      <w:proofErr w:type="spellStart"/>
      <w:r>
        <w:t>NexSpace</w:t>
      </w:r>
      <w:proofErr w:type="spellEnd"/>
      <w:r>
        <w:t xml:space="preserve"> Health Systems (NHSX) needs a new work design due to its hierarchical structure. Such an approach slows decisions and experimentation, prevents international cooperation and causes losses of top-performing employees. The current case illustrates the tension between wellbeing and high performance. The solution, therefore, should go beyond the control of activity towards a holistic approach which integrates autonomy, teamwork, flexibility and digital collaboration.</w:t>
      </w:r>
    </w:p>
    <w:p w14:paraId="33682A25" w14:textId="77777777" w:rsidR="00641314" w:rsidRPr="00641314" w:rsidRDefault="00641314" w:rsidP="00450D1D">
      <w:pPr>
        <w:pStyle w:val="Heading2"/>
      </w:pPr>
      <w:bookmarkStart w:id="2" w:name="_Toc242776396"/>
      <w:r w:rsidRPr="00641314">
        <w:t>2. Critical evaluation of traditional and contemporary work design</w:t>
      </w:r>
      <w:bookmarkEnd w:id="2"/>
    </w:p>
    <w:p w14:paraId="3E259021" w14:textId="77777777" w:rsidR="00641314" w:rsidRDefault="00641314" w:rsidP="00641314">
      <w:r>
        <w:t xml:space="preserve">Hierarchical traditional work design can provide clear authority, well-defined roles and control. On the other hand, it may lead to slow decision paths and lack of employee voice in cases when the work is complex and dynamic. High-Performance Work Systems (HPWS) is a more powerful strategy in such situations because HPWS combines employee capability, motivation and opportunity. Evidence from 154 pharmaceutical-related firms showed that HPWS was positively associated with </w:t>
      </w:r>
      <w:proofErr w:type="spellStart"/>
      <w:r>
        <w:t>organisational</w:t>
      </w:r>
      <w:proofErr w:type="spellEnd"/>
      <w:r>
        <w:t xml:space="preserve"> learning, which supported the innovation performance (</w:t>
      </w:r>
      <w:proofErr w:type="spellStart"/>
      <w:r>
        <w:t>Mehralian</w:t>
      </w:r>
      <w:proofErr w:type="spellEnd"/>
      <w:r>
        <w:t xml:space="preserve">, Moradi and </w:t>
      </w:r>
      <w:proofErr w:type="spellStart"/>
      <w:r>
        <w:t>Babapour</w:t>
      </w:r>
      <w:proofErr w:type="spellEnd"/>
      <w:r>
        <w:t xml:space="preserve">, 2021). HPWS, however, may become too performance-focused without ensuring the wellbeing and involvement of employees. For this reason, High-Involvement Work Practices (HIWPs) are important. They significantly contribute to innovative </w:t>
      </w:r>
      <w:proofErr w:type="spellStart"/>
      <w:r>
        <w:t>behaviour</w:t>
      </w:r>
      <w:proofErr w:type="spellEnd"/>
      <w:r>
        <w:t xml:space="preserve"> of employees according to research with 452 employees and their supervisors (Wang </w:t>
      </w:r>
      <w:r w:rsidR="007C7812" w:rsidRPr="007C7812">
        <w:rPr>
          <w:i/>
          <w:iCs/>
        </w:rPr>
        <w:t>et al</w:t>
      </w:r>
      <w:r>
        <w:t xml:space="preserve">., 2022). Evidence from 207 UAE public sector employees connected HIWPs and collaborative leadership with innovative work </w:t>
      </w:r>
      <w:proofErr w:type="spellStart"/>
      <w:r>
        <w:t>behaviour</w:t>
      </w:r>
      <w:proofErr w:type="spellEnd"/>
      <w:r>
        <w:t xml:space="preserve"> via the wellbeing of employees (Mehmood </w:t>
      </w:r>
      <w:r w:rsidR="007C7812" w:rsidRPr="007C7812">
        <w:rPr>
          <w:i/>
          <w:iCs/>
        </w:rPr>
        <w:t>et al</w:t>
      </w:r>
      <w:r>
        <w:t>., 2022).</w:t>
      </w:r>
    </w:p>
    <w:p w14:paraId="42170ECA" w14:textId="77777777" w:rsidR="00641314" w:rsidRPr="00641314" w:rsidRDefault="00641314" w:rsidP="00450D1D">
      <w:pPr>
        <w:pStyle w:val="Heading2"/>
      </w:pPr>
      <w:bookmarkStart w:id="3" w:name="_Toc242776397"/>
      <w:r w:rsidRPr="00641314">
        <w:t>3. Innovative working practices for NHSX</w:t>
      </w:r>
      <w:bookmarkEnd w:id="3"/>
    </w:p>
    <w:p w14:paraId="099F3C32" w14:textId="77777777" w:rsidR="00641314" w:rsidRDefault="00641314" w:rsidP="00641314">
      <w:r>
        <w:t xml:space="preserve">The first recommendation is the cross-functional team model. NHSX needs to form small product squads including software engineers, clinicians, data specialists, user-experience experts and HR/compliance experts. Each squad should have a clear outcome but no restrictions on how it should achieve it. It is an example of both HPWS and HIWPs with agile characteristics. A systematic mapping study included 86 primary studies and showed that agile HR practices can promote </w:t>
      </w:r>
      <w:proofErr w:type="spellStart"/>
      <w:r>
        <w:t>organisational</w:t>
      </w:r>
      <w:proofErr w:type="spellEnd"/>
      <w:r>
        <w:t xml:space="preserve"> and workforce agility when HR moves from controlling mechanisms to flexible and responsive ones (Moh'd </w:t>
      </w:r>
      <w:r w:rsidR="007C7812" w:rsidRPr="007C7812">
        <w:rPr>
          <w:i/>
          <w:iCs/>
        </w:rPr>
        <w:t>et al</w:t>
      </w:r>
      <w:r>
        <w:t xml:space="preserve">., 2024). However, NHSX should not treat agile working as an empty slogan. Roper, </w:t>
      </w:r>
      <w:proofErr w:type="spellStart"/>
      <w:r>
        <w:t>Prouska</w:t>
      </w:r>
      <w:proofErr w:type="spellEnd"/>
      <w:r>
        <w:t xml:space="preserve"> and </w:t>
      </w:r>
      <w:proofErr w:type="spellStart"/>
      <w:r>
        <w:t>Chatrakul</w:t>
      </w:r>
      <w:proofErr w:type="spellEnd"/>
      <w:r>
        <w:t xml:space="preserve"> Na Ayudhya (2022) revealed that agile working has many meanings and worker experience differs </w:t>
      </w:r>
      <w:r>
        <w:lastRenderedPageBreak/>
        <w:t>according to employment arrangement. NHSX should, therefore, apply the principles of agile work only when they accelerate the process, enhance learning and improve employee experience.</w:t>
      </w:r>
    </w:p>
    <w:p w14:paraId="3CD4F15A" w14:textId="77777777" w:rsidR="00641314" w:rsidRPr="00641314" w:rsidRDefault="00641314" w:rsidP="00450D1D">
      <w:pPr>
        <w:pStyle w:val="Heading2"/>
      </w:pPr>
      <w:bookmarkStart w:id="4" w:name="_Toc242776398"/>
      <w:r w:rsidRPr="00641314">
        <w:t>4. Hybrid, flexible and autonomous work</w:t>
      </w:r>
      <w:bookmarkEnd w:id="4"/>
    </w:p>
    <w:p w14:paraId="503BE375" w14:textId="77777777" w:rsidR="00641314" w:rsidRDefault="00641314" w:rsidP="00641314">
      <w:r>
        <w:t xml:space="preserve">NHSX should introduce a coordinated hybrid work model, rather than a fully remote or rigid office work model. Each team should choose its collaboration days when employees have to be online in order to benefit from live discussions and allow remote work days for individual tasks. Evidence on hybrid work is inconsistent. Research with 1,612 technology employees showed that two days of home work reduced attrition by about one-third and did not harm performance reviews (Bloom, Han and Liang, 2024). At the same time, Gibbs, Mengel and </w:t>
      </w:r>
      <w:proofErr w:type="spellStart"/>
      <w:r>
        <w:t>Siemroth</w:t>
      </w:r>
      <w:proofErr w:type="spellEnd"/>
      <w:r>
        <w:t xml:space="preserve"> (2024) using the data on more than 48,000 employees of an Indian IT firm discovered that hybrid work reduced the quantity of ideas by 22% especially when the schedule of the team was not coordinated. Earlier evidence from 61,182 Microsoft employees also revealed that remote work of the company led to static and siloed collaboration networks (Yang </w:t>
      </w:r>
      <w:r w:rsidR="007C7812" w:rsidRPr="007C7812">
        <w:rPr>
          <w:i/>
          <w:iCs/>
        </w:rPr>
        <w:t>et al</w:t>
      </w:r>
      <w:r>
        <w:t>., 2022). Thus, NHSX needs a coordinated hybrid work, not uncontrolled flexibility. Flexible work should also be based on the achievement of certain outcomes rather than the time spent online. According to Haines, Guerrero and Marchand (2024) using the data from 1,505 employees in 64 work units, flexibility reduces turnover intentions through job control and work engagement, even though telecommuting increases work-family conflict. The ILO and WHO (2022) emphasize that telework requires clear expectations, suitable equipment, health support and workload management. Thus, NHSX should introduce a role-based policy rather than a single policy for all jobs.</w:t>
      </w:r>
    </w:p>
    <w:p w14:paraId="2491F093" w14:textId="77777777" w:rsidR="00641314" w:rsidRPr="00641314" w:rsidRDefault="00641314" w:rsidP="00450D1D">
      <w:pPr>
        <w:pStyle w:val="Heading2"/>
      </w:pPr>
      <w:bookmarkStart w:id="5" w:name="_Toc242776399"/>
      <w:r w:rsidRPr="00641314">
        <w:t>5. Digital collaboration and sociotechnical design</w:t>
      </w:r>
      <w:bookmarkEnd w:id="5"/>
    </w:p>
    <w:p w14:paraId="0DC6EE8E" w14:textId="77777777" w:rsidR="00641314" w:rsidRDefault="00641314" w:rsidP="00641314">
      <w:r>
        <w:t xml:space="preserve">NHSX should use a single digital collaboration environment for project plans, decisions, collaborative documents, knowledge management and asynchronous updates. It should be supplemented by the agreement on response times, decision logs and short virtual stand-ups. According to Müller </w:t>
      </w:r>
      <w:r w:rsidR="007C7812" w:rsidRPr="007C7812">
        <w:rPr>
          <w:i/>
          <w:iCs/>
        </w:rPr>
        <w:t>et al</w:t>
      </w:r>
      <w:r>
        <w:t xml:space="preserve">. (2022), suitable telework tasks and workplace conditions were positively related to collaboration and work performance in a study of 691 employees and communication technology was especially important. Sociotechnical perspective is also important. Gillani </w:t>
      </w:r>
      <w:r w:rsidR="007C7812" w:rsidRPr="007C7812">
        <w:rPr>
          <w:i/>
          <w:iCs/>
        </w:rPr>
        <w:t>et al</w:t>
      </w:r>
      <w:r>
        <w:t xml:space="preserve">. (2024) revealed that social and technical enablers should develop together and digital transformation depends on the interaction between these elements. </w:t>
      </w:r>
      <w:r>
        <w:lastRenderedPageBreak/>
        <w:t xml:space="preserve">Therefore, NHSX should not purchase additional software. Technology, team norms, leadership </w:t>
      </w:r>
      <w:proofErr w:type="spellStart"/>
      <w:r>
        <w:t>behaviour</w:t>
      </w:r>
      <w:proofErr w:type="spellEnd"/>
      <w:r>
        <w:t xml:space="preserve"> and job design should be designed together.</w:t>
      </w:r>
    </w:p>
    <w:p w14:paraId="23BA6513" w14:textId="77777777" w:rsidR="00641314" w:rsidRPr="00641314" w:rsidRDefault="00641314" w:rsidP="00450D1D">
      <w:pPr>
        <w:pStyle w:val="Heading2"/>
      </w:pPr>
      <w:bookmarkStart w:id="6" w:name="_Toc242776400"/>
      <w:r w:rsidRPr="00641314">
        <w:t>6. Integrated framework and performance impact</w:t>
      </w:r>
      <w:bookmarkEnd w:id="6"/>
    </w:p>
    <w:p w14:paraId="40C4592D" w14:textId="77777777" w:rsidR="00641314" w:rsidRDefault="00641314" w:rsidP="00641314">
      <w:r>
        <w:t>The proposed NHSX Integrated Working Framework includes four interconnected elements: empowered cross-functional squads, coordinated hybrid and flexible work, autonomy with the outcome-based accountability and a shared digital collaboration environment. All the elements should strengthen each other. Cross-functional squads make decision paths shorter and knowledge sharing easier. Hybrid flexibility enhances retention and employee control when team coordination is strong. Autonomy promotes initiatives, whereas the outcomes make it impossible to lose the direction. Digital tools save knowledge across the UK, India and UAE and make employees less dependent on informal contact in offices. NHSX should measure decision cycle time, time from the idea to the prototype, employee submissions of innovations, collaboration quality, voluntary turnover, wellbeing and performance delivery. It provides a feedback loop and gives the possibility to the Board to modify the framework rather than assuming that the same work pattern fits all positions.</w:t>
      </w:r>
    </w:p>
    <w:p w14:paraId="479DF3EE" w14:textId="77777777" w:rsidR="00641314" w:rsidRPr="00641314" w:rsidRDefault="00641314" w:rsidP="00450D1D">
      <w:pPr>
        <w:pStyle w:val="Heading2"/>
      </w:pPr>
      <w:bookmarkStart w:id="7" w:name="_Toc242776401"/>
      <w:r w:rsidRPr="00641314">
        <w:t>7. Concluding judgement</w:t>
      </w:r>
      <w:bookmarkEnd w:id="7"/>
    </w:p>
    <w:p w14:paraId="11A3D079" w14:textId="2DF873DB" w:rsidR="0091669E" w:rsidRDefault="00641314" w:rsidP="0091669E">
      <w:r>
        <w:t>For NHSX, the best way is neither returning to hierarchy nor fully remote work. The strongest option is a coordinated, human-</w:t>
      </w:r>
      <w:proofErr w:type="spellStart"/>
      <w:r>
        <w:t>centred</w:t>
      </w:r>
      <w:proofErr w:type="spellEnd"/>
      <w:r>
        <w:t xml:space="preserve"> and outcome-oriented system. The evidence shows that flexibility improves retention and satisfaction, but poor coordination decreases collaboration and innovation. NHSX should, therefore, pilot the integrated framework for six months, analyze the measures described above and refine practices by role and team. This approach is more likely to achieve innovation, agility and sustainable performance than applying one standard working pattern across the whole </w:t>
      </w:r>
      <w:proofErr w:type="spellStart"/>
      <w:r>
        <w:t>organisation</w:t>
      </w:r>
      <w:proofErr w:type="spellEnd"/>
      <w:r>
        <w:t>.</w:t>
      </w:r>
      <w:r w:rsidR="00770B51">
        <w:t xml:space="preserve"> </w:t>
      </w:r>
      <w:r w:rsidR="006053DF">
        <w:br/>
      </w:r>
      <w:r w:rsidR="006053DF">
        <w:br/>
      </w:r>
    </w:p>
    <w:p w14:paraId="11A76068" w14:textId="77777777" w:rsidR="006053DF" w:rsidRDefault="006053DF" w:rsidP="0091669E"/>
    <w:p w14:paraId="355B1C34" w14:textId="77777777" w:rsidR="006053DF" w:rsidRDefault="006053DF" w:rsidP="0091669E"/>
    <w:p w14:paraId="6335C803" w14:textId="77777777" w:rsidR="006053DF" w:rsidRDefault="006053DF" w:rsidP="0091669E"/>
    <w:p w14:paraId="683A7A65" w14:textId="77777777" w:rsidR="006053DF" w:rsidRDefault="006053DF" w:rsidP="0091669E"/>
    <w:p w14:paraId="68D018BA" w14:textId="77777777" w:rsidR="006053DF" w:rsidRDefault="006053DF" w:rsidP="0091669E"/>
    <w:p w14:paraId="0D099A6D" w14:textId="77777777" w:rsidR="006053DF" w:rsidRDefault="006053DF" w:rsidP="0091669E"/>
    <w:p w14:paraId="63827A7D" w14:textId="77777777" w:rsidR="006053DF" w:rsidRDefault="006053DF" w:rsidP="0091669E"/>
    <w:p w14:paraId="548171B8" w14:textId="77777777" w:rsidR="0091669E" w:rsidRPr="00450D1D" w:rsidRDefault="00450D1D" w:rsidP="00450D1D">
      <w:pPr>
        <w:pStyle w:val="Heading1"/>
      </w:pPr>
      <w:bookmarkStart w:id="8" w:name="_Toc242776402"/>
      <w:r w:rsidRPr="00450D1D">
        <w:t>TASK B: BREEDING AN ENVIRONMENT WHERE TALENT MAY GROW</w:t>
      </w:r>
      <w:bookmarkEnd w:id="8"/>
    </w:p>
    <w:p w14:paraId="04F48FCA" w14:textId="77777777" w:rsidR="0091669E" w:rsidRPr="0091669E" w:rsidRDefault="00450D1D" w:rsidP="00C12046">
      <w:pPr>
        <w:pStyle w:val="Heading2"/>
      </w:pPr>
      <w:bookmarkStart w:id="9" w:name="_Toc242776403"/>
      <w:r>
        <w:t xml:space="preserve">1. </w:t>
      </w:r>
      <w:r w:rsidR="0091669E" w:rsidRPr="0091669E">
        <w:t>Introduction</w:t>
      </w:r>
      <w:bookmarkEnd w:id="9"/>
    </w:p>
    <w:p w14:paraId="353CFA19" w14:textId="77777777" w:rsidR="0091669E" w:rsidRDefault="0091669E" w:rsidP="0091669E">
      <w:r w:rsidRPr="0091669E">
        <w:t>NHSX hires around 600 employees in the UK, India, and the United Arab Emirates (UAE). The case highlights the association between employee departure and the absence of career growth and learning opportunities, alongside increased demands on performance and well-being. NHSX needs a talent eco-system, not individual training programs. Employers polled in the World Economic Forum predict that 39 percent of employees’ foundational skills will change by 2030; also, 63 percent cite skills shortages as a key obstacle to transformation (World Economic Forum, 2025). These are worldwide standards, not NHSX figures.</w:t>
      </w:r>
    </w:p>
    <w:p w14:paraId="7F535005" w14:textId="77777777" w:rsidR="0091669E" w:rsidRPr="0091669E" w:rsidRDefault="00450D1D" w:rsidP="00C12046">
      <w:pPr>
        <w:pStyle w:val="Heading2"/>
      </w:pPr>
      <w:bookmarkStart w:id="10" w:name="_Toc242776404"/>
      <w:r>
        <w:t xml:space="preserve">2. </w:t>
      </w:r>
      <w:r w:rsidR="0091669E" w:rsidRPr="0091669E">
        <w:t>Critical evaluation of talent-development theories</w:t>
      </w:r>
      <w:bookmarkEnd w:id="10"/>
    </w:p>
    <w:p w14:paraId="3A31BFD6" w14:textId="77777777" w:rsidR="0091669E" w:rsidRDefault="0091669E" w:rsidP="0091669E">
      <w:r>
        <w:t xml:space="preserve">Learning </w:t>
      </w:r>
      <w:proofErr w:type="spellStart"/>
      <w:r>
        <w:t>organisations</w:t>
      </w:r>
      <w:proofErr w:type="spellEnd"/>
      <w:r>
        <w:t xml:space="preserve"> create processes for acquisition, sharing and application of knowledge. The concept of </w:t>
      </w:r>
      <w:proofErr w:type="spellStart"/>
      <w:r>
        <w:t>organisational</w:t>
      </w:r>
      <w:proofErr w:type="spellEnd"/>
      <w:r>
        <w:t xml:space="preserve"> learning is linked to people, culture, leadership and systems (</w:t>
      </w:r>
      <w:proofErr w:type="spellStart"/>
      <w:r>
        <w:t>Alerasoul</w:t>
      </w:r>
      <w:proofErr w:type="spellEnd"/>
      <w:r>
        <w:t xml:space="preserve"> et al., 2022). In NHSX, learning should be embedded in product and clinical technology development by conducting project reviews and creating shared knowledge repositories. Just having a platform is not enough; learning time and taking action on feedback are required from leaders. Digital learning can facilitate learning and knowledge sharing, but its effectiveness hinges on uptake and applicability (Giannakos, </w:t>
      </w:r>
      <w:proofErr w:type="spellStart"/>
      <w:r>
        <w:t>Mikalef</w:t>
      </w:r>
      <w:proofErr w:type="spellEnd"/>
      <w:r>
        <w:t xml:space="preserve"> and Pappas, 2022).</w:t>
      </w:r>
    </w:p>
    <w:p w14:paraId="21993D80" w14:textId="77777777" w:rsidR="0091669E" w:rsidRDefault="0091669E" w:rsidP="0091669E">
      <w:r>
        <w:t xml:space="preserve">The concept of growth mindset sees ability as developable through effort, feedback and practice. Han and </w:t>
      </w:r>
      <w:proofErr w:type="spellStart"/>
      <w:r>
        <w:t>Stieha</w:t>
      </w:r>
      <w:proofErr w:type="spellEnd"/>
      <w:r>
        <w:t xml:space="preserve"> (2020) present a literature review on the implementation of growth mindset in human resource development. NHSX can promote experiments and see failures as learning experiences. However, sending mindset-related messages without providing opportunities for improvement is not fair to employees.</w:t>
      </w:r>
    </w:p>
    <w:p w14:paraId="0ED9194A" w14:textId="77777777" w:rsidR="0091669E" w:rsidRDefault="0091669E" w:rsidP="0091669E">
      <w:r>
        <w:t>Psychological safety refers to mutual understanding that one can ask questions, voice concerns, make mistakes, etc. without risking being shamed. Edmondson and Bransby (2023) explain the link between psychological safety, team learning, leadership and performance in complex contexts. This issue is relevant for NHSX because health care technologies require challenging unsafe assumptions. Psychological safety does not mean no accountability; standards and mistake reviewing are needed.</w:t>
      </w:r>
    </w:p>
    <w:p w14:paraId="39ABF1CB" w14:textId="77777777" w:rsidR="0091669E" w:rsidRDefault="0091669E" w:rsidP="0091669E">
      <w:r>
        <w:t xml:space="preserve">Self-Determination Theory pays attention to autonomy, competence and relatedness as key elements of motivation and wellbeing (McAnally and Hagger, 2024). This theory implies </w:t>
      </w:r>
      <w:r>
        <w:lastRenderedPageBreak/>
        <w:t xml:space="preserve">freedom in goal setting, constructive feedback and friendly colleagues. Job crafting gives an opportunity for an employee to adapt his/her activities and social network according to his/her abilities. Several reviews have shown a positive connection between job crafting interventions and job outcomes (Mukherjee and Dhar, 2023; </w:t>
      </w:r>
      <w:proofErr w:type="spellStart"/>
      <w:r>
        <w:t>Silapurem</w:t>
      </w:r>
      <w:proofErr w:type="spellEnd"/>
      <w:r>
        <w:t>, Slemp and Jarden, 2024). Yet, autonomy should stay in line with clinical, regulatory and cybersecurity requirements.</w:t>
      </w:r>
    </w:p>
    <w:p w14:paraId="1467BE48" w14:textId="77777777" w:rsidR="0091669E" w:rsidRDefault="0091669E" w:rsidP="0091669E">
      <w:r>
        <w:t xml:space="preserve">Talent management means alignment of attraction, development, engagement, retention and deployment with company's strategy (CIPD, 2025). In their systematic review of 120 empirical studies, </w:t>
      </w:r>
      <w:proofErr w:type="spellStart"/>
      <w:r>
        <w:t>Aljbour</w:t>
      </w:r>
      <w:proofErr w:type="spellEnd"/>
      <w:r>
        <w:t xml:space="preserve"> and French (2022) prove that talent management practices might affect employee, team and </w:t>
      </w:r>
      <w:proofErr w:type="spellStart"/>
      <w:r>
        <w:t>organisational</w:t>
      </w:r>
      <w:proofErr w:type="spellEnd"/>
      <w:r>
        <w:t xml:space="preserve"> outcomes. Prioritizing development of only a few "high potentials" can mean effective allocation of resources but will reduce equity and neglect the hidden potential of the workforce. According to </w:t>
      </w:r>
      <w:proofErr w:type="spellStart"/>
      <w:r>
        <w:t>Kaliannan</w:t>
      </w:r>
      <w:proofErr w:type="spellEnd"/>
      <w:r>
        <w:t xml:space="preserve"> et al. (2023), inclusive talent development might complement selective talent management approaches. NHSX should provide basic development opportunities to all employees but give special consideration to digital-health positions.</w:t>
      </w:r>
    </w:p>
    <w:p w14:paraId="6AFB9936" w14:textId="77777777" w:rsidR="0091669E" w:rsidRPr="0091669E" w:rsidRDefault="00450D1D" w:rsidP="00C12046">
      <w:pPr>
        <w:pStyle w:val="Heading2"/>
      </w:pPr>
      <w:bookmarkStart w:id="11" w:name="_Toc242776405"/>
      <w:r>
        <w:t xml:space="preserve">3. </w:t>
      </w:r>
      <w:r w:rsidR="0091669E" w:rsidRPr="0091669E">
        <w:t>Strategic talent-growth strategy for NHSX</w:t>
      </w:r>
      <w:bookmarkEnd w:id="11"/>
    </w:p>
    <w:p w14:paraId="51318A47" w14:textId="77777777" w:rsidR="0091669E" w:rsidRDefault="0091669E" w:rsidP="0091669E">
      <w:r>
        <w:t xml:space="preserve">First, HR must perform a workforce skills and career audit in the next three months. Workers and managers in three countries should define skills related to AI, data security, cybersecurity, clinical safety, product design, leadership and cross-cultural collaboration. The NHSX should use the findings from the audit to develop a skills framework which will be associated with </w:t>
      </w:r>
      <w:proofErr w:type="spellStart"/>
      <w:r>
        <w:t>organisational</w:t>
      </w:r>
      <w:proofErr w:type="spellEnd"/>
      <w:r>
        <w:t xml:space="preserve"> objectives and clear role profiles. It is needed to respond to the need for changing skills and reduce reliance on external recruitment (World Economic Forum, 2025).</w:t>
      </w:r>
    </w:p>
    <w:p w14:paraId="7492A1BA" w14:textId="77777777" w:rsidR="0091669E" w:rsidRDefault="0091669E" w:rsidP="0091669E">
      <w:r>
        <w:t xml:space="preserve">Secondly, an individual development plan for each employee should be introduced, which should be discussed in career conversations. The plan includes short courses, assignments, and feedback from a mentor. Time for learning should be ensured along with a common online space with videos of training sessions, information search opportunities and peer groups. While e-learning is useful for scattered teams, discussion, training, and accessibility check is needed (Giannakos, </w:t>
      </w:r>
      <w:proofErr w:type="spellStart"/>
      <w:r>
        <w:t>Mikalef</w:t>
      </w:r>
      <w:proofErr w:type="spellEnd"/>
      <w:r>
        <w:t xml:space="preserve"> and Pappas, 2022). According to the survey performed by the CIPD in 2024, 42% of </w:t>
      </w:r>
      <w:proofErr w:type="spellStart"/>
      <w:r>
        <w:t>organisations</w:t>
      </w:r>
      <w:proofErr w:type="spellEnd"/>
      <w:r>
        <w:t xml:space="preserve"> which use retention strategies increased learning and development opportunities, and 31% created clearer career paths (CIPD, 2024). These statistics are the external benchmarks, not guarantees of NHSX results.</w:t>
      </w:r>
    </w:p>
    <w:p w14:paraId="385357E7" w14:textId="77777777" w:rsidR="0091669E" w:rsidRDefault="0091669E" w:rsidP="0091669E">
      <w:r>
        <w:t xml:space="preserve">Third, NHSX should develop visible career paths including both technical and managerial careers, internal job openings, cross-functional projects and mentoring in the UK, India and </w:t>
      </w:r>
      <w:r>
        <w:lastRenderedPageBreak/>
        <w:t xml:space="preserve">UAE. Employees should have opportunities to become experts in their field without entering managerial positions. Discussion of job-crafting issues will help workers define the suitable activities while managers assess the volume of the workload and dependencies among team members (Mukherjee and Dhar, 2023). Also, transparency of criteria for promotion and training can eliminate </w:t>
      </w:r>
      <w:proofErr w:type="spellStart"/>
      <w:r>
        <w:t>favouritism</w:t>
      </w:r>
      <w:proofErr w:type="spellEnd"/>
      <w:r>
        <w:t xml:space="preserve"> (CIPD, 2025).</w:t>
      </w:r>
    </w:p>
    <w:p w14:paraId="70601228" w14:textId="77777777" w:rsidR="0091669E" w:rsidRDefault="0091669E" w:rsidP="0091669E">
      <w:r>
        <w:t>Fourth, psychological safety and wellbeing should become an integral part of daily management practice. Managers should be trained to invite dissent, react constructively to mistakes and conduct learning reviews after key project milestones. Teams should agree on realistic priorities, focus their time and find ways to report about workload (Edmondson and Bransby, 2023; McAnally and Hagger, 2024).</w:t>
      </w:r>
    </w:p>
    <w:p w14:paraId="30A56F2F" w14:textId="77777777" w:rsidR="0091669E" w:rsidRDefault="0091669E" w:rsidP="0091669E">
      <w:r w:rsidRPr="0091669E">
        <w:t xml:space="preserve">Finally, evaluate outcomes quarterly. Establish a benchmark and measure regrettable turnover, internal promotion, and vacancy fill ratios, development plan completion, skill progression, participation in different countries and demographics, psychological safety and well-being. Evaluate the outcome in terms of roles, countries and demographics to ensure unequal access. If completing the training does not lead to skill application and retention, modify the </w:t>
      </w:r>
      <w:proofErr w:type="spellStart"/>
      <w:r w:rsidRPr="0091669E">
        <w:t>programme</w:t>
      </w:r>
      <w:proofErr w:type="spellEnd"/>
      <w:r w:rsidRPr="0091669E">
        <w:t>. Talent development is to be assessed based on capabilities and business outcomes, not participation (</w:t>
      </w:r>
      <w:proofErr w:type="spellStart"/>
      <w:r w:rsidRPr="0091669E">
        <w:t>Aljbour</w:t>
      </w:r>
      <w:proofErr w:type="spellEnd"/>
      <w:r w:rsidRPr="0091669E">
        <w:t xml:space="preserve"> and French, 2022; CIPD, 2025).</w:t>
      </w:r>
    </w:p>
    <w:p w14:paraId="55A73238" w14:textId="77777777" w:rsidR="0091669E" w:rsidRPr="0091669E" w:rsidRDefault="00450D1D" w:rsidP="00C12046">
      <w:pPr>
        <w:pStyle w:val="Heading2"/>
      </w:pPr>
      <w:bookmarkStart w:id="12" w:name="_Toc242776406"/>
      <w:r>
        <w:t xml:space="preserve">4. </w:t>
      </w:r>
      <w:r w:rsidR="0091669E" w:rsidRPr="0091669E">
        <w:t>Conclusion</w:t>
      </w:r>
      <w:bookmarkEnd w:id="12"/>
    </w:p>
    <w:p w14:paraId="0A3E6783" w14:textId="77777777" w:rsidR="00450D1D" w:rsidRDefault="0091669E" w:rsidP="00450D1D">
      <w:r w:rsidRPr="0091669E">
        <w:t>NHSX should incorporate inclusive learning, career progression pathways, autonomy, psychologically safe leaders, and accountability. This will address the issue of talent being lost while understanding the need for time, access, and management support. The plan should be modified using employee feedback and outcomes.</w:t>
      </w:r>
    </w:p>
    <w:p w14:paraId="15098AE1" w14:textId="77777777" w:rsidR="006053DF" w:rsidRDefault="006053DF" w:rsidP="00450D1D"/>
    <w:p w14:paraId="2BA75AD7" w14:textId="77777777" w:rsidR="006053DF" w:rsidRDefault="006053DF" w:rsidP="00450D1D"/>
    <w:p w14:paraId="009BA66B" w14:textId="77777777" w:rsidR="006053DF" w:rsidRDefault="006053DF" w:rsidP="00450D1D"/>
    <w:p w14:paraId="2B86BD1B" w14:textId="77777777" w:rsidR="00B515F3" w:rsidRDefault="00B515F3" w:rsidP="00450D1D"/>
    <w:p w14:paraId="1B668A4F" w14:textId="77777777" w:rsidR="00B515F3" w:rsidRDefault="00B515F3" w:rsidP="00450D1D"/>
    <w:p w14:paraId="446B1131" w14:textId="77777777" w:rsidR="00B515F3" w:rsidRDefault="00B515F3" w:rsidP="00450D1D"/>
    <w:p w14:paraId="15195642" w14:textId="77777777" w:rsidR="006053DF" w:rsidRDefault="006053DF" w:rsidP="00450D1D"/>
    <w:p w14:paraId="1715C5EA" w14:textId="77777777" w:rsidR="00450D1D" w:rsidRPr="00450D1D" w:rsidRDefault="00C12046" w:rsidP="00C12046">
      <w:pPr>
        <w:pStyle w:val="Heading1"/>
      </w:pPr>
      <w:bookmarkStart w:id="13" w:name="_Toc242776407"/>
      <w:r w:rsidRPr="00450D1D">
        <w:rPr>
          <w:lang w:val="en-IN"/>
        </w:rPr>
        <w:lastRenderedPageBreak/>
        <w:t>TASK C: REFLECTIVE REPORT</w:t>
      </w:r>
      <w:bookmarkEnd w:id="13"/>
    </w:p>
    <w:p w14:paraId="395653C3" w14:textId="77777777" w:rsidR="00450D1D" w:rsidRPr="00450D1D" w:rsidRDefault="00450D1D" w:rsidP="00C12046">
      <w:pPr>
        <w:pStyle w:val="Heading2"/>
        <w:rPr>
          <w:lang w:val="en-IN"/>
        </w:rPr>
      </w:pPr>
      <w:bookmarkStart w:id="14" w:name="_Toc242776408"/>
      <w:r>
        <w:rPr>
          <w:lang w:val="en-IN"/>
        </w:rPr>
        <w:t xml:space="preserve">1. </w:t>
      </w:r>
      <w:r w:rsidRPr="00450D1D">
        <w:rPr>
          <w:lang w:val="en-IN"/>
        </w:rPr>
        <w:t>AI as a Strategic Tool</w:t>
      </w:r>
      <w:bookmarkEnd w:id="14"/>
    </w:p>
    <w:p w14:paraId="3FD82AB2" w14:textId="77777777" w:rsidR="00450D1D" w:rsidRDefault="00450D1D" w:rsidP="00450D1D">
      <w:pPr>
        <w:rPr>
          <w:lang w:val="en-IN"/>
        </w:rPr>
      </w:pPr>
      <w:r>
        <w:t>Artificial intelligence can assist HR decision making through summarizing comments from a work force survey, detecting skill deficiencies, organizing recruitment information and proposing training material. For instance, AI can aggregate recurring topics from feedback given by the employees, but the manager should understand the context first before making the decision. Although it can reduce the time spent on making decisions, its outcomes might be wrong and biased. Generative AI is more probable to change and improve many occupations rather than automate them (Gmyrek, Berg and Bescond, 2023).</w:t>
      </w:r>
    </w:p>
    <w:p w14:paraId="62EAB3BF" w14:textId="77777777" w:rsidR="00CE181B" w:rsidRDefault="00000000">
      <w:pPr>
        <w:jc w:val="center"/>
      </w:pPr>
      <w:r>
        <w:rPr>
          <w:noProof/>
        </w:rPr>
        <w:drawing>
          <wp:inline distT="0" distB="0" distL="0" distR="0" wp14:anchorId="1A7E04F5" wp14:editId="6F90F747">
            <wp:extent cx="5486400" cy="2537699"/>
            <wp:effectExtent l="0" t="0" r="0" b="0"/>
            <wp:docPr id="2" name="Picture 2" descr="Recreated bar chart using ILO Figure 9a global estimates for augmentation and automation potential by income group." title="Potential employment effects of generative AI by incom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o_fig9a_recreated.png"/>
                    <pic:cNvPicPr/>
                  </pic:nvPicPr>
                  <pic:blipFill>
                    <a:blip r:embed="rId9"/>
                    <a:stretch>
                      <a:fillRect/>
                    </a:stretch>
                  </pic:blipFill>
                  <pic:spPr>
                    <a:xfrm>
                      <a:off x="0" y="0"/>
                      <a:ext cx="5486400" cy="2537699"/>
                    </a:xfrm>
                    <a:prstGeom prst="rect">
                      <a:avLst/>
                    </a:prstGeom>
                  </pic:spPr>
                </pic:pic>
              </a:graphicData>
            </a:graphic>
          </wp:inline>
        </w:drawing>
      </w:r>
    </w:p>
    <w:p w14:paraId="60FE925B" w14:textId="3535F5B6" w:rsidR="00CE181B" w:rsidRPr="002818DC" w:rsidRDefault="00000000">
      <w:pPr>
        <w:spacing w:before="40" w:after="0"/>
        <w:jc w:val="center"/>
        <w:rPr>
          <w:szCs w:val="24"/>
        </w:rPr>
      </w:pPr>
      <w:r w:rsidRPr="002818DC">
        <w:rPr>
          <w:b/>
          <w:szCs w:val="24"/>
        </w:rPr>
        <w:t>Figure 1</w:t>
      </w:r>
      <w:r w:rsidR="002818DC">
        <w:rPr>
          <w:b/>
          <w:szCs w:val="24"/>
        </w:rPr>
        <w:t>:</w:t>
      </w:r>
      <w:r w:rsidRPr="002818DC">
        <w:rPr>
          <w:b/>
          <w:szCs w:val="24"/>
        </w:rPr>
        <w:t xml:space="preserve"> </w:t>
      </w:r>
      <w:r w:rsidRPr="002818DC">
        <w:rPr>
          <w:i/>
          <w:szCs w:val="24"/>
        </w:rPr>
        <w:t>Potential employment effects of generative AI by income group.</w:t>
      </w:r>
    </w:p>
    <w:p w14:paraId="2141A373" w14:textId="77777777" w:rsidR="00CE181B" w:rsidRPr="002818DC" w:rsidRDefault="00000000">
      <w:pPr>
        <w:spacing w:before="0"/>
        <w:jc w:val="center"/>
        <w:rPr>
          <w:szCs w:val="24"/>
        </w:rPr>
      </w:pPr>
      <w:r w:rsidRPr="002818DC">
        <w:rPr>
          <w:szCs w:val="24"/>
        </w:rPr>
        <w:t xml:space="preserve">Source: Recreated from Gmyrek, Berg and Bescond (2023, Figure 9a, p. 34); </w:t>
      </w:r>
      <w:hyperlink r:id="rId10">
        <w:r w:rsidR="00CE181B" w:rsidRPr="002818DC">
          <w:rPr>
            <w:rStyle w:val="Hyperlink"/>
            <w:szCs w:val="24"/>
          </w:rPr>
          <w:t>ILO report</w:t>
        </w:r>
      </w:hyperlink>
      <w:r w:rsidRPr="002818DC">
        <w:rPr>
          <w:szCs w:val="24"/>
        </w:rPr>
        <w:t>.</w:t>
      </w:r>
    </w:p>
    <w:p w14:paraId="6E2825F3" w14:textId="77777777" w:rsidR="00CE181B" w:rsidRDefault="00000000">
      <w:r>
        <w:t>Thus, HR specialists should consider using AI as decision support tools, but not as decision makers. Decisions on hiring and promotion and performance management require human consideration and privacy protection (UNESCO, 2021; NIST, 2023).</w:t>
      </w:r>
    </w:p>
    <w:p w14:paraId="1544DDCE" w14:textId="77777777" w:rsidR="00CE181B" w:rsidRDefault="00000000">
      <w:pPr>
        <w:jc w:val="center"/>
      </w:pPr>
      <w:r>
        <w:rPr>
          <w:noProof/>
        </w:rPr>
        <w:lastRenderedPageBreak/>
        <w:drawing>
          <wp:inline distT="0" distB="0" distL="0" distR="0" wp14:anchorId="276B5B8D" wp14:editId="5CA3F455">
            <wp:extent cx="5486400" cy="2319472"/>
            <wp:effectExtent l="0" t="0" r="0" b="0"/>
            <wp:docPr id="3" name="Picture 3" descr="Adapted diagram of NIST AI RMF 1.0 trustworthiness characteristics: valid and reliable, safe, secure and resilient, explainable and interpretable, privacy-enhanced, fair with harmful bias managed, accountable and transparent." title="Characteristics of trustworthy AI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st_trustworthy_ai_adapted.png"/>
                    <pic:cNvPicPr/>
                  </pic:nvPicPr>
                  <pic:blipFill>
                    <a:blip r:embed="rId11"/>
                    <a:stretch>
                      <a:fillRect/>
                    </a:stretch>
                  </pic:blipFill>
                  <pic:spPr>
                    <a:xfrm>
                      <a:off x="0" y="0"/>
                      <a:ext cx="5486400" cy="2319472"/>
                    </a:xfrm>
                    <a:prstGeom prst="rect">
                      <a:avLst/>
                    </a:prstGeom>
                  </pic:spPr>
                </pic:pic>
              </a:graphicData>
            </a:graphic>
          </wp:inline>
        </w:drawing>
      </w:r>
    </w:p>
    <w:p w14:paraId="0DFDEB80" w14:textId="5297EB77" w:rsidR="00CE181B" w:rsidRPr="002818DC" w:rsidRDefault="00000000">
      <w:pPr>
        <w:spacing w:before="40" w:after="0"/>
        <w:jc w:val="center"/>
        <w:rPr>
          <w:szCs w:val="24"/>
        </w:rPr>
      </w:pPr>
      <w:r w:rsidRPr="002818DC">
        <w:rPr>
          <w:b/>
          <w:szCs w:val="24"/>
        </w:rPr>
        <w:t>Figure 2</w:t>
      </w:r>
      <w:r w:rsidR="002818DC">
        <w:rPr>
          <w:b/>
          <w:szCs w:val="24"/>
        </w:rPr>
        <w:t>:</w:t>
      </w:r>
      <w:r w:rsidRPr="002818DC">
        <w:rPr>
          <w:b/>
          <w:szCs w:val="24"/>
        </w:rPr>
        <w:t xml:space="preserve"> </w:t>
      </w:r>
      <w:r w:rsidRPr="002818DC">
        <w:rPr>
          <w:i/>
          <w:szCs w:val="24"/>
        </w:rPr>
        <w:t>Characteristics of trustworthy AI systems.</w:t>
      </w:r>
    </w:p>
    <w:p w14:paraId="614041CC" w14:textId="77777777" w:rsidR="00CE181B" w:rsidRPr="002818DC" w:rsidRDefault="00000000">
      <w:pPr>
        <w:spacing w:before="0" w:after="160"/>
        <w:jc w:val="center"/>
        <w:rPr>
          <w:szCs w:val="24"/>
        </w:rPr>
      </w:pPr>
      <w:r w:rsidRPr="002818DC">
        <w:rPr>
          <w:szCs w:val="24"/>
        </w:rPr>
        <w:t xml:space="preserve">Source: Adapted from NIST (2023, Figure 4, p. 12); </w:t>
      </w:r>
      <w:hyperlink r:id="rId12">
        <w:r w:rsidR="00CE181B" w:rsidRPr="002818DC">
          <w:rPr>
            <w:rStyle w:val="Hyperlink"/>
            <w:szCs w:val="24"/>
          </w:rPr>
          <w:t>AI RMF 1.0</w:t>
        </w:r>
      </w:hyperlink>
      <w:r w:rsidRPr="002818DC">
        <w:rPr>
          <w:szCs w:val="24"/>
        </w:rPr>
        <w:t>.</w:t>
      </w:r>
    </w:p>
    <w:p w14:paraId="79292711" w14:textId="77777777" w:rsidR="00450D1D" w:rsidRPr="00450D1D" w:rsidRDefault="00450D1D" w:rsidP="00C12046">
      <w:pPr>
        <w:pStyle w:val="Heading2"/>
        <w:rPr>
          <w:lang w:val="en-IN"/>
        </w:rPr>
      </w:pPr>
      <w:bookmarkStart w:id="15" w:name="_Toc242776409"/>
      <w:r>
        <w:rPr>
          <w:lang w:val="en-IN"/>
        </w:rPr>
        <w:t xml:space="preserve">2. </w:t>
      </w:r>
      <w:r w:rsidRPr="00450D1D">
        <w:rPr>
          <w:lang w:val="en-IN"/>
        </w:rPr>
        <w:t>Reflective Analysis: Three Examples</w:t>
      </w:r>
      <w:bookmarkEnd w:id="15"/>
    </w:p>
    <w:p w14:paraId="3ACCAFF6" w14:textId="77777777" w:rsidR="00450D1D" w:rsidRPr="00450D1D" w:rsidRDefault="00450D1D" w:rsidP="00450D1D">
      <w:pPr>
        <w:rPr>
          <w:lang w:val="en-IN"/>
        </w:rPr>
      </w:pPr>
      <w:r w:rsidRPr="00450D1D">
        <w:rPr>
          <w:lang w:val="en-IN"/>
        </w:rPr>
        <w:t>First, I employed AI to comprehend Human Capital Management ideas that I was unfamiliar with. A clear explanation enabled me to determine the subject matter I should read about. Still, even a simple explanation is not always sufficient and accurate, so it was my responsibility to understand the concept and write my assignment.</w:t>
      </w:r>
    </w:p>
    <w:p w14:paraId="598742B6" w14:textId="77777777" w:rsidR="00450D1D" w:rsidRPr="00450D1D" w:rsidRDefault="00450D1D" w:rsidP="00450D1D">
      <w:pPr>
        <w:rPr>
          <w:lang w:val="en-IN"/>
        </w:rPr>
      </w:pPr>
      <w:r w:rsidRPr="00450D1D">
        <w:rPr>
          <w:lang w:val="en-IN"/>
        </w:rPr>
        <w:t>Second, I employed AI to brainstorm and provide me with keywords and possible areas of research to look into. In this way, I got started with my searches and gained new perspectives. Yet, the information provided by the AI was just some starting point. It was necessary to find reliable publications rather than accept some unsubstantiated claims and references.</w:t>
      </w:r>
    </w:p>
    <w:p w14:paraId="351731DC" w14:textId="77777777" w:rsidR="00450D1D" w:rsidRDefault="00450D1D" w:rsidP="00450D1D">
      <w:pPr>
        <w:rPr>
          <w:lang w:val="en-IN"/>
        </w:rPr>
      </w:pPr>
      <w:r w:rsidRPr="00450D1D">
        <w:rPr>
          <w:lang w:val="en-IN"/>
        </w:rPr>
        <w:t>Third, I employed AI to check for grammar and coherence of my sentences. While I accepted some suggestions made by the AI, I still chose those changes which reflected my message. It is I who prepared my assignment, so AI did not develop any arguments and make any decisions.</w:t>
      </w:r>
    </w:p>
    <w:p w14:paraId="55E0946B" w14:textId="77777777" w:rsidR="00450D1D" w:rsidRPr="00450D1D" w:rsidRDefault="00450D1D" w:rsidP="00C12046">
      <w:pPr>
        <w:pStyle w:val="Heading2"/>
        <w:rPr>
          <w:lang w:val="en-IN"/>
        </w:rPr>
      </w:pPr>
      <w:bookmarkStart w:id="16" w:name="_Toc242776410"/>
      <w:r>
        <w:rPr>
          <w:lang w:val="en-IN"/>
        </w:rPr>
        <w:t xml:space="preserve">3. </w:t>
      </w:r>
      <w:r w:rsidRPr="00450D1D">
        <w:rPr>
          <w:lang w:val="en-IN"/>
        </w:rPr>
        <w:t>Personal Capability Development Plan</w:t>
      </w:r>
      <w:bookmarkEnd w:id="16"/>
    </w:p>
    <w:tbl>
      <w:tblPr>
        <w:tblStyle w:val="TableGrid"/>
        <w:tblW w:w="0" w:type="auto"/>
        <w:tblLook w:val="04A0" w:firstRow="1" w:lastRow="0" w:firstColumn="1" w:lastColumn="0" w:noHBand="0" w:noVBand="1"/>
      </w:tblPr>
      <w:tblGrid>
        <w:gridCol w:w="1970"/>
        <w:gridCol w:w="2931"/>
        <w:gridCol w:w="1688"/>
        <w:gridCol w:w="2427"/>
      </w:tblGrid>
      <w:tr w:rsidR="00450D1D" w:rsidRPr="00450D1D" w14:paraId="37501272" w14:textId="77777777" w:rsidTr="00450D1D">
        <w:tc>
          <w:tcPr>
            <w:tcW w:w="0" w:type="auto"/>
            <w:hideMark/>
          </w:tcPr>
          <w:p w14:paraId="23AAC25C" w14:textId="77777777" w:rsidR="00450D1D" w:rsidRPr="00450D1D" w:rsidRDefault="00450D1D" w:rsidP="00450D1D">
            <w:pPr>
              <w:rPr>
                <w:b/>
                <w:bCs/>
                <w:lang w:val="en-IN"/>
              </w:rPr>
            </w:pPr>
            <w:r w:rsidRPr="00450D1D">
              <w:rPr>
                <w:b/>
                <w:bCs/>
                <w:lang w:val="en-IN"/>
              </w:rPr>
              <w:t>Development goal</w:t>
            </w:r>
          </w:p>
        </w:tc>
        <w:tc>
          <w:tcPr>
            <w:tcW w:w="0" w:type="auto"/>
            <w:hideMark/>
          </w:tcPr>
          <w:p w14:paraId="68EF1611" w14:textId="77777777" w:rsidR="00450D1D" w:rsidRPr="00450D1D" w:rsidRDefault="00450D1D" w:rsidP="00450D1D">
            <w:pPr>
              <w:rPr>
                <w:b/>
                <w:bCs/>
                <w:lang w:val="en-IN"/>
              </w:rPr>
            </w:pPr>
            <w:r w:rsidRPr="00450D1D">
              <w:rPr>
                <w:b/>
                <w:bCs/>
                <w:lang w:val="en-IN"/>
              </w:rPr>
              <w:t>Action</w:t>
            </w:r>
          </w:p>
        </w:tc>
        <w:tc>
          <w:tcPr>
            <w:tcW w:w="0" w:type="auto"/>
            <w:hideMark/>
          </w:tcPr>
          <w:p w14:paraId="372E716E" w14:textId="77777777" w:rsidR="00450D1D" w:rsidRPr="00450D1D" w:rsidRDefault="00450D1D" w:rsidP="00450D1D">
            <w:pPr>
              <w:rPr>
                <w:b/>
                <w:bCs/>
                <w:lang w:val="en-IN"/>
              </w:rPr>
            </w:pPr>
            <w:r w:rsidRPr="00450D1D">
              <w:rPr>
                <w:b/>
                <w:bCs/>
                <w:lang w:val="en-IN"/>
              </w:rPr>
              <w:t>Target date</w:t>
            </w:r>
          </w:p>
        </w:tc>
        <w:tc>
          <w:tcPr>
            <w:tcW w:w="0" w:type="auto"/>
            <w:hideMark/>
          </w:tcPr>
          <w:p w14:paraId="0BC247FB" w14:textId="77777777" w:rsidR="00450D1D" w:rsidRPr="00450D1D" w:rsidRDefault="00450D1D" w:rsidP="00450D1D">
            <w:pPr>
              <w:rPr>
                <w:b/>
                <w:bCs/>
                <w:lang w:val="en-IN"/>
              </w:rPr>
            </w:pPr>
            <w:r w:rsidRPr="00450D1D">
              <w:rPr>
                <w:b/>
                <w:bCs/>
                <w:lang w:val="en-IN"/>
              </w:rPr>
              <w:t>Evidence of success</w:t>
            </w:r>
          </w:p>
        </w:tc>
      </w:tr>
      <w:tr w:rsidR="00450D1D" w:rsidRPr="00450D1D" w14:paraId="539186F8" w14:textId="77777777" w:rsidTr="00450D1D">
        <w:tc>
          <w:tcPr>
            <w:tcW w:w="0" w:type="auto"/>
            <w:hideMark/>
          </w:tcPr>
          <w:p w14:paraId="15E063FA" w14:textId="77777777" w:rsidR="00450D1D" w:rsidRPr="00450D1D" w:rsidRDefault="00450D1D" w:rsidP="00450D1D">
            <w:pPr>
              <w:rPr>
                <w:lang w:val="en-IN"/>
              </w:rPr>
            </w:pPr>
            <w:r w:rsidRPr="00450D1D">
              <w:rPr>
                <w:lang w:val="en-IN"/>
              </w:rPr>
              <w:t>Improve research skills</w:t>
            </w:r>
          </w:p>
        </w:tc>
        <w:tc>
          <w:tcPr>
            <w:tcW w:w="0" w:type="auto"/>
            <w:hideMark/>
          </w:tcPr>
          <w:p w14:paraId="5C682903" w14:textId="77777777" w:rsidR="00450D1D" w:rsidRPr="00450D1D" w:rsidRDefault="00450D1D" w:rsidP="00450D1D">
            <w:pPr>
              <w:rPr>
                <w:lang w:val="en-IN"/>
              </w:rPr>
            </w:pPr>
            <w:r w:rsidRPr="00450D1D">
              <w:rPr>
                <w:lang w:val="en-IN"/>
              </w:rPr>
              <w:t>Verify authors, publication details and DOI or official links before citing sources.</w:t>
            </w:r>
          </w:p>
        </w:tc>
        <w:tc>
          <w:tcPr>
            <w:tcW w:w="0" w:type="auto"/>
            <w:hideMark/>
          </w:tcPr>
          <w:p w14:paraId="22FA44F6" w14:textId="77777777" w:rsidR="00450D1D" w:rsidRPr="00450D1D" w:rsidRDefault="00450D1D" w:rsidP="00450D1D">
            <w:pPr>
              <w:rPr>
                <w:lang w:val="en-IN"/>
              </w:rPr>
            </w:pPr>
            <w:r w:rsidRPr="00450D1D">
              <w:rPr>
                <w:lang w:val="en-IN"/>
              </w:rPr>
              <w:t>Within 2 months</w:t>
            </w:r>
          </w:p>
        </w:tc>
        <w:tc>
          <w:tcPr>
            <w:tcW w:w="0" w:type="auto"/>
            <w:hideMark/>
          </w:tcPr>
          <w:p w14:paraId="76346848" w14:textId="77777777" w:rsidR="00450D1D" w:rsidRPr="00450D1D" w:rsidRDefault="00450D1D" w:rsidP="00450D1D">
            <w:pPr>
              <w:rPr>
                <w:lang w:val="en-IN"/>
              </w:rPr>
            </w:pPr>
            <w:r w:rsidRPr="00450D1D">
              <w:rPr>
                <w:lang w:val="en-IN"/>
              </w:rPr>
              <w:t>References checked and relevant to each claim.</w:t>
            </w:r>
          </w:p>
        </w:tc>
      </w:tr>
      <w:tr w:rsidR="00450D1D" w:rsidRPr="00450D1D" w14:paraId="031001A4" w14:textId="77777777" w:rsidTr="00450D1D">
        <w:tc>
          <w:tcPr>
            <w:tcW w:w="0" w:type="auto"/>
            <w:hideMark/>
          </w:tcPr>
          <w:p w14:paraId="10F3B8D4" w14:textId="77777777" w:rsidR="00450D1D" w:rsidRPr="00450D1D" w:rsidRDefault="00450D1D" w:rsidP="00450D1D">
            <w:pPr>
              <w:rPr>
                <w:lang w:val="en-IN"/>
              </w:rPr>
            </w:pPr>
            <w:r w:rsidRPr="00450D1D">
              <w:rPr>
                <w:lang w:val="en-IN"/>
              </w:rPr>
              <w:lastRenderedPageBreak/>
              <w:t>Build HR AI literacy</w:t>
            </w:r>
          </w:p>
        </w:tc>
        <w:tc>
          <w:tcPr>
            <w:tcW w:w="0" w:type="auto"/>
            <w:hideMark/>
          </w:tcPr>
          <w:p w14:paraId="71066398" w14:textId="77777777" w:rsidR="00450D1D" w:rsidRPr="00450D1D" w:rsidRDefault="00450D1D" w:rsidP="00450D1D">
            <w:pPr>
              <w:rPr>
                <w:lang w:val="en-IN"/>
              </w:rPr>
            </w:pPr>
            <w:r w:rsidRPr="00450D1D">
              <w:rPr>
                <w:lang w:val="en-IN"/>
              </w:rPr>
              <w:t>Complete a short course on HR analytics, AI bias and data privacy.</w:t>
            </w:r>
          </w:p>
        </w:tc>
        <w:tc>
          <w:tcPr>
            <w:tcW w:w="0" w:type="auto"/>
            <w:hideMark/>
          </w:tcPr>
          <w:p w14:paraId="1D27C278" w14:textId="77777777" w:rsidR="00450D1D" w:rsidRPr="00450D1D" w:rsidRDefault="00450D1D" w:rsidP="00450D1D">
            <w:pPr>
              <w:rPr>
                <w:lang w:val="en-IN"/>
              </w:rPr>
            </w:pPr>
            <w:r w:rsidRPr="00450D1D">
              <w:rPr>
                <w:lang w:val="en-IN"/>
              </w:rPr>
              <w:t>Within 4 months</w:t>
            </w:r>
          </w:p>
        </w:tc>
        <w:tc>
          <w:tcPr>
            <w:tcW w:w="0" w:type="auto"/>
            <w:hideMark/>
          </w:tcPr>
          <w:p w14:paraId="195C4000" w14:textId="77777777" w:rsidR="00450D1D" w:rsidRPr="00450D1D" w:rsidRDefault="00450D1D" w:rsidP="00450D1D">
            <w:pPr>
              <w:rPr>
                <w:lang w:val="en-IN"/>
              </w:rPr>
            </w:pPr>
            <w:r w:rsidRPr="00450D1D">
              <w:rPr>
                <w:lang w:val="en-IN"/>
              </w:rPr>
              <w:t>Course completion and a short reflection.</w:t>
            </w:r>
          </w:p>
        </w:tc>
      </w:tr>
      <w:tr w:rsidR="00450D1D" w:rsidRPr="00450D1D" w14:paraId="12CA56B4" w14:textId="77777777" w:rsidTr="00450D1D">
        <w:tc>
          <w:tcPr>
            <w:tcW w:w="0" w:type="auto"/>
            <w:hideMark/>
          </w:tcPr>
          <w:p w14:paraId="181BA88D" w14:textId="77777777" w:rsidR="00450D1D" w:rsidRPr="00450D1D" w:rsidRDefault="00450D1D" w:rsidP="00450D1D">
            <w:pPr>
              <w:rPr>
                <w:lang w:val="en-IN"/>
              </w:rPr>
            </w:pPr>
            <w:r w:rsidRPr="00450D1D">
              <w:rPr>
                <w:lang w:val="en-IN"/>
              </w:rPr>
              <w:t>Strengthen independent writing</w:t>
            </w:r>
          </w:p>
        </w:tc>
        <w:tc>
          <w:tcPr>
            <w:tcW w:w="0" w:type="auto"/>
            <w:hideMark/>
          </w:tcPr>
          <w:p w14:paraId="781DF6FF" w14:textId="77777777" w:rsidR="00450D1D" w:rsidRPr="00450D1D" w:rsidRDefault="00450D1D" w:rsidP="00450D1D">
            <w:pPr>
              <w:rPr>
                <w:lang w:val="en-IN"/>
              </w:rPr>
            </w:pPr>
            <w:r w:rsidRPr="00450D1D">
              <w:rPr>
                <w:lang w:val="en-IN"/>
              </w:rPr>
              <w:t>Draft before using grammar tools and review every accepted change.</w:t>
            </w:r>
          </w:p>
        </w:tc>
        <w:tc>
          <w:tcPr>
            <w:tcW w:w="0" w:type="auto"/>
            <w:hideMark/>
          </w:tcPr>
          <w:p w14:paraId="30999A4F" w14:textId="77777777" w:rsidR="00450D1D" w:rsidRPr="00450D1D" w:rsidRDefault="00450D1D" w:rsidP="00450D1D">
            <w:pPr>
              <w:rPr>
                <w:lang w:val="en-IN"/>
              </w:rPr>
            </w:pPr>
            <w:r w:rsidRPr="00450D1D">
              <w:rPr>
                <w:lang w:val="en-IN"/>
              </w:rPr>
              <w:t>For every future assignment</w:t>
            </w:r>
          </w:p>
        </w:tc>
        <w:tc>
          <w:tcPr>
            <w:tcW w:w="0" w:type="auto"/>
            <w:hideMark/>
          </w:tcPr>
          <w:p w14:paraId="0FC1A457" w14:textId="77777777" w:rsidR="00450D1D" w:rsidRPr="00450D1D" w:rsidRDefault="00450D1D" w:rsidP="00450D1D">
            <w:pPr>
              <w:rPr>
                <w:lang w:val="en-IN"/>
              </w:rPr>
            </w:pPr>
            <w:r w:rsidRPr="00450D1D">
              <w:rPr>
                <w:lang w:val="en-IN"/>
              </w:rPr>
              <w:t>Fewer repeated errors and independent analysis retained.</w:t>
            </w:r>
          </w:p>
        </w:tc>
      </w:tr>
    </w:tbl>
    <w:p w14:paraId="776CFA99" w14:textId="77777777" w:rsidR="00450D1D" w:rsidRPr="00450D1D" w:rsidRDefault="00450D1D" w:rsidP="0091669E">
      <w:pPr>
        <w:rPr>
          <w:lang w:val="en-IN"/>
        </w:rPr>
      </w:pPr>
      <w:r w:rsidRPr="00450D1D">
        <w:rPr>
          <w:lang w:val="en-IN"/>
        </w:rPr>
        <w:t>AI is beneficial when it promotes learning while not compromising the individual’s ability to think independently. As far as my future HR career goes, I will ensure that confidentiality is preserved, output is evaluated, and responsibility for decision making is retained. It shows how transparency, accountability, and human intervention play a key role in ethical AI guidelines (UNESCO, 2021; NIST, 2023).</w:t>
      </w:r>
    </w:p>
    <w:p w14:paraId="2AD6BD2A" w14:textId="77777777" w:rsidR="00450D1D" w:rsidRDefault="00450D1D">
      <w:pPr>
        <w:spacing w:before="0" w:after="200" w:line="276" w:lineRule="auto"/>
        <w:jc w:val="left"/>
        <w:rPr>
          <w:b/>
          <w:bCs/>
        </w:rPr>
      </w:pPr>
      <w:r>
        <w:rPr>
          <w:b/>
          <w:bCs/>
        </w:rPr>
        <w:br w:type="page"/>
      </w:r>
    </w:p>
    <w:p w14:paraId="0B23B839" w14:textId="77777777" w:rsidR="0091669E" w:rsidRDefault="0091669E" w:rsidP="00C12046">
      <w:pPr>
        <w:pStyle w:val="Heading1"/>
      </w:pPr>
      <w:bookmarkStart w:id="17" w:name="_Toc242776411"/>
      <w:r w:rsidRPr="0091669E">
        <w:lastRenderedPageBreak/>
        <w:t>Reference List</w:t>
      </w:r>
      <w:bookmarkEnd w:id="17"/>
    </w:p>
    <w:p w14:paraId="745F0C84" w14:textId="77777777" w:rsidR="00450D1D" w:rsidRPr="00450D1D" w:rsidRDefault="00450D1D" w:rsidP="0091669E">
      <w:proofErr w:type="spellStart"/>
      <w:r w:rsidRPr="00450D1D">
        <w:t>Alerasoul</w:t>
      </w:r>
      <w:proofErr w:type="spellEnd"/>
      <w:r w:rsidRPr="00450D1D">
        <w:t xml:space="preserve">, S.A., </w:t>
      </w:r>
      <w:proofErr w:type="spellStart"/>
      <w:r w:rsidRPr="00450D1D">
        <w:t>Afeltra</w:t>
      </w:r>
      <w:proofErr w:type="spellEnd"/>
      <w:r w:rsidRPr="00450D1D">
        <w:t>, G., Hakala, H., Minelli, E.A. and Strozzi, F. (2022) ‘</w:t>
      </w:r>
      <w:proofErr w:type="spellStart"/>
      <w:r w:rsidRPr="00450D1D">
        <w:t>Organisational</w:t>
      </w:r>
      <w:proofErr w:type="spellEnd"/>
      <w:r w:rsidRPr="00450D1D">
        <w:t xml:space="preserve"> learning, learning </w:t>
      </w:r>
      <w:proofErr w:type="spellStart"/>
      <w:r w:rsidRPr="00450D1D">
        <w:t>organisation</w:t>
      </w:r>
      <w:proofErr w:type="spellEnd"/>
      <w:r w:rsidRPr="00450D1D">
        <w:t xml:space="preserve">, and learning orientation: An integrative review and framework’, Human Resource Management Review, 32(3), article 100854. Available at: </w:t>
      </w:r>
      <w:hyperlink r:id="rId13">
        <w:r w:rsidRPr="00450D1D">
          <w:rPr>
            <w:rStyle w:val="Hyperlink"/>
            <w:color w:val="auto"/>
          </w:rPr>
          <w:t>https://doi.org/10.1016/j.hrmr.2021.100854</w:t>
        </w:r>
      </w:hyperlink>
    </w:p>
    <w:p w14:paraId="7D700B6D" w14:textId="77777777" w:rsidR="00450D1D" w:rsidRPr="00450D1D" w:rsidRDefault="00450D1D" w:rsidP="0091669E">
      <w:proofErr w:type="spellStart"/>
      <w:r w:rsidRPr="00450D1D">
        <w:t>Aljbour</w:t>
      </w:r>
      <w:proofErr w:type="spellEnd"/>
      <w:r w:rsidRPr="00450D1D">
        <w:t xml:space="preserve">, A. and French, E. (2022) ‘An evidence-based multilevel framework of talent management: A systematic review’, International Journal of Productivity and Performance Management, 71(8), pp. 3348–3376. Available at: </w:t>
      </w:r>
      <w:hyperlink r:id="rId14">
        <w:r w:rsidRPr="00450D1D">
          <w:rPr>
            <w:rStyle w:val="Hyperlink"/>
            <w:color w:val="auto"/>
          </w:rPr>
          <w:t>https://doi.org/10.1108/IJPPM-02-2020-0065</w:t>
        </w:r>
      </w:hyperlink>
    </w:p>
    <w:p w14:paraId="4E734EF4" w14:textId="77777777" w:rsidR="00450D1D" w:rsidRPr="00450D1D" w:rsidRDefault="00450D1D" w:rsidP="0023728F">
      <w:r w:rsidRPr="00450D1D">
        <w:t xml:space="preserve">Bloom, N., Han, R. and Liang, J. (2024). </w:t>
      </w:r>
      <w:r w:rsidRPr="00450D1D">
        <w:rPr>
          <w:i/>
        </w:rPr>
        <w:t xml:space="preserve">Hybrid working from home improves retention without damaging performance. </w:t>
      </w:r>
      <w:r w:rsidRPr="00450D1D">
        <w:t xml:space="preserve">Nature, 630, pp. 920–925. </w:t>
      </w:r>
      <w:hyperlink r:id="rId15">
        <w:r w:rsidRPr="00450D1D">
          <w:rPr>
            <w:u w:val="single"/>
          </w:rPr>
          <w:t>https://doi.org/10.1038/s41586-024-07500-2</w:t>
        </w:r>
      </w:hyperlink>
    </w:p>
    <w:p w14:paraId="38A8D84F" w14:textId="77777777" w:rsidR="00450D1D" w:rsidRPr="00450D1D" w:rsidRDefault="00450D1D" w:rsidP="0091669E">
      <w:r w:rsidRPr="00450D1D">
        <w:t xml:space="preserve">CIPD (2024) Resourcing and talent planning report 2024. London: Chartered Institute of Personnel and Development. Available at: </w:t>
      </w:r>
      <w:hyperlink r:id="rId16">
        <w:r w:rsidRPr="00450D1D">
          <w:rPr>
            <w:rStyle w:val="Hyperlink"/>
            <w:color w:val="auto"/>
          </w:rPr>
          <w:t>https://www.cipd.org/globalassets/media/knowledge/knowledge-hub/reports/2024-pdfs/8662-resource-and-talent-planning-2024-report-web.pdf</w:t>
        </w:r>
      </w:hyperlink>
      <w:r w:rsidRPr="00450D1D">
        <w:t xml:space="preserve"> (Accessed: 13 October 2026).</w:t>
      </w:r>
    </w:p>
    <w:p w14:paraId="407F173B" w14:textId="77777777" w:rsidR="00450D1D" w:rsidRPr="00450D1D" w:rsidRDefault="00450D1D" w:rsidP="0091669E">
      <w:r w:rsidRPr="00450D1D">
        <w:t xml:space="preserve">CIPD (2025) Talent management. Factsheet, 26 November. Available at: </w:t>
      </w:r>
      <w:hyperlink r:id="rId17">
        <w:r w:rsidRPr="00450D1D">
          <w:rPr>
            <w:rStyle w:val="Hyperlink"/>
            <w:color w:val="auto"/>
          </w:rPr>
          <w:t>https://www.cipd.org/en/knowledge/factsheets/talent-factsheet/</w:t>
        </w:r>
      </w:hyperlink>
      <w:r w:rsidRPr="00450D1D">
        <w:t xml:space="preserve"> (Accessed: 13 October 2026).</w:t>
      </w:r>
    </w:p>
    <w:p w14:paraId="66AB05AD" w14:textId="77777777" w:rsidR="00450D1D" w:rsidRPr="00450D1D" w:rsidRDefault="00450D1D" w:rsidP="0091669E">
      <w:r w:rsidRPr="00450D1D">
        <w:t xml:space="preserve">Edmondson, A.C. and Bransby, D.P. (2023) ‘Psychological safety comes of age: Observed themes in an established literature’, Annual Review of Organizational Psychology and Organizational Behavior, 10, pp. 55–78. Available at: </w:t>
      </w:r>
      <w:hyperlink r:id="rId18">
        <w:r w:rsidRPr="00450D1D">
          <w:rPr>
            <w:rStyle w:val="Hyperlink"/>
            <w:color w:val="auto"/>
          </w:rPr>
          <w:t>https://doi.org/10.1146/annurev-orgpsych-120920-055217</w:t>
        </w:r>
      </w:hyperlink>
    </w:p>
    <w:p w14:paraId="4A05B67B" w14:textId="77777777" w:rsidR="00450D1D" w:rsidRPr="00450D1D" w:rsidRDefault="00450D1D" w:rsidP="0091669E">
      <w:r w:rsidRPr="00450D1D">
        <w:t xml:space="preserve">Giannakos, M.N., Mikalef, P. and Pappas, I.O. (2022) ‘Systematic literature review of e-learning capabilities to enhance organizational learning’, Information Systems Frontiers, 24, pp. 619–635. Available at: </w:t>
      </w:r>
      <w:hyperlink r:id="rId19">
        <w:r w:rsidRPr="00450D1D">
          <w:rPr>
            <w:rStyle w:val="Hyperlink"/>
            <w:color w:val="auto"/>
          </w:rPr>
          <w:t>https://doi.org/10.1007/s10796-020-10097-2</w:t>
        </w:r>
      </w:hyperlink>
    </w:p>
    <w:p w14:paraId="58367775" w14:textId="77777777" w:rsidR="00450D1D" w:rsidRPr="00450D1D" w:rsidRDefault="00450D1D" w:rsidP="0023728F">
      <w:r w:rsidRPr="00450D1D">
        <w:t xml:space="preserve">Gibbs, M., Mengel, F. and </w:t>
      </w:r>
      <w:proofErr w:type="spellStart"/>
      <w:r w:rsidRPr="00450D1D">
        <w:t>Siemroth</w:t>
      </w:r>
      <w:proofErr w:type="spellEnd"/>
      <w:r w:rsidRPr="00450D1D">
        <w:t xml:space="preserve">, C. (2024). </w:t>
      </w:r>
      <w:r w:rsidRPr="00450D1D">
        <w:rPr>
          <w:i/>
        </w:rPr>
        <w:t xml:space="preserve">Employee innovation during office work, work from home and hybrid work. </w:t>
      </w:r>
      <w:r w:rsidRPr="00450D1D">
        <w:t xml:space="preserve">Scientific Reports, 14, 17117. </w:t>
      </w:r>
      <w:hyperlink r:id="rId20">
        <w:r w:rsidRPr="00450D1D">
          <w:rPr>
            <w:u w:val="single"/>
          </w:rPr>
          <w:t>https://doi.org/10.1038/s41598-024-67122-6</w:t>
        </w:r>
      </w:hyperlink>
    </w:p>
    <w:p w14:paraId="3C919720" w14:textId="77777777" w:rsidR="00450D1D" w:rsidRPr="00450D1D" w:rsidRDefault="00450D1D" w:rsidP="00450D1D">
      <w:pPr>
        <w:rPr>
          <w:lang w:val="en-IN"/>
        </w:rPr>
      </w:pPr>
      <w:r w:rsidRPr="00450D1D">
        <w:rPr>
          <w:lang w:val="en-IN"/>
        </w:rPr>
        <w:t xml:space="preserve">Gmyrek, P., Berg, J. and Bescond, D. (2023) Generative AI and Jobs: A Global Analysis of Potential Effects on Job Quantity and Quality. ILO Working Paper 96. Geneva: International Labour Organization. Available at: </w:t>
      </w:r>
      <w:hyperlink r:id="rId21" w:history="1">
        <w:r w:rsidRPr="00450D1D">
          <w:rPr>
            <w:rStyle w:val="Hyperlink"/>
            <w:color w:val="auto"/>
            <w:lang w:val="en-IN"/>
          </w:rPr>
          <w:t>https://doi.org/10.54394/FHEM8239</w:t>
        </w:r>
      </w:hyperlink>
    </w:p>
    <w:p w14:paraId="385F7560" w14:textId="77777777" w:rsidR="00450D1D" w:rsidRPr="00450D1D" w:rsidRDefault="00450D1D" w:rsidP="0023728F">
      <w:r w:rsidRPr="00450D1D">
        <w:lastRenderedPageBreak/>
        <w:t xml:space="preserve">Haines, V.Y. III, Guerrero, S. and Marchand, A. (2024). </w:t>
      </w:r>
      <w:r w:rsidRPr="00450D1D">
        <w:rPr>
          <w:i/>
        </w:rPr>
        <w:t xml:space="preserve">Flexible work arrangements and employee turnover intentions: contrasting pathways. </w:t>
      </w:r>
      <w:r w:rsidRPr="00450D1D">
        <w:t xml:space="preserve">The International Journal of Human Resource Management, 35(11), pp. 1970–1995. </w:t>
      </w:r>
      <w:hyperlink r:id="rId22">
        <w:r w:rsidRPr="00450D1D">
          <w:rPr>
            <w:u w:val="single"/>
          </w:rPr>
          <w:t>https://doi.org/10.1080/09585192.2024.2323510</w:t>
        </w:r>
      </w:hyperlink>
    </w:p>
    <w:p w14:paraId="4126BA0B" w14:textId="77777777" w:rsidR="00450D1D" w:rsidRPr="00450D1D" w:rsidRDefault="00450D1D" w:rsidP="0091669E">
      <w:r w:rsidRPr="00450D1D">
        <w:t xml:space="preserve">Han, S.J. and </w:t>
      </w:r>
      <w:proofErr w:type="spellStart"/>
      <w:r w:rsidRPr="00450D1D">
        <w:t>Stieha</w:t>
      </w:r>
      <w:proofErr w:type="spellEnd"/>
      <w:r w:rsidRPr="00450D1D">
        <w:t xml:space="preserve">, V. (2020) ‘Growth mindset for human resource development: A scoping review of the literature with recommended interventions’, Human Resource Development Review, 19(3), pp. 309–331. Available at: </w:t>
      </w:r>
      <w:hyperlink r:id="rId23">
        <w:r w:rsidRPr="00450D1D">
          <w:rPr>
            <w:rStyle w:val="Hyperlink"/>
            <w:color w:val="auto"/>
          </w:rPr>
          <w:t>https://doi.org/10.1177/1534484320939739</w:t>
        </w:r>
      </w:hyperlink>
    </w:p>
    <w:p w14:paraId="05BC0D7E" w14:textId="77777777" w:rsidR="00450D1D" w:rsidRPr="00450D1D" w:rsidRDefault="00450D1D" w:rsidP="0023728F">
      <w:r w:rsidRPr="00450D1D">
        <w:t xml:space="preserve">Jia, J., Wu, L., Xie, Y., He, X., Ren, Y. and Xu, S. (2024). </w:t>
      </w:r>
      <w:r w:rsidRPr="00450D1D">
        <w:rPr>
          <w:i/>
        </w:rPr>
        <w:t xml:space="preserve">A meta-analysis of the antecedents of flexible work arrangements utilization: based on Job demands-resources model. </w:t>
      </w:r>
      <w:r w:rsidRPr="00450D1D">
        <w:t xml:space="preserve">The International Journal of Human Resource Management, 35(14), pp. 2392–2431. </w:t>
      </w:r>
      <w:hyperlink r:id="rId24">
        <w:r w:rsidRPr="00450D1D">
          <w:rPr>
            <w:u w:val="single"/>
          </w:rPr>
          <w:t>https://doi.org/10.1080/09585192.2024.2326843</w:t>
        </w:r>
      </w:hyperlink>
    </w:p>
    <w:p w14:paraId="1A5E57EB" w14:textId="77777777" w:rsidR="00450D1D" w:rsidRPr="00450D1D" w:rsidRDefault="00450D1D" w:rsidP="0091669E">
      <w:proofErr w:type="spellStart"/>
      <w:r w:rsidRPr="00450D1D">
        <w:t>Kaliannan</w:t>
      </w:r>
      <w:proofErr w:type="spellEnd"/>
      <w:r w:rsidRPr="00450D1D">
        <w:t xml:space="preserve">, M., Darmalinggam, D., Dorasamy, M. and Abraham, M. (2023) ‘Inclusive talent development as a key talent management approach: A systematic literature review’, Human Resource Management Review, 33(2), article 100926. Available at: </w:t>
      </w:r>
      <w:hyperlink r:id="rId25">
        <w:r w:rsidRPr="00450D1D">
          <w:rPr>
            <w:rStyle w:val="Hyperlink"/>
            <w:color w:val="auto"/>
          </w:rPr>
          <w:t>https://doi.org/10.1016/j.hrmr.2022.100926</w:t>
        </w:r>
      </w:hyperlink>
    </w:p>
    <w:p w14:paraId="305F8E3D" w14:textId="77777777" w:rsidR="00450D1D" w:rsidRPr="00450D1D" w:rsidRDefault="00450D1D" w:rsidP="0091669E">
      <w:r w:rsidRPr="00450D1D">
        <w:t xml:space="preserve">McAnally, K. and Hagger, M.S. (2024) ‘Self-determination theory and workplace outcomes: A conceptual review and future research directions’, Behavioral Sciences, 14(6), article 428. Available at: </w:t>
      </w:r>
      <w:hyperlink r:id="rId26">
        <w:r w:rsidRPr="00450D1D">
          <w:rPr>
            <w:rStyle w:val="Hyperlink"/>
            <w:color w:val="auto"/>
          </w:rPr>
          <w:t>https://doi.org/10.3390/bs14060428</w:t>
        </w:r>
      </w:hyperlink>
    </w:p>
    <w:p w14:paraId="5CE09905" w14:textId="77777777" w:rsidR="00450D1D" w:rsidRPr="00450D1D" w:rsidRDefault="00450D1D" w:rsidP="0023728F">
      <w:r w:rsidRPr="00450D1D">
        <w:t xml:space="preserve">Mehmood, K., Jabeen, F., Iftikhar, Y., Yan, M., Khan, A.N., </w:t>
      </w:r>
      <w:proofErr w:type="spellStart"/>
      <w:r w:rsidRPr="00450D1D">
        <w:t>AlNahyan</w:t>
      </w:r>
      <w:proofErr w:type="spellEnd"/>
      <w:r w:rsidRPr="00450D1D">
        <w:t xml:space="preserve">, M.T., Alkindi, H.A. and </w:t>
      </w:r>
      <w:proofErr w:type="spellStart"/>
      <w:r w:rsidRPr="00450D1D">
        <w:t>Alhammadi</w:t>
      </w:r>
      <w:proofErr w:type="spellEnd"/>
      <w:r w:rsidRPr="00450D1D">
        <w:t xml:space="preserve">, B.A. (2022). </w:t>
      </w:r>
      <w:r w:rsidRPr="00450D1D">
        <w:rPr>
          <w:i/>
        </w:rPr>
        <w:t xml:space="preserve">Elucidating the effects of </w:t>
      </w:r>
      <w:proofErr w:type="spellStart"/>
      <w:r w:rsidRPr="00450D1D">
        <w:rPr>
          <w:i/>
        </w:rPr>
        <w:t>organisational</w:t>
      </w:r>
      <w:proofErr w:type="spellEnd"/>
      <w:r w:rsidRPr="00450D1D">
        <w:rPr>
          <w:i/>
        </w:rPr>
        <w:t xml:space="preserve"> practices on innovative work behavior in UAE public sector </w:t>
      </w:r>
      <w:proofErr w:type="spellStart"/>
      <w:r w:rsidRPr="00450D1D">
        <w:rPr>
          <w:i/>
        </w:rPr>
        <w:t>organisations</w:t>
      </w:r>
      <w:proofErr w:type="spellEnd"/>
      <w:r w:rsidRPr="00450D1D">
        <w:rPr>
          <w:i/>
        </w:rPr>
        <w:t xml:space="preserve">: the mediating role of employees’ wellbeing. </w:t>
      </w:r>
      <w:r w:rsidRPr="00450D1D">
        <w:t xml:space="preserve">Applied Psychology: Health and Well-Being, 14(3), pp. 715–733. </w:t>
      </w:r>
      <w:hyperlink r:id="rId27">
        <w:r w:rsidRPr="00450D1D">
          <w:rPr>
            <w:u w:val="single"/>
          </w:rPr>
          <w:t>https://doi.org/10.1111/aphw.12343</w:t>
        </w:r>
      </w:hyperlink>
    </w:p>
    <w:p w14:paraId="2F5B2D02" w14:textId="77777777" w:rsidR="00450D1D" w:rsidRPr="00450D1D" w:rsidRDefault="00450D1D" w:rsidP="0023728F">
      <w:proofErr w:type="spellStart"/>
      <w:r w:rsidRPr="00450D1D">
        <w:t>Mehralian</w:t>
      </w:r>
      <w:proofErr w:type="spellEnd"/>
      <w:r w:rsidRPr="00450D1D">
        <w:t xml:space="preserve">, G., Moradi, M. and </w:t>
      </w:r>
      <w:proofErr w:type="spellStart"/>
      <w:r w:rsidRPr="00450D1D">
        <w:t>Babapour</w:t>
      </w:r>
      <w:proofErr w:type="spellEnd"/>
      <w:r w:rsidRPr="00450D1D">
        <w:t xml:space="preserve">, J. (2021). </w:t>
      </w:r>
      <w:r w:rsidRPr="00450D1D">
        <w:rPr>
          <w:i/>
        </w:rPr>
        <w:t xml:space="preserve">How do high-performance work systems affect innovation performance? The organizational learning perspective. </w:t>
      </w:r>
      <w:r w:rsidRPr="00450D1D">
        <w:t xml:space="preserve">Personnel Review, 51(9), pp. 2081–2102. </w:t>
      </w:r>
      <w:hyperlink r:id="rId28">
        <w:r w:rsidRPr="00450D1D">
          <w:rPr>
            <w:u w:val="single"/>
          </w:rPr>
          <w:t>https://doi.org/10.1108/PR-08-2020-0617</w:t>
        </w:r>
      </w:hyperlink>
    </w:p>
    <w:p w14:paraId="57DA778C" w14:textId="77777777" w:rsidR="00450D1D" w:rsidRPr="00450D1D" w:rsidRDefault="00450D1D" w:rsidP="0023728F">
      <w:r w:rsidRPr="00450D1D">
        <w:t xml:space="preserve">Moh’d, S., Gregory, P., Barroca, L. and Sharp, H. (2024). </w:t>
      </w:r>
      <w:r w:rsidRPr="00450D1D">
        <w:rPr>
          <w:i/>
        </w:rPr>
        <w:t xml:space="preserve">Agile human resource management: A systematic mapping study. </w:t>
      </w:r>
      <w:r w:rsidRPr="00450D1D">
        <w:t xml:space="preserve">German Journal of Human Resource Management, 38(4), pp. 345–374. </w:t>
      </w:r>
      <w:hyperlink r:id="rId29">
        <w:r w:rsidRPr="00450D1D">
          <w:rPr>
            <w:u w:val="single"/>
          </w:rPr>
          <w:t>https://doi.org/10.1177/23970022231226316</w:t>
        </w:r>
      </w:hyperlink>
    </w:p>
    <w:p w14:paraId="73291D2F" w14:textId="77777777" w:rsidR="00450D1D" w:rsidRPr="00450D1D" w:rsidRDefault="00450D1D" w:rsidP="0091669E">
      <w:r w:rsidRPr="00450D1D">
        <w:lastRenderedPageBreak/>
        <w:t xml:space="preserve">Mukherjee, T. and Dhar, R.L. (2023) ‘Unraveling the black box of job crafting interventions: A systematic literature review and future prospects’, Applied Psychology, 72(3), pp. 1270–1323. Available at: </w:t>
      </w:r>
      <w:hyperlink r:id="rId30">
        <w:r w:rsidRPr="00450D1D">
          <w:rPr>
            <w:rStyle w:val="Hyperlink"/>
            <w:color w:val="auto"/>
          </w:rPr>
          <w:t>https://doi.org/10.1111/apps.12434</w:t>
        </w:r>
      </w:hyperlink>
    </w:p>
    <w:p w14:paraId="0B51806D" w14:textId="77777777" w:rsidR="00450D1D" w:rsidRPr="00450D1D" w:rsidRDefault="00450D1D" w:rsidP="0023728F">
      <w:r w:rsidRPr="00450D1D">
        <w:t xml:space="preserve">Müller, T., Schuberth, F., </w:t>
      </w:r>
      <w:proofErr w:type="spellStart"/>
      <w:r w:rsidRPr="00450D1D">
        <w:t>Bergsiek</w:t>
      </w:r>
      <w:proofErr w:type="spellEnd"/>
      <w:r w:rsidRPr="00450D1D">
        <w:t xml:space="preserve">, M. and Henseler, J. (2022). </w:t>
      </w:r>
      <w:r w:rsidRPr="00450D1D">
        <w:rPr>
          <w:i/>
        </w:rPr>
        <w:t xml:space="preserve">How can the transition from office to telework be managed? The impact of tasks and workplace suitability on collaboration and work performance. </w:t>
      </w:r>
      <w:r w:rsidRPr="00450D1D">
        <w:t xml:space="preserve">Frontiers in Psychology, 13, 987530. </w:t>
      </w:r>
      <w:hyperlink r:id="rId31">
        <w:r w:rsidRPr="00450D1D">
          <w:rPr>
            <w:u w:val="single"/>
          </w:rPr>
          <w:t>https://doi.org/10.3389/fpsyg.2022.987530</w:t>
        </w:r>
      </w:hyperlink>
    </w:p>
    <w:p w14:paraId="50B87BE3" w14:textId="77777777" w:rsidR="00450D1D" w:rsidRPr="00450D1D" w:rsidRDefault="00450D1D" w:rsidP="00450D1D">
      <w:pPr>
        <w:rPr>
          <w:lang w:val="en-IN"/>
        </w:rPr>
      </w:pPr>
      <w:r w:rsidRPr="00450D1D">
        <w:rPr>
          <w:lang w:val="en-IN"/>
        </w:rPr>
        <w:t xml:space="preserve">National Institute of Standards and Technology (NIST) (2023) Artificial Intelligence Risk Management Framework (AI RMF 1.0). Available at: </w:t>
      </w:r>
      <w:hyperlink r:id="rId32" w:history="1">
        <w:r w:rsidRPr="00450D1D">
          <w:rPr>
            <w:rStyle w:val="Hyperlink"/>
            <w:color w:val="auto"/>
            <w:lang w:val="en-IN"/>
          </w:rPr>
          <w:t>https://nvlpubs.nist.gov/nistpubs/ai/NIST.AI.100-1.pdf</w:t>
        </w:r>
      </w:hyperlink>
    </w:p>
    <w:p w14:paraId="50758656" w14:textId="77777777" w:rsidR="00450D1D" w:rsidRPr="00450D1D" w:rsidRDefault="00450D1D" w:rsidP="0023728F">
      <w:r w:rsidRPr="00450D1D">
        <w:t xml:space="preserve">Roper, I., </w:t>
      </w:r>
      <w:proofErr w:type="spellStart"/>
      <w:r w:rsidRPr="00450D1D">
        <w:t>Prouska</w:t>
      </w:r>
      <w:proofErr w:type="spellEnd"/>
      <w:r w:rsidRPr="00450D1D">
        <w:t xml:space="preserve">, R. and </w:t>
      </w:r>
      <w:proofErr w:type="spellStart"/>
      <w:r w:rsidRPr="00450D1D">
        <w:t>Chatrakul</w:t>
      </w:r>
      <w:proofErr w:type="spellEnd"/>
      <w:r w:rsidRPr="00450D1D">
        <w:t xml:space="preserve"> Na Ayudhya, U. (2022). </w:t>
      </w:r>
      <w:r w:rsidRPr="00450D1D">
        <w:rPr>
          <w:i/>
        </w:rPr>
        <w:t xml:space="preserve">The rhetorics of ‘agile’ and the practices of ‘Agile Working’: Consequences for the worker experience and uncertain implications for HR practice. </w:t>
      </w:r>
      <w:r w:rsidRPr="00450D1D">
        <w:t xml:space="preserve">The International Journal of Human Resource Management, 33(22), pp. 4440–4467. </w:t>
      </w:r>
      <w:hyperlink r:id="rId33">
        <w:r w:rsidRPr="00450D1D">
          <w:rPr>
            <w:u w:val="single"/>
          </w:rPr>
          <w:t>https://doi.org/10.1080/09585192.2022.2099751</w:t>
        </w:r>
      </w:hyperlink>
    </w:p>
    <w:p w14:paraId="47AF6709" w14:textId="77777777" w:rsidR="00450D1D" w:rsidRPr="00450D1D" w:rsidRDefault="00450D1D" w:rsidP="0091669E">
      <w:proofErr w:type="spellStart"/>
      <w:r w:rsidRPr="00450D1D">
        <w:t>Silapurem</w:t>
      </w:r>
      <w:proofErr w:type="spellEnd"/>
      <w:r w:rsidRPr="00450D1D">
        <w:t xml:space="preserve">, L., Slemp, G.R. and Jarden, A. (2024) ‘Longitudinal job crafting research: A meta-analysis’, International Journal of Applied Positive Psychology, 9, pp. 899–933. Available at: </w:t>
      </w:r>
      <w:hyperlink r:id="rId34">
        <w:r w:rsidRPr="00450D1D">
          <w:rPr>
            <w:rStyle w:val="Hyperlink"/>
            <w:color w:val="auto"/>
          </w:rPr>
          <w:t>https://doi.org/10.1007/s41042-024-00159-0</w:t>
        </w:r>
      </w:hyperlink>
    </w:p>
    <w:p w14:paraId="2F109D49" w14:textId="77777777" w:rsidR="00450D1D" w:rsidRPr="00450D1D" w:rsidRDefault="00450D1D" w:rsidP="0091669E">
      <w:pPr>
        <w:rPr>
          <w:lang w:val="en-IN"/>
        </w:rPr>
      </w:pPr>
      <w:r w:rsidRPr="00450D1D">
        <w:rPr>
          <w:lang w:val="en-IN"/>
        </w:rPr>
        <w:t xml:space="preserve">UNESCO (2021) Recommendation on the Ethics of Artificial Intelligence. Adopted 23 November 2021. Available at: </w:t>
      </w:r>
      <w:hyperlink r:id="rId35" w:history="1">
        <w:r w:rsidRPr="00450D1D">
          <w:rPr>
            <w:rStyle w:val="Hyperlink"/>
            <w:color w:val="auto"/>
            <w:lang w:val="en-IN"/>
          </w:rPr>
          <w:t>https://www.unesco.org/en/legal-affairs/recommendation-ethics-artificial-intelligence</w:t>
        </w:r>
      </w:hyperlink>
    </w:p>
    <w:p w14:paraId="2B6ECB45" w14:textId="77777777" w:rsidR="00450D1D" w:rsidRPr="00450D1D" w:rsidRDefault="00450D1D" w:rsidP="0023728F">
      <w:r w:rsidRPr="00450D1D">
        <w:t xml:space="preserve">Wang, Z., Cui, T., Cai, S. and Ren, S. (2022). </w:t>
      </w:r>
      <w:r w:rsidRPr="00450D1D">
        <w:rPr>
          <w:i/>
        </w:rPr>
        <w:t xml:space="preserve">How and when high-involvement work practices influence employee innovative behavior. </w:t>
      </w:r>
      <w:r w:rsidRPr="00450D1D">
        <w:t xml:space="preserve">International Journal of Manpower, 43(5), pp. 1221–1238. </w:t>
      </w:r>
      <w:hyperlink r:id="rId36">
        <w:r w:rsidRPr="00450D1D">
          <w:rPr>
            <w:u w:val="single"/>
          </w:rPr>
          <w:t>https://doi.org/10.1108/IJM-11-2020-0531</w:t>
        </w:r>
      </w:hyperlink>
    </w:p>
    <w:p w14:paraId="5478D00F" w14:textId="77777777" w:rsidR="00450D1D" w:rsidRPr="00450D1D" w:rsidRDefault="00450D1D" w:rsidP="0091669E">
      <w:r w:rsidRPr="00450D1D">
        <w:t xml:space="preserve">World Economic Forum (2025) The Future of Jobs Report 2025. Geneva: World Economic Forum. Available at: </w:t>
      </w:r>
      <w:hyperlink r:id="rId37">
        <w:r w:rsidRPr="00450D1D">
          <w:rPr>
            <w:rStyle w:val="Hyperlink"/>
            <w:color w:val="auto"/>
          </w:rPr>
          <w:t>https://www.weforum.org/publications/the-future-of-jobs-report-2025/</w:t>
        </w:r>
      </w:hyperlink>
      <w:r w:rsidRPr="00450D1D">
        <w:t xml:space="preserve"> (Accessed: 13 October 2026).</w:t>
      </w:r>
    </w:p>
    <w:p w14:paraId="39D2BFEB" w14:textId="77777777" w:rsidR="00450D1D" w:rsidRPr="00450D1D" w:rsidRDefault="00450D1D" w:rsidP="0023728F">
      <w:r w:rsidRPr="00450D1D">
        <w:t xml:space="preserve">World Health Organization and International </w:t>
      </w:r>
      <w:proofErr w:type="spellStart"/>
      <w:r w:rsidRPr="00450D1D">
        <w:t>Labour</w:t>
      </w:r>
      <w:proofErr w:type="spellEnd"/>
      <w:r w:rsidRPr="00450D1D">
        <w:t xml:space="preserve"> Organization (2022). </w:t>
      </w:r>
      <w:r w:rsidRPr="00450D1D">
        <w:rPr>
          <w:i/>
        </w:rPr>
        <w:t xml:space="preserve">Healthy and safe telework: Technical brief. </w:t>
      </w:r>
      <w:r w:rsidRPr="00450D1D">
        <w:t xml:space="preserve">WHO and ILO. </w:t>
      </w:r>
      <w:hyperlink r:id="rId38">
        <w:r w:rsidRPr="00450D1D">
          <w:rPr>
            <w:u w:val="single"/>
          </w:rPr>
          <w:t>https://www.who.int/publications/i/item/9789240040977</w:t>
        </w:r>
      </w:hyperlink>
    </w:p>
    <w:p w14:paraId="6519667F" w14:textId="77777777" w:rsidR="00450D1D" w:rsidRPr="00450D1D" w:rsidRDefault="00450D1D" w:rsidP="0023728F">
      <w:r w:rsidRPr="00450D1D">
        <w:t xml:space="preserve">Yang, L., Holtz, D., Jaffe, S., Suri, S., Sinha, S., Weston, J., Joyce, C., Shah, N., Sherman, K., Hecht, B. and Teevan, J. (2022). </w:t>
      </w:r>
      <w:r w:rsidRPr="00450D1D">
        <w:rPr>
          <w:i/>
        </w:rPr>
        <w:t xml:space="preserve">The effects of remote work on collaboration among </w:t>
      </w:r>
      <w:r w:rsidRPr="00450D1D">
        <w:rPr>
          <w:i/>
        </w:rPr>
        <w:lastRenderedPageBreak/>
        <w:t xml:space="preserve">information workers. </w:t>
      </w:r>
      <w:r w:rsidRPr="00450D1D">
        <w:t xml:space="preserve">Nature Human </w:t>
      </w:r>
      <w:proofErr w:type="spellStart"/>
      <w:r w:rsidRPr="00450D1D">
        <w:t>Behaviour</w:t>
      </w:r>
      <w:proofErr w:type="spellEnd"/>
      <w:r w:rsidRPr="00450D1D">
        <w:t xml:space="preserve">, 6, pp. 43–54. </w:t>
      </w:r>
      <w:hyperlink r:id="rId39">
        <w:r w:rsidRPr="00450D1D">
          <w:rPr>
            <w:u w:val="single"/>
          </w:rPr>
          <w:t>https://doi.org/10.1038/s41562-021-01196-4</w:t>
        </w:r>
      </w:hyperlink>
    </w:p>
    <w:sectPr w:rsidR="00450D1D" w:rsidRPr="00450D1D" w:rsidSect="0023728F">
      <w:footerReference w:type="default" r:id="rId4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14E70" w14:textId="77777777" w:rsidR="00F75AB7" w:rsidRDefault="00F75AB7">
      <w:pPr>
        <w:spacing w:before="0" w:after="0" w:line="240" w:lineRule="auto"/>
      </w:pPr>
      <w:r>
        <w:separator/>
      </w:r>
    </w:p>
  </w:endnote>
  <w:endnote w:type="continuationSeparator" w:id="0">
    <w:p w14:paraId="6C39EDD2" w14:textId="77777777" w:rsidR="00F75AB7" w:rsidRDefault="00F75A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A17E6" w14:textId="77777777" w:rsidR="00FE057E" w:rsidRDefault="00000000">
    <w:pPr>
      <w:pStyle w:val="Footer"/>
      <w:jc w:val="center"/>
    </w:pPr>
    <w:r>
      <w:rPr>
        <w:sz w:val="20"/>
      </w:rPr>
      <w:t xml:space="preserve">Page </w:t>
    </w:r>
    <w:r>
      <w:rPr>
        <w:sz w:val="20"/>
      </w:rPr>
      <w:fldChar w:fldCharType="begin"/>
    </w:r>
    <w:r>
      <w:rPr>
        <w:sz w:val="20"/>
      </w:rPr>
      <w:instrText xml:space="preserve"> PAGE </w:instrText>
    </w:r>
    <w:r>
      <w:rPr>
        <w:sz w:val="20"/>
      </w:rPr>
      <w:fldChar w:fldCharType="separate"/>
    </w:r>
    <w:r w:rsidR="0023728F">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236B6" w14:textId="77777777" w:rsidR="00F75AB7" w:rsidRDefault="00F75AB7">
      <w:pPr>
        <w:spacing w:before="0" w:after="0" w:line="240" w:lineRule="auto"/>
      </w:pPr>
      <w:r>
        <w:separator/>
      </w:r>
    </w:p>
  </w:footnote>
  <w:footnote w:type="continuationSeparator" w:id="0">
    <w:p w14:paraId="1203B267" w14:textId="77777777" w:rsidR="00F75AB7" w:rsidRDefault="00F75AB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08176547">
    <w:abstractNumId w:val="8"/>
  </w:num>
  <w:num w:numId="2" w16cid:durableId="451558301">
    <w:abstractNumId w:val="6"/>
  </w:num>
  <w:num w:numId="3" w16cid:durableId="1440947710">
    <w:abstractNumId w:val="5"/>
  </w:num>
  <w:num w:numId="4" w16cid:durableId="1063287669">
    <w:abstractNumId w:val="4"/>
  </w:num>
  <w:num w:numId="5" w16cid:durableId="1264805082">
    <w:abstractNumId w:val="7"/>
  </w:num>
  <w:num w:numId="6" w16cid:durableId="1288387971">
    <w:abstractNumId w:val="3"/>
  </w:num>
  <w:num w:numId="7" w16cid:durableId="600648671">
    <w:abstractNumId w:val="2"/>
  </w:num>
  <w:num w:numId="8" w16cid:durableId="1209073858">
    <w:abstractNumId w:val="1"/>
  </w:num>
  <w:num w:numId="9" w16cid:durableId="674386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D1E"/>
    <w:rsid w:val="0006063C"/>
    <w:rsid w:val="000747E7"/>
    <w:rsid w:val="00117F0C"/>
    <w:rsid w:val="0015074B"/>
    <w:rsid w:val="0023728F"/>
    <w:rsid w:val="002818DC"/>
    <w:rsid w:val="0029639D"/>
    <w:rsid w:val="002E5D16"/>
    <w:rsid w:val="00326F90"/>
    <w:rsid w:val="003C72BA"/>
    <w:rsid w:val="00450D1D"/>
    <w:rsid w:val="004D179D"/>
    <w:rsid w:val="005216CA"/>
    <w:rsid w:val="006053DF"/>
    <w:rsid w:val="00641314"/>
    <w:rsid w:val="00770B51"/>
    <w:rsid w:val="007A5F36"/>
    <w:rsid w:val="007C7812"/>
    <w:rsid w:val="0091669E"/>
    <w:rsid w:val="00A460C1"/>
    <w:rsid w:val="00AA1D8D"/>
    <w:rsid w:val="00B47730"/>
    <w:rsid w:val="00B515F3"/>
    <w:rsid w:val="00B56A84"/>
    <w:rsid w:val="00BD75BA"/>
    <w:rsid w:val="00C12046"/>
    <w:rsid w:val="00C46404"/>
    <w:rsid w:val="00C91822"/>
    <w:rsid w:val="00CB0664"/>
    <w:rsid w:val="00CE181B"/>
    <w:rsid w:val="00CF1CB9"/>
    <w:rsid w:val="00E64D72"/>
    <w:rsid w:val="00F75AB7"/>
    <w:rsid w:val="00FB56A1"/>
    <w:rsid w:val="00FC693F"/>
    <w:rsid w:val="00FE057E"/>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A9CC48"/>
  <w14:defaultImageDpi w14:val="300"/>
  <w15:docId w15:val="{5923D7B5-DFED-42FF-A045-C7B36444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28F"/>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23728F"/>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50D1D"/>
    <w:pPr>
      <w:outlineLvl w:val="1"/>
    </w:pPr>
    <w:rPr>
      <w:b/>
      <w:bCs/>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3728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50D1D"/>
    <w:rPr>
      <w:rFonts w:ascii="Times New Roman" w:eastAsia="Times New Roman" w:hAnsi="Times New Roman"/>
      <w:b/>
      <w:bCs/>
      <w:sz w:val="24"/>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1669E"/>
    <w:rPr>
      <w:color w:val="0000FF" w:themeColor="hyperlink"/>
      <w:u w:val="single"/>
    </w:rPr>
  </w:style>
  <w:style w:type="character" w:styleId="UnresolvedMention">
    <w:name w:val="Unresolved Mention"/>
    <w:basedOn w:val="DefaultParagraphFont"/>
    <w:uiPriority w:val="99"/>
    <w:semiHidden/>
    <w:unhideWhenUsed/>
    <w:rsid w:val="0091669E"/>
    <w:rPr>
      <w:color w:val="605E5C"/>
      <w:shd w:val="clear" w:color="auto" w:fill="E1DFDD"/>
    </w:rPr>
  </w:style>
  <w:style w:type="paragraph" w:styleId="TOC1">
    <w:name w:val="toc 1"/>
    <w:basedOn w:val="Normal"/>
    <w:next w:val="Normal"/>
    <w:autoRedefine/>
    <w:uiPriority w:val="39"/>
    <w:unhideWhenUsed/>
    <w:rsid w:val="00C12046"/>
    <w:pPr>
      <w:spacing w:after="100"/>
    </w:pPr>
  </w:style>
  <w:style w:type="paragraph" w:styleId="TOC2">
    <w:name w:val="toc 2"/>
    <w:basedOn w:val="Normal"/>
    <w:next w:val="Normal"/>
    <w:autoRedefine/>
    <w:uiPriority w:val="39"/>
    <w:unhideWhenUsed/>
    <w:rsid w:val="00C1204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hrmr.2021.100854" TargetMode="External"/><Relationship Id="rId18" Type="http://schemas.openxmlformats.org/officeDocument/2006/relationships/hyperlink" Target="https://doi.org/10.1146/annurev-orgpsych-120920-055217" TargetMode="External"/><Relationship Id="rId26" Type="http://schemas.openxmlformats.org/officeDocument/2006/relationships/hyperlink" Target="https://doi.org/10.3390/bs14060428" TargetMode="External"/><Relationship Id="rId39" Type="http://schemas.openxmlformats.org/officeDocument/2006/relationships/hyperlink" Target="https://doi.org/10.1038/s41562-021-01196-4" TargetMode="External"/><Relationship Id="rId21" Type="http://schemas.openxmlformats.org/officeDocument/2006/relationships/hyperlink" Target="https://doi.org/10.54394/FHEM8239" TargetMode="External"/><Relationship Id="rId34" Type="http://schemas.openxmlformats.org/officeDocument/2006/relationships/hyperlink" Target="https://doi.org/10.1007/s41042-024-00159-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globalassets/media/knowledge/knowledge-hub/reports/2024-pdfs/8662-resource-and-talent-planning-2024-report-web.pdf" TargetMode="External"/><Relationship Id="rId20" Type="http://schemas.openxmlformats.org/officeDocument/2006/relationships/hyperlink" Target="https://doi.org/10.1038/s41598-024-67122-6" TargetMode="External"/><Relationship Id="rId29" Type="http://schemas.openxmlformats.org/officeDocument/2006/relationships/hyperlink" Target="https://doi.org/10.1177/2397002223122631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80/09585192.2024.2326843" TargetMode="External"/><Relationship Id="rId32" Type="http://schemas.openxmlformats.org/officeDocument/2006/relationships/hyperlink" Target="https://nvlpubs.nist.gov/nistpubs/ai/NIST.AI.100-1.pdf" TargetMode="External"/><Relationship Id="rId37" Type="http://schemas.openxmlformats.org/officeDocument/2006/relationships/hyperlink" Target="https://www.weforum.org/publications/the-future-of-jobs-report-2025/"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8/s41586-024-07500-2" TargetMode="External"/><Relationship Id="rId23" Type="http://schemas.openxmlformats.org/officeDocument/2006/relationships/hyperlink" Target="https://doi.org/10.1177/1534484320939739" TargetMode="External"/><Relationship Id="rId28" Type="http://schemas.openxmlformats.org/officeDocument/2006/relationships/hyperlink" Target="https://doi.org/10.1108/PR-08-2020-0617" TargetMode="External"/><Relationship Id="rId36" Type="http://schemas.openxmlformats.org/officeDocument/2006/relationships/hyperlink" Target="https://doi.org/10.1108/IJM-11-2020-0531" TargetMode="External"/><Relationship Id="rId10" Type="http://schemas.openxmlformats.org/officeDocument/2006/relationships/hyperlink" Target="https://doi.org/10.54394/FHEM8239" TargetMode="External"/><Relationship Id="rId19" Type="http://schemas.openxmlformats.org/officeDocument/2006/relationships/hyperlink" Target="https://doi.org/10.1007/s10796-020-10097-2" TargetMode="External"/><Relationship Id="rId31" Type="http://schemas.openxmlformats.org/officeDocument/2006/relationships/hyperlink" Target="https://doi.org/10.3389/fpsyg.2022.9875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IJPPM-02-2020-0065" TargetMode="External"/><Relationship Id="rId22" Type="http://schemas.openxmlformats.org/officeDocument/2006/relationships/hyperlink" Target="https://doi.org/10.1080/09585192.2024.2323510" TargetMode="External"/><Relationship Id="rId27" Type="http://schemas.openxmlformats.org/officeDocument/2006/relationships/hyperlink" Target="https://doi.org/10.1111/aphw.12343" TargetMode="External"/><Relationship Id="rId30" Type="http://schemas.openxmlformats.org/officeDocument/2006/relationships/hyperlink" Target="https://doi.org/10.1111/apps.12434" TargetMode="External"/><Relationship Id="rId35" Type="http://schemas.openxmlformats.org/officeDocument/2006/relationships/hyperlink" Target="https://www.unesco.org/en/legal-affairs/recommendation-ethics-artificial-intelligenc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6028/NIST.AI.100-1" TargetMode="External"/><Relationship Id="rId17" Type="http://schemas.openxmlformats.org/officeDocument/2006/relationships/hyperlink" Target="https://www.cipd.org/en/knowledge/factsheets/talent-factsheet/" TargetMode="External"/><Relationship Id="rId25" Type="http://schemas.openxmlformats.org/officeDocument/2006/relationships/hyperlink" Target="https://doi.org/10.1016/j.hrmr.2022.100926" TargetMode="External"/><Relationship Id="rId33" Type="http://schemas.openxmlformats.org/officeDocument/2006/relationships/hyperlink" Target="https://doi.org/10.1080/09585192.2022.2099751" TargetMode="External"/><Relationship Id="rId38" Type="http://schemas.openxmlformats.org/officeDocument/2006/relationships/hyperlink" Target="https://www.who.int/publications/i/item/9789240040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4186</Words>
  <Characters>23863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LCMB7023 Task A – Designing Innovative Working Practices</vt:lpstr>
    </vt:vector>
  </TitlesOfParts>
  <Manager/>
  <Company/>
  <LinksUpToDate>false</LinksUpToDate>
  <CharactersWithSpaces>27994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Ravat Rani</dc:creator>
  <cp:keywords/>
  <cp:lastModifiedBy>Ravat Rani</cp:lastModifiedBy>
  <cp:revision>2</cp:revision>
  <dcterms:created xsi:type="dcterms:W3CDTF">2026-10-14T07:54:00Z</dcterms:created>
  <dcterms:modified xsi:type="dcterms:W3CDTF">2026-10-14T07:54:00Z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863b625f0575c69fa97a07126693340dfe325218425a4490d859fabb5a77d79a</vt:lpwstr>
  </property>
</Properties>
</file>