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3E3" w:rsidRPr="00CC23E3" w:rsidRDefault="00CC23E3" w:rsidP="000947F5">
      <w:pPr>
        <w:shd w:val="clear" w:color="auto" w:fill="FFFFFF"/>
        <w:spacing w:before="100" w:beforeAutospacing="1" w:after="100" w:afterAutospacing="1" w:line="240" w:lineRule="auto"/>
        <w:rPr>
          <w:rFonts w:eastAsia="Times New Roman" w:cstheme="minorHAnsi"/>
          <w:b/>
          <w:color w:val="333333"/>
          <w:sz w:val="28"/>
          <w:szCs w:val="28"/>
          <w:lang w:eastAsia="en-GB"/>
        </w:rPr>
      </w:pPr>
      <w:r w:rsidRPr="00CC23E3">
        <w:rPr>
          <w:rFonts w:eastAsia="Times New Roman" w:cstheme="minorHAnsi"/>
          <w:b/>
          <w:color w:val="333333"/>
          <w:sz w:val="28"/>
          <w:szCs w:val="28"/>
          <w:lang w:eastAsia="en-GB"/>
        </w:rPr>
        <w:t>THE ISSUE OF AUDIT QUALITY</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The issue of audit quality has always been a key consideration for auditors. Performing a high quality audit means that audit risk is reduced and the audit firm is less likely to issue an inappropriate audit opinion. However, periodic reviews by regulatory authorities on the work performed by audit firms often conclude that audits performed are not always of high quality, despite this being in the best interest of the audit firm. The objective of this article is to provide some insight into why audit firms sometimes compromise audit quality, giving examples of how this happens, and the implications of compromising on audit quality for the profession.</w:t>
      </w:r>
    </w:p>
    <w:p w:rsidR="000947F5" w:rsidRPr="00CC23E3" w:rsidRDefault="000947F5" w:rsidP="000947F5">
      <w:pPr>
        <w:shd w:val="clear" w:color="auto" w:fill="FFFFFF"/>
        <w:spacing w:before="100" w:beforeAutospacing="1" w:after="100" w:afterAutospacing="1" w:line="240" w:lineRule="auto"/>
        <w:outlineLvl w:val="3"/>
        <w:rPr>
          <w:rFonts w:eastAsia="Times New Roman" w:cstheme="minorHAnsi"/>
          <w:b/>
          <w:bCs/>
          <w:caps/>
          <w:color w:val="333333"/>
          <w:sz w:val="24"/>
          <w:szCs w:val="24"/>
          <w:lang w:eastAsia="en-GB"/>
        </w:rPr>
      </w:pPr>
      <w:r w:rsidRPr="00CC23E3">
        <w:rPr>
          <w:rFonts w:eastAsia="Times New Roman" w:cstheme="minorHAnsi"/>
          <w:b/>
          <w:bCs/>
          <w:caps/>
          <w:color w:val="333333"/>
          <w:sz w:val="24"/>
          <w:szCs w:val="24"/>
          <w:lang w:eastAsia="en-GB"/>
        </w:rPr>
        <w:t>A reminder of the sources of requirements in relation to quality control</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 xml:space="preserve">The International Auditing and Assurance Standards Board (IAASB) has issued two documents relating to quality control. ISQC 1, </w:t>
      </w:r>
      <w:r w:rsidRPr="00CC23E3">
        <w:rPr>
          <w:rFonts w:eastAsia="Times New Roman" w:cstheme="minorHAnsi"/>
          <w:i/>
          <w:iCs/>
          <w:color w:val="333333"/>
          <w:sz w:val="24"/>
          <w:szCs w:val="24"/>
          <w:lang w:eastAsia="en-GB"/>
        </w:rPr>
        <w:t>Quality Control for Firms that Perform Audits and Reviews of Financial Statements, and Other Assurance and Related Services Engagements</w:t>
      </w:r>
      <w:r w:rsidRPr="00CC23E3">
        <w:rPr>
          <w:rFonts w:eastAsia="Times New Roman" w:cstheme="minorHAnsi"/>
          <w:color w:val="333333"/>
          <w:sz w:val="24"/>
          <w:szCs w:val="24"/>
          <w:lang w:eastAsia="en-GB"/>
        </w:rPr>
        <w:t xml:space="preserve"> applies to all firms of professional accountants in respect of audits and reviews of financial statements, and other assurance and related services engagements. It should therefore also be applied to non-audit engagements such as reviews of prospective financial information and engagements to perform agreed upon procedures.</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 xml:space="preserve">ISA 220, </w:t>
      </w:r>
      <w:r w:rsidRPr="00CC23E3">
        <w:rPr>
          <w:rFonts w:eastAsia="Times New Roman" w:cstheme="minorHAnsi"/>
          <w:i/>
          <w:iCs/>
          <w:color w:val="333333"/>
          <w:sz w:val="24"/>
          <w:szCs w:val="24"/>
          <w:lang w:eastAsia="en-GB"/>
        </w:rPr>
        <w:t>Quality Control for an Audit of Financial Statements</w:t>
      </w:r>
      <w:r w:rsidRPr="00CC23E3">
        <w:rPr>
          <w:rFonts w:eastAsia="Times New Roman" w:cstheme="minorHAnsi"/>
          <w:color w:val="333333"/>
          <w:sz w:val="24"/>
          <w:szCs w:val="24"/>
          <w:lang w:eastAsia="en-GB"/>
        </w:rPr>
        <w:t xml:space="preserve"> is specific to audit engagements and contains specific requirements that should be adhered to in the performance of any audit. ISA 220 contains requirements in relation to:</w:t>
      </w:r>
    </w:p>
    <w:p w:rsidR="000947F5" w:rsidRPr="00CC23E3" w:rsidRDefault="000947F5" w:rsidP="000947F5">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Leadership responsibilities for quality on audits</w:t>
      </w:r>
    </w:p>
    <w:p w:rsidR="000947F5" w:rsidRPr="00CC23E3" w:rsidRDefault="000947F5" w:rsidP="000947F5">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Relevant ethical requirements, in particular independence</w:t>
      </w:r>
    </w:p>
    <w:p w:rsidR="000947F5" w:rsidRPr="00CC23E3" w:rsidRDefault="000947F5" w:rsidP="000947F5">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Acceptance and continuance of client relationships and audit engagements</w:t>
      </w:r>
    </w:p>
    <w:p w:rsidR="000947F5" w:rsidRPr="00CC23E3" w:rsidRDefault="000947F5" w:rsidP="000947F5">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Assignment of engagement teams</w:t>
      </w:r>
    </w:p>
    <w:p w:rsidR="000947F5" w:rsidRPr="00CC23E3" w:rsidRDefault="000947F5" w:rsidP="000947F5">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Engagement performance, meaning the direction, supervision and review of an audit, including consultation and engagement quality control reviews</w:t>
      </w:r>
    </w:p>
    <w:p w:rsidR="00CC23E3" w:rsidRPr="00CC23E3" w:rsidRDefault="000947F5" w:rsidP="00CC23E3">
      <w:pPr>
        <w:numPr>
          <w:ilvl w:val="0"/>
          <w:numId w:val="1"/>
        </w:num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Monitoring and documentation</w:t>
      </w:r>
    </w:p>
    <w:p w:rsidR="000947F5" w:rsidRPr="00CC23E3" w:rsidRDefault="000947F5" w:rsidP="000947F5">
      <w:pPr>
        <w:shd w:val="clear" w:color="auto" w:fill="FFFFFF"/>
        <w:spacing w:before="100" w:beforeAutospacing="1" w:after="100" w:afterAutospacing="1" w:line="240" w:lineRule="auto"/>
        <w:outlineLvl w:val="3"/>
        <w:rPr>
          <w:rFonts w:eastAsia="Times New Roman" w:cstheme="minorHAnsi"/>
          <w:b/>
          <w:bCs/>
          <w:caps/>
          <w:color w:val="333333"/>
          <w:sz w:val="24"/>
          <w:szCs w:val="24"/>
          <w:lang w:eastAsia="en-GB"/>
        </w:rPr>
      </w:pPr>
      <w:r w:rsidRPr="00CC23E3">
        <w:rPr>
          <w:rFonts w:eastAsia="Times New Roman" w:cstheme="minorHAnsi"/>
          <w:b/>
          <w:bCs/>
          <w:caps/>
          <w:color w:val="333333"/>
          <w:sz w:val="24"/>
          <w:szCs w:val="24"/>
          <w:lang w:eastAsia="en-GB"/>
        </w:rPr>
        <w:t>Recent developments in relation to quality control</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The IAASB makes specific reference to the issu</w:t>
      </w:r>
      <w:r w:rsidR="00CC23E3">
        <w:rPr>
          <w:rFonts w:eastAsia="Times New Roman" w:cstheme="minorHAnsi"/>
          <w:color w:val="333333"/>
          <w:sz w:val="24"/>
          <w:szCs w:val="24"/>
          <w:lang w:eastAsia="en-GB"/>
        </w:rPr>
        <w:t xml:space="preserve">e of audit quality in its </w:t>
      </w:r>
      <w:r w:rsidR="00CC23E3" w:rsidRPr="00CC23E3">
        <w:rPr>
          <w:rFonts w:eastAsia="Times New Roman" w:cstheme="minorHAnsi"/>
          <w:color w:val="333333"/>
          <w:sz w:val="24"/>
          <w:szCs w:val="24"/>
          <w:lang w:eastAsia="en-GB"/>
        </w:rPr>
        <w:t>annual</w:t>
      </w:r>
      <w:r w:rsidRPr="00CC23E3">
        <w:rPr>
          <w:rFonts w:eastAsia="Times New Roman" w:cstheme="minorHAnsi"/>
          <w:color w:val="333333"/>
          <w:sz w:val="24"/>
          <w:szCs w:val="24"/>
          <w:lang w:eastAsia="en-GB"/>
        </w:rPr>
        <w:t xml:space="preserve"> report</w:t>
      </w:r>
      <w:r w:rsidR="00CC23E3">
        <w:rPr>
          <w:rFonts w:eastAsia="Times New Roman" w:cstheme="minorHAnsi"/>
          <w:color w:val="333333"/>
          <w:sz w:val="24"/>
          <w:szCs w:val="24"/>
          <w:lang w:eastAsia="en-GB"/>
        </w:rPr>
        <w:t xml:space="preserve">s. </w:t>
      </w:r>
      <w:r w:rsidRPr="00CC23E3">
        <w:rPr>
          <w:rFonts w:eastAsia="Times New Roman" w:cstheme="minorHAnsi"/>
          <w:color w:val="333333"/>
          <w:sz w:val="24"/>
          <w:szCs w:val="24"/>
          <w:lang w:eastAsia="en-GB"/>
        </w:rPr>
        <w:t xml:space="preserve">The IAASB chairman, Arnold </w:t>
      </w:r>
      <w:proofErr w:type="spellStart"/>
      <w:r w:rsidRPr="00CC23E3">
        <w:rPr>
          <w:rFonts w:eastAsia="Times New Roman" w:cstheme="minorHAnsi"/>
          <w:color w:val="333333"/>
          <w:sz w:val="24"/>
          <w:szCs w:val="24"/>
          <w:lang w:eastAsia="en-GB"/>
        </w:rPr>
        <w:t>Schlid</w:t>
      </w:r>
      <w:r w:rsidR="00CC23E3">
        <w:rPr>
          <w:rFonts w:eastAsia="Times New Roman" w:cstheme="minorHAnsi"/>
          <w:color w:val="333333"/>
          <w:sz w:val="24"/>
          <w:szCs w:val="24"/>
          <w:lang w:eastAsia="en-GB"/>
        </w:rPr>
        <w:t>er</w:t>
      </w:r>
      <w:proofErr w:type="spellEnd"/>
      <w:r w:rsidRPr="00CC23E3">
        <w:rPr>
          <w:rFonts w:eastAsia="Times New Roman" w:cstheme="minorHAnsi"/>
          <w:color w:val="333333"/>
          <w:sz w:val="24"/>
          <w:szCs w:val="24"/>
          <w:lang w:eastAsia="en-GB"/>
        </w:rPr>
        <w:t xml:space="preserve"> discusses audit quality as a key issue that the IAASB is focussing on. He refers to the IAASB publication entitled </w:t>
      </w:r>
      <w:r w:rsidRPr="00CC23E3">
        <w:rPr>
          <w:rFonts w:eastAsia="Times New Roman" w:cstheme="minorHAnsi"/>
          <w:i/>
          <w:iCs/>
          <w:color w:val="333333"/>
          <w:sz w:val="24"/>
          <w:szCs w:val="24"/>
          <w:lang w:eastAsia="en-GB"/>
        </w:rPr>
        <w:t>A Framework for Audit Quality</w:t>
      </w:r>
      <w:r w:rsidRPr="00CC23E3">
        <w:rPr>
          <w:rFonts w:eastAsia="Times New Roman" w:cstheme="minorHAnsi"/>
          <w:color w:val="333333"/>
          <w:sz w:val="24"/>
          <w:szCs w:val="24"/>
          <w:lang w:eastAsia="en-GB"/>
        </w:rPr>
        <w:t>, the objective of which is to raise awareness of the key elements of audit quality; encourage stakeholders to reflect on ways to improve audit quality; and facilitate greater dialogue among stakeholders on the topic. He also mentions the IAASB webpage, ‘Focus on Audit Quality,’ which was launched in early 2014 to provide supplemental material supporting awareness and use of the Framework. It is clear that the IAASB want to engage not only with auditors but also with users and preparers of financial statements to encourage debate on audit quality.</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lastRenderedPageBreak/>
        <w:t xml:space="preserve">The IAASB Work Plan for 2015–16 is entitled </w:t>
      </w:r>
      <w:r w:rsidRPr="00CC23E3">
        <w:rPr>
          <w:rFonts w:eastAsia="Times New Roman" w:cstheme="minorHAnsi"/>
          <w:i/>
          <w:iCs/>
          <w:color w:val="333333"/>
          <w:sz w:val="24"/>
          <w:szCs w:val="24"/>
          <w:lang w:eastAsia="en-GB"/>
        </w:rPr>
        <w:t>Enhancing Audit Quality and Preparing for the Future</w:t>
      </w:r>
      <w:r w:rsidRPr="00CC23E3">
        <w:rPr>
          <w:rFonts w:eastAsia="Times New Roman" w:cstheme="minorHAnsi"/>
          <w:color w:val="333333"/>
          <w:sz w:val="24"/>
          <w:szCs w:val="24"/>
          <w:lang w:eastAsia="en-GB"/>
        </w:rPr>
        <w:t>, emphasising the prominence of audit quality in the work programme of the IAASB. In addition, the board has recently commenced a survey on audit quality, focussing on how audit firms apply ISQC1 and the difficulties faced by smaller audit firms in meeting the requirements.</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It is not just the IAASB that perceives audit quality as a matter of debate. Other regulatory bodies such as the UK Financial Reporting Council (FRC) is interested in promoting audit quality and its Annual Reports on Audit Quality Inspections feature detailed commentary on the improvements that audit firms can make to enhance audit quality.</w:t>
      </w:r>
    </w:p>
    <w:p w:rsidR="000947F5" w:rsidRPr="00CC23E3" w:rsidRDefault="000947F5" w:rsidP="000947F5">
      <w:pPr>
        <w:shd w:val="clear" w:color="auto" w:fill="FFFFFF"/>
        <w:spacing w:before="100" w:beforeAutospacing="1" w:after="100" w:afterAutospacing="1" w:line="240" w:lineRule="auto"/>
        <w:outlineLvl w:val="3"/>
        <w:rPr>
          <w:rFonts w:eastAsia="Times New Roman" w:cstheme="minorHAnsi"/>
          <w:b/>
          <w:bCs/>
          <w:caps/>
          <w:color w:val="333333"/>
          <w:sz w:val="24"/>
          <w:szCs w:val="24"/>
          <w:lang w:eastAsia="en-GB"/>
        </w:rPr>
      </w:pPr>
      <w:r w:rsidRPr="00CC23E3">
        <w:rPr>
          <w:rFonts w:eastAsia="Times New Roman" w:cstheme="minorHAnsi"/>
          <w:b/>
          <w:bCs/>
          <w:caps/>
          <w:color w:val="333333"/>
          <w:sz w:val="24"/>
          <w:szCs w:val="24"/>
          <w:lang w:eastAsia="en-GB"/>
        </w:rPr>
        <w:t>Why is audit quality a concern?</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The regulatory bodies have a role to play in promoting audit quality as this will in turn increase public confidence in the audit process and in financial reporting. As mentioned in the introduction, it is in the best interests of audit firms to conduct a high quality audit. So, it may be surprising to find that when inspections are carried out on the conduct of audits, the regulatory bodies come across many instances where audit quality is lacking.</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Audit firms are faced with great pressures which may lead to them compromising audit quality. Pressures can be in the form of tight deadlines and restrictions on audit fees, issues relating to competence, ethical dilemmas, and the extent of judgment that is required when auditing certain balances and transactions. Some examples are given below to illustrate the effect of these pressures on audit quality.</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Tight deadlines and restrictions on audit fees – the FRC comments in its 2011 – 2012 Annual Report on Audit Quality Inspections that ‘a company’s audit should represent value for money. Nevertheless, substantial fee reductions may lead the auditor to reduce valuable audit work and therefore compromise audit quality.’ Fee pressures are a commercial reality and audit firms will react to fee pressure by seeking efficiencies in the audit. This can manifest in many ways, for example, reducing sample sizes, and increasing materiality levels especially in group situations. A particular way to make the audit more efficient is to ‘offshore’ certain audit procedures in an arrangement whereby some of the audit work is performed by audit personnel who are not ‘full’ members of the audit team, they may be located in a foreign country where the labour costs are lower. This practice raises audit quality issues in that these personnel may not have a good knowledge of the audit client and the quality of the audit evidence produced may be questionable.</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Competence – if auditors are not technically competent to perform audit work there is a clear impact on the quality of work performed. For example, the IAASB comments in its 2015–16 Work Plan that audit inspections have found instances where the person selected to perform engagement quality control reviews was not competent to do so. Given that engagement quality reviews are conducted for high risk audit engagements using inexperienced auditors to perform such reviews can create a potentially serious hazard for the audit firm in that it is much more likely that an inappropriate opinion could be issued.</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lastRenderedPageBreak/>
        <w:t>Ethical dilemmas – a common example is where the audit firm provides non-audit services to the audited entity. Audit firms should be familiar with the concept that providing non-audit services creates a threat to objectivity, in particular a self-review threat, and audit firms also should be accustomed to assessing the significance of the risk and responding with the use of appropriate safeguards or by not providing the non-audit service. However there may be circumstances where the threat is overlooked, so compromising audit quality. For example, if an audited entity changes status and becomes listed (a public interest entity) then while it may previously have been acceptable to provide a non-audit service with the appropriate safeguards, the provision of the non-audit service may not be acceptable given the new status of the audited entity. This issue was picked up by the FRC in its 2014 round of audit quality inspections.</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Extensive use of judgment – this is very much linked to professional scepticism (see ‘Related links’ for further reading). Audit inspectors often comment that the audit of judgmental balances such as fair values and impairment is lacking in quality. The FRC’s 2014 Annual Report on Audit Quality Inspections states that ‘Limited evidence that [audit] firms have robustly challenged management particularly in respect of the appropriateness of key assumptions and other judgments was a key concern. Firms, with the assistance of audit committees, should ensure they appropriately challenge management.’ The report comments that audit firms often fail to challenge the feasibility of business plans prepared by management, as well as assumptions relating to fair value, impairment and the valuation of tangible and intangible assets.</w:t>
      </w:r>
    </w:p>
    <w:p w:rsidR="000947F5" w:rsidRPr="00CC23E3"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These are just some examples of instances where audit quality has been compromised, as identified by audit inspections. The objective of the inspections is to highlight the weaknesses in audit quality and to recommend improvements. It is up to the audit firm whether or not they respond to the recommendations, but it is in their interest to do so, and there are calls by the IAASB to formalise the means by which audit firms demonstrate that they have taken such recommendations on board.</w:t>
      </w:r>
    </w:p>
    <w:p w:rsidR="000947F5" w:rsidRPr="00CC23E3" w:rsidRDefault="000947F5" w:rsidP="000947F5">
      <w:pPr>
        <w:shd w:val="clear" w:color="auto" w:fill="FFFFFF"/>
        <w:spacing w:before="100" w:beforeAutospacing="1" w:after="100" w:afterAutospacing="1" w:line="240" w:lineRule="auto"/>
        <w:outlineLvl w:val="3"/>
        <w:rPr>
          <w:rFonts w:eastAsia="Times New Roman" w:cstheme="minorHAnsi"/>
          <w:b/>
          <w:bCs/>
          <w:caps/>
          <w:color w:val="333333"/>
          <w:sz w:val="24"/>
          <w:szCs w:val="24"/>
          <w:lang w:eastAsia="en-GB"/>
        </w:rPr>
      </w:pPr>
      <w:r w:rsidRPr="00CC23E3">
        <w:rPr>
          <w:rFonts w:eastAsia="Times New Roman" w:cstheme="minorHAnsi"/>
          <w:b/>
          <w:bCs/>
          <w:caps/>
          <w:color w:val="333333"/>
          <w:sz w:val="24"/>
          <w:szCs w:val="24"/>
          <w:lang w:eastAsia="en-GB"/>
        </w:rPr>
        <w:t>Conclusion</w:t>
      </w:r>
    </w:p>
    <w:p w:rsidR="000947F5" w:rsidRDefault="000947F5"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r w:rsidRPr="00CC23E3">
        <w:rPr>
          <w:rFonts w:eastAsia="Times New Roman" w:cstheme="minorHAnsi"/>
          <w:color w:val="333333"/>
          <w:sz w:val="24"/>
          <w:szCs w:val="24"/>
          <w:lang w:eastAsia="en-GB"/>
        </w:rPr>
        <w:t>By emphasising the issue of audit quality in its current Work Plan, the IAASB is making it clear that audit quality is something to be taken seriously. Higher quality audits and public confidence in audit reports issued should reduce the ‘expectation gap’. However with audit firms coming under pressure to cut fees, produce competitive tender documents and provide ‘added value’ to the audit in the form of non-audit services, it is easy to see why audit quality is often compromised. Future changes to make the requirements of ISQC1 and ISA 220 more robust could help, as will promoting the use of professional scepticism in the conduct of all audits.</w:t>
      </w:r>
    </w:p>
    <w:p w:rsidR="00CC23E3" w:rsidRDefault="00CC23E3">
      <w:pPr>
        <w:rPr>
          <w:rFonts w:eastAsia="Times New Roman" w:cstheme="minorHAnsi"/>
          <w:color w:val="333333"/>
          <w:sz w:val="24"/>
          <w:szCs w:val="24"/>
          <w:lang w:eastAsia="en-GB"/>
        </w:rPr>
      </w:pPr>
      <w:r>
        <w:rPr>
          <w:rFonts w:eastAsia="Times New Roman" w:cstheme="minorHAnsi"/>
          <w:color w:val="333333"/>
          <w:sz w:val="24"/>
          <w:szCs w:val="24"/>
          <w:lang w:eastAsia="en-GB"/>
        </w:rPr>
        <w:br w:type="page"/>
      </w:r>
    </w:p>
    <w:p w:rsidR="00CC23E3" w:rsidRPr="00CC23E3" w:rsidRDefault="00CC23E3" w:rsidP="000947F5">
      <w:pPr>
        <w:shd w:val="clear" w:color="auto" w:fill="FFFFFF"/>
        <w:spacing w:before="100" w:beforeAutospacing="1" w:after="100" w:afterAutospacing="1" w:line="240" w:lineRule="auto"/>
        <w:rPr>
          <w:rFonts w:eastAsia="Times New Roman" w:cstheme="minorHAnsi"/>
          <w:color w:val="333333"/>
          <w:sz w:val="24"/>
          <w:szCs w:val="24"/>
          <w:lang w:eastAsia="en-GB"/>
        </w:rPr>
      </w:pPr>
      <w:bookmarkStart w:id="0" w:name="_GoBack"/>
      <w:bookmarkEnd w:id="0"/>
    </w:p>
    <w:p w:rsidR="000947F5" w:rsidRPr="00CC23E3" w:rsidRDefault="00CC23E3" w:rsidP="000947F5">
      <w:pPr>
        <w:shd w:val="clear" w:color="auto" w:fill="FFFFFF"/>
        <w:spacing w:before="100" w:beforeAutospacing="1" w:after="100" w:afterAutospacing="1" w:line="240" w:lineRule="auto"/>
        <w:outlineLvl w:val="0"/>
        <w:rPr>
          <w:rFonts w:eastAsia="Times New Roman" w:cstheme="minorHAnsi"/>
          <w:b/>
          <w:bCs/>
          <w:kern w:val="36"/>
          <w:sz w:val="28"/>
          <w:szCs w:val="28"/>
          <w:lang w:eastAsia="en-GB"/>
        </w:rPr>
      </w:pPr>
      <w:r w:rsidRPr="00CC23E3">
        <w:rPr>
          <w:rFonts w:eastAsia="Times New Roman" w:cstheme="minorHAnsi"/>
          <w:b/>
          <w:bCs/>
          <w:kern w:val="36"/>
          <w:sz w:val="28"/>
          <w:szCs w:val="28"/>
          <w:lang w:eastAsia="en-GB"/>
        </w:rPr>
        <w:t>FRC AUDIT QUALITY REVIEW TEAM</w:t>
      </w:r>
    </w:p>
    <w:p w:rsidR="000947F5" w:rsidRPr="00CC23E3" w:rsidRDefault="000947F5" w:rsidP="000947F5">
      <w:pPr>
        <w:shd w:val="clear" w:color="auto" w:fill="FFFFFF"/>
        <w:spacing w:before="100" w:beforeAutospacing="1" w:after="100" w:afterAutospacing="1" w:line="240" w:lineRule="auto"/>
        <w:outlineLvl w:val="1"/>
        <w:rPr>
          <w:rFonts w:eastAsia="Times New Roman" w:cstheme="minorHAnsi"/>
          <w:b/>
          <w:bCs/>
          <w:sz w:val="24"/>
          <w:szCs w:val="24"/>
          <w:lang w:eastAsia="en-GB"/>
        </w:rPr>
      </w:pPr>
      <w:r w:rsidRPr="00CC23E3">
        <w:rPr>
          <w:rFonts w:eastAsia="Times New Roman" w:cstheme="minorHAnsi"/>
          <w:b/>
          <w:bCs/>
          <w:sz w:val="24"/>
          <w:szCs w:val="24"/>
          <w:lang w:eastAsia="en-GB"/>
        </w:rPr>
        <w:t>Scope and Objectives</w:t>
      </w:r>
    </w:p>
    <w:p w:rsidR="000947F5" w:rsidRPr="00CC23E3" w:rsidRDefault="000947F5" w:rsidP="000947F5">
      <w:pPr>
        <w:shd w:val="clear" w:color="auto" w:fill="FFFFFF"/>
        <w:spacing w:after="0" w:line="240" w:lineRule="auto"/>
        <w:rPr>
          <w:rFonts w:eastAsia="Times New Roman" w:cstheme="minorHAnsi"/>
          <w:sz w:val="24"/>
          <w:szCs w:val="24"/>
          <w:lang w:eastAsia="en-GB"/>
        </w:rPr>
      </w:pPr>
      <w:r w:rsidRPr="00CC23E3">
        <w:rPr>
          <w:rFonts w:eastAsia="Times New Roman" w:cstheme="minorHAnsi"/>
          <w:sz w:val="24"/>
          <w:szCs w:val="24"/>
          <w:lang w:eastAsia="en-GB"/>
        </w:rPr>
        <w:t>The Audit Quality Review (AQR) team monitors the quality of the audit work of those UK audit firms that audit Public Interest and large AIM entities. The overall objective of our work is to monitor and promote continuous improvements in audit quality in the UK.</w:t>
      </w:r>
      <w:r w:rsidRPr="00CC23E3">
        <w:rPr>
          <w:rFonts w:eastAsia="Times New Roman" w:cstheme="minorHAnsi"/>
          <w:sz w:val="24"/>
          <w:szCs w:val="24"/>
          <w:lang w:eastAsia="en-GB"/>
        </w:rPr>
        <w:br/>
      </w:r>
      <w:r w:rsidRPr="00CC23E3">
        <w:rPr>
          <w:rFonts w:eastAsia="Times New Roman" w:cstheme="minorHAnsi"/>
          <w:sz w:val="24"/>
          <w:szCs w:val="24"/>
          <w:lang w:eastAsia="en-GB"/>
        </w:rPr>
        <w:br/>
        <w:t>All UK audit firms that undertake Public Interest and large AIM entity audits are subject to AQR inspections in respect of this audit work. The professional bodies have the responsibility for monitoring all other audit work. The frequency of AQR inspections varies with larger firms inspected annually while other firms are generally inspected once every three years. In certain cases the inspection cycle can be extended to six years. Those entities classified as Public Interes</w:t>
      </w:r>
      <w:r w:rsidR="00CC23E3" w:rsidRPr="00CC23E3">
        <w:rPr>
          <w:rFonts w:eastAsia="Times New Roman" w:cstheme="minorHAnsi"/>
          <w:sz w:val="24"/>
          <w:szCs w:val="24"/>
          <w:lang w:eastAsia="en-GB"/>
        </w:rPr>
        <w:t>t or large AIM are as follows:</w:t>
      </w:r>
      <w:r w:rsidR="00CC23E3" w:rsidRPr="00CC23E3">
        <w:rPr>
          <w:rFonts w:eastAsia="Times New Roman" w:cstheme="minorHAnsi"/>
          <w:sz w:val="24"/>
          <w:szCs w:val="24"/>
          <w:lang w:eastAsia="en-GB"/>
        </w:rPr>
        <w:br/>
      </w:r>
    </w:p>
    <w:p w:rsidR="000947F5" w:rsidRPr="00CC23E3" w:rsidRDefault="000947F5" w:rsidP="000947F5">
      <w:pPr>
        <w:shd w:val="clear" w:color="auto" w:fill="FFFFFF"/>
        <w:spacing w:before="100" w:beforeAutospacing="1" w:after="100" w:afterAutospacing="1" w:line="240" w:lineRule="auto"/>
        <w:outlineLvl w:val="1"/>
        <w:rPr>
          <w:rFonts w:eastAsia="Times New Roman" w:cstheme="minorHAnsi"/>
          <w:b/>
          <w:bCs/>
          <w:sz w:val="24"/>
          <w:szCs w:val="24"/>
          <w:lang w:eastAsia="en-GB"/>
        </w:rPr>
      </w:pPr>
      <w:r w:rsidRPr="00CC23E3">
        <w:rPr>
          <w:rFonts w:eastAsia="Times New Roman" w:cstheme="minorHAnsi"/>
          <w:b/>
          <w:bCs/>
          <w:sz w:val="24"/>
          <w:szCs w:val="24"/>
          <w:lang w:eastAsia="en-GB"/>
        </w:rPr>
        <w:t>Monitoring Approach</w:t>
      </w:r>
    </w:p>
    <w:p w:rsidR="000947F5" w:rsidRPr="00CC23E3" w:rsidRDefault="00CC23E3" w:rsidP="000947F5">
      <w:pPr>
        <w:shd w:val="clear" w:color="auto" w:fill="FFFFFF"/>
        <w:spacing w:after="0" w:line="240" w:lineRule="auto"/>
        <w:rPr>
          <w:rFonts w:eastAsia="Times New Roman" w:cstheme="minorHAnsi"/>
          <w:sz w:val="24"/>
          <w:szCs w:val="24"/>
          <w:lang w:eastAsia="en-GB"/>
        </w:rPr>
      </w:pPr>
      <w:r w:rsidRPr="00CC23E3">
        <w:rPr>
          <w:rFonts w:eastAsia="Times New Roman" w:cstheme="minorHAnsi"/>
          <w:sz w:val="24"/>
          <w:szCs w:val="24"/>
          <w:lang w:eastAsia="en-GB"/>
        </w:rPr>
        <w:t>The</w:t>
      </w:r>
      <w:r w:rsidR="000947F5" w:rsidRPr="00CC23E3">
        <w:rPr>
          <w:rFonts w:eastAsia="Times New Roman" w:cstheme="minorHAnsi"/>
          <w:sz w:val="24"/>
          <w:szCs w:val="24"/>
          <w:lang w:eastAsia="en-GB"/>
        </w:rPr>
        <w:t xml:space="preserve"> monitoring activity comprises inspections of a sample of audits and related procedures supporting audit quality (firm-wide procedures) at individual audit firms. In addition we periodically undertake thematic inspections which focus on particular aspects of audit across a sample of audits and firms.</w:t>
      </w:r>
      <w:r w:rsidR="000947F5" w:rsidRPr="00CC23E3">
        <w:rPr>
          <w:rFonts w:eastAsia="Times New Roman" w:cstheme="minorHAnsi"/>
          <w:sz w:val="24"/>
          <w:szCs w:val="24"/>
          <w:lang w:eastAsia="en-GB"/>
        </w:rPr>
        <w:br/>
        <w:t> </w:t>
      </w:r>
      <w:r w:rsidR="000947F5" w:rsidRPr="00CC23E3">
        <w:rPr>
          <w:rFonts w:eastAsia="Times New Roman" w:cstheme="minorHAnsi"/>
          <w:sz w:val="24"/>
          <w:szCs w:val="24"/>
          <w:lang w:eastAsia="en-GB"/>
        </w:rPr>
        <w:br/>
        <w:t>In selecting individual public interest or</w:t>
      </w:r>
      <w:r w:rsidRPr="00CC23E3">
        <w:rPr>
          <w:rFonts w:eastAsia="Times New Roman" w:cstheme="minorHAnsi"/>
          <w:sz w:val="24"/>
          <w:szCs w:val="24"/>
          <w:lang w:eastAsia="en-GB"/>
        </w:rPr>
        <w:t xml:space="preserve"> large AIM audits to inspect  they</w:t>
      </w:r>
      <w:r w:rsidR="000947F5" w:rsidRPr="00CC23E3">
        <w:rPr>
          <w:rFonts w:eastAsia="Times New Roman" w:cstheme="minorHAnsi"/>
          <w:sz w:val="24"/>
          <w:szCs w:val="24"/>
          <w:lang w:eastAsia="en-GB"/>
        </w:rPr>
        <w:t xml:space="preserve"> take account of a number of factors including the assessed risk in relation to the entity an</w:t>
      </w:r>
      <w:r w:rsidRPr="00CC23E3">
        <w:rPr>
          <w:rFonts w:eastAsia="Times New Roman" w:cstheme="minorHAnsi"/>
          <w:sz w:val="24"/>
          <w:szCs w:val="24"/>
          <w:lang w:eastAsia="en-GB"/>
        </w:rPr>
        <w:t>d particular priority sectors they</w:t>
      </w:r>
      <w:r w:rsidR="000947F5" w:rsidRPr="00CC23E3">
        <w:rPr>
          <w:rFonts w:eastAsia="Times New Roman" w:cstheme="minorHAnsi"/>
          <w:sz w:val="24"/>
          <w:szCs w:val="24"/>
          <w:lang w:eastAsia="en-GB"/>
        </w:rPr>
        <w:t xml:space="preserve"> wish to focus on. In respect of the FTSE 350 the Competition and Markets Authori</w:t>
      </w:r>
      <w:r w:rsidRPr="00CC23E3">
        <w:rPr>
          <w:rFonts w:eastAsia="Times New Roman" w:cstheme="minorHAnsi"/>
          <w:sz w:val="24"/>
          <w:szCs w:val="24"/>
          <w:lang w:eastAsia="en-GB"/>
        </w:rPr>
        <w:t>ty has recommended that they</w:t>
      </w:r>
      <w:r w:rsidR="000947F5" w:rsidRPr="00CC23E3">
        <w:rPr>
          <w:rFonts w:eastAsia="Times New Roman" w:cstheme="minorHAnsi"/>
          <w:sz w:val="24"/>
          <w:szCs w:val="24"/>
          <w:lang w:eastAsia="en-GB"/>
        </w:rPr>
        <w:t xml:space="preserve"> inspect audit engagements on average every five years, with each individual engagement inspected at least every </w:t>
      </w:r>
      <w:r w:rsidRPr="00CC23E3">
        <w:rPr>
          <w:rFonts w:eastAsia="Times New Roman" w:cstheme="minorHAnsi"/>
          <w:sz w:val="24"/>
          <w:szCs w:val="24"/>
          <w:lang w:eastAsia="en-GB"/>
        </w:rPr>
        <w:t>seven years. As a consequence they</w:t>
      </w:r>
      <w:r w:rsidR="000947F5" w:rsidRPr="00CC23E3">
        <w:rPr>
          <w:rFonts w:eastAsia="Times New Roman" w:cstheme="minorHAnsi"/>
          <w:sz w:val="24"/>
          <w:szCs w:val="24"/>
          <w:lang w:eastAsia="en-GB"/>
        </w:rPr>
        <w:t xml:space="preserve"> aim to inspect on average 70 </w:t>
      </w:r>
      <w:r w:rsidRPr="00CC23E3">
        <w:rPr>
          <w:rFonts w:eastAsia="Times New Roman" w:cstheme="minorHAnsi"/>
          <w:sz w:val="24"/>
          <w:szCs w:val="24"/>
          <w:lang w:eastAsia="en-GB"/>
        </w:rPr>
        <w:t>FTSE 350 audits each year.</w:t>
      </w:r>
      <w:r w:rsidRPr="00CC23E3">
        <w:rPr>
          <w:rFonts w:eastAsia="Times New Roman" w:cstheme="minorHAnsi"/>
          <w:sz w:val="24"/>
          <w:szCs w:val="24"/>
          <w:lang w:eastAsia="en-GB"/>
        </w:rPr>
        <w:br/>
        <w:t> </w:t>
      </w:r>
      <w:r w:rsidRPr="00CC23E3">
        <w:rPr>
          <w:rFonts w:eastAsia="Times New Roman" w:cstheme="minorHAnsi"/>
          <w:sz w:val="24"/>
          <w:szCs w:val="24"/>
          <w:lang w:eastAsia="en-GB"/>
        </w:rPr>
        <w:br/>
        <w:t>The</w:t>
      </w:r>
      <w:r w:rsidR="000947F5" w:rsidRPr="00CC23E3">
        <w:rPr>
          <w:rFonts w:eastAsia="Times New Roman" w:cstheme="minorHAnsi"/>
          <w:sz w:val="24"/>
          <w:szCs w:val="24"/>
          <w:lang w:eastAsia="en-GB"/>
        </w:rPr>
        <w:t xml:space="preserve"> reviews of individual audits place emphasis on the appropriateness of key audit judgments made in reaching the audit opinion and the sufficiency and appropriateness of</w:t>
      </w:r>
      <w:r w:rsidRPr="00CC23E3">
        <w:rPr>
          <w:rFonts w:eastAsia="Times New Roman" w:cstheme="minorHAnsi"/>
          <w:sz w:val="24"/>
          <w:szCs w:val="24"/>
          <w:lang w:eastAsia="en-GB"/>
        </w:rPr>
        <w:t xml:space="preserve"> the audit evidence obtained. The</w:t>
      </w:r>
      <w:r w:rsidR="000947F5" w:rsidRPr="00CC23E3">
        <w:rPr>
          <w:rFonts w:eastAsia="Times New Roman" w:cstheme="minorHAnsi"/>
          <w:sz w:val="24"/>
          <w:szCs w:val="24"/>
          <w:lang w:eastAsia="en-GB"/>
        </w:rPr>
        <w:t xml:space="preserve"> reviews of firm-wide procedures are wide-ranging in nature and include an assessment of how the culture within firm</w:t>
      </w:r>
      <w:r w:rsidRPr="00CC23E3">
        <w:rPr>
          <w:rFonts w:eastAsia="Times New Roman" w:cstheme="minorHAnsi"/>
          <w:sz w:val="24"/>
          <w:szCs w:val="24"/>
          <w:lang w:eastAsia="en-GB"/>
        </w:rPr>
        <w:t>s impacts on audit quality.</w:t>
      </w:r>
      <w:r w:rsidRPr="00CC23E3">
        <w:rPr>
          <w:rFonts w:eastAsia="Times New Roman" w:cstheme="minorHAnsi"/>
          <w:sz w:val="24"/>
          <w:szCs w:val="24"/>
          <w:lang w:eastAsia="en-GB"/>
        </w:rPr>
        <w:br/>
      </w:r>
      <w:r w:rsidRPr="00CC23E3">
        <w:rPr>
          <w:rFonts w:eastAsia="Times New Roman" w:cstheme="minorHAnsi"/>
          <w:sz w:val="24"/>
          <w:szCs w:val="24"/>
          <w:lang w:eastAsia="en-GB"/>
        </w:rPr>
        <w:br/>
        <w:t>The</w:t>
      </w:r>
      <w:r w:rsidR="000947F5" w:rsidRPr="00CC23E3">
        <w:rPr>
          <w:rFonts w:eastAsia="Times New Roman" w:cstheme="minorHAnsi"/>
          <w:sz w:val="24"/>
          <w:szCs w:val="24"/>
          <w:lang w:eastAsia="en-GB"/>
        </w:rPr>
        <w:t xml:space="preserve"> inspections cover, but are not restricted to, compliance with the requirements of relevant standards and other aspects of the regulatory framework for auditing. This includes the Auditing Standards, Ethical Standards and Quality Control Standards for auditors issued by the FRC and the Audit Regulations issued by the r</w:t>
      </w:r>
      <w:r w:rsidRPr="00CC23E3">
        <w:rPr>
          <w:rFonts w:eastAsia="Times New Roman" w:cstheme="minorHAnsi"/>
          <w:sz w:val="24"/>
          <w:szCs w:val="24"/>
          <w:lang w:eastAsia="en-GB"/>
        </w:rPr>
        <w:t>elevant professional bodies.</w:t>
      </w:r>
      <w:r w:rsidRPr="00CC23E3">
        <w:rPr>
          <w:rFonts w:eastAsia="Times New Roman" w:cstheme="minorHAnsi"/>
          <w:sz w:val="24"/>
          <w:szCs w:val="24"/>
          <w:lang w:eastAsia="en-GB"/>
        </w:rPr>
        <w:br/>
      </w:r>
      <w:r w:rsidRPr="00CC23E3">
        <w:rPr>
          <w:rFonts w:eastAsia="Times New Roman" w:cstheme="minorHAnsi"/>
          <w:sz w:val="24"/>
          <w:szCs w:val="24"/>
          <w:lang w:eastAsia="en-GB"/>
        </w:rPr>
        <w:br/>
        <w:t>They</w:t>
      </w:r>
      <w:r w:rsidR="000947F5" w:rsidRPr="00CC23E3">
        <w:rPr>
          <w:rFonts w:eastAsia="Times New Roman" w:cstheme="minorHAnsi"/>
          <w:sz w:val="24"/>
          <w:szCs w:val="24"/>
          <w:lang w:eastAsia="en-GB"/>
        </w:rPr>
        <w:t xml:space="preserve"> identify areas where improvements are required to safeguard or enhance audit quality and/or comply </w:t>
      </w:r>
      <w:r w:rsidRPr="00CC23E3">
        <w:rPr>
          <w:rFonts w:eastAsia="Times New Roman" w:cstheme="minorHAnsi"/>
          <w:sz w:val="24"/>
          <w:szCs w:val="24"/>
          <w:lang w:eastAsia="en-GB"/>
        </w:rPr>
        <w:t>with regulatory requirements. They</w:t>
      </w:r>
      <w:r w:rsidR="000947F5" w:rsidRPr="00CC23E3">
        <w:rPr>
          <w:rFonts w:eastAsia="Times New Roman" w:cstheme="minorHAnsi"/>
          <w:sz w:val="24"/>
          <w:szCs w:val="24"/>
          <w:lang w:eastAsia="en-GB"/>
        </w:rPr>
        <w:t xml:space="preserve"> seek to agree an action plan with each firm inspected designed to ach</w:t>
      </w:r>
      <w:r w:rsidRPr="00CC23E3">
        <w:rPr>
          <w:rFonts w:eastAsia="Times New Roman" w:cstheme="minorHAnsi"/>
          <w:sz w:val="24"/>
          <w:szCs w:val="24"/>
          <w:lang w:eastAsia="en-GB"/>
        </w:rPr>
        <w:t>ieve the improvements needed. They</w:t>
      </w:r>
      <w:r w:rsidR="000947F5" w:rsidRPr="00CC23E3">
        <w:rPr>
          <w:rFonts w:eastAsia="Times New Roman" w:cstheme="minorHAnsi"/>
          <w:sz w:val="24"/>
          <w:szCs w:val="24"/>
          <w:lang w:eastAsia="en-GB"/>
        </w:rPr>
        <w:t xml:space="preserve"> assess the adequacy of the progress ma</w:t>
      </w:r>
      <w:r w:rsidRPr="00CC23E3">
        <w:rPr>
          <w:rFonts w:eastAsia="Times New Roman" w:cstheme="minorHAnsi"/>
          <w:sz w:val="24"/>
          <w:szCs w:val="24"/>
          <w:lang w:eastAsia="en-GB"/>
        </w:rPr>
        <w:t>de by the firm in addressing their</w:t>
      </w:r>
      <w:r w:rsidR="000947F5" w:rsidRPr="00CC23E3">
        <w:rPr>
          <w:rFonts w:eastAsia="Times New Roman" w:cstheme="minorHAnsi"/>
          <w:sz w:val="24"/>
          <w:szCs w:val="24"/>
          <w:lang w:eastAsia="en-GB"/>
        </w:rPr>
        <w:t xml:space="preserve"> findings periodically.</w:t>
      </w:r>
      <w:r w:rsidR="000947F5" w:rsidRPr="00CC23E3">
        <w:rPr>
          <w:rFonts w:eastAsia="Times New Roman" w:cstheme="minorHAnsi"/>
          <w:sz w:val="24"/>
          <w:szCs w:val="24"/>
          <w:lang w:eastAsia="en-GB"/>
        </w:rPr>
        <w:br/>
      </w:r>
      <w:r w:rsidR="000947F5" w:rsidRPr="00CC23E3">
        <w:rPr>
          <w:rFonts w:eastAsia="Times New Roman" w:cstheme="minorHAnsi"/>
          <w:sz w:val="24"/>
          <w:szCs w:val="24"/>
          <w:lang w:eastAsia="en-GB"/>
        </w:rPr>
        <w:br/>
      </w:r>
      <w:r w:rsidR="000947F5" w:rsidRPr="00CC23E3">
        <w:rPr>
          <w:rFonts w:eastAsia="Times New Roman" w:cstheme="minorHAnsi"/>
          <w:sz w:val="24"/>
          <w:szCs w:val="24"/>
          <w:lang w:eastAsia="en-GB"/>
        </w:rPr>
        <w:lastRenderedPageBreak/>
        <w:t>On occasion matt</w:t>
      </w:r>
      <w:r w:rsidRPr="00CC23E3">
        <w:rPr>
          <w:rFonts w:eastAsia="Times New Roman" w:cstheme="minorHAnsi"/>
          <w:sz w:val="24"/>
          <w:szCs w:val="24"/>
          <w:lang w:eastAsia="en-GB"/>
        </w:rPr>
        <w:t>ers arising from the</w:t>
      </w:r>
      <w:r w:rsidR="000947F5" w:rsidRPr="00CC23E3">
        <w:rPr>
          <w:rFonts w:eastAsia="Times New Roman" w:cstheme="minorHAnsi"/>
          <w:sz w:val="24"/>
          <w:szCs w:val="24"/>
          <w:lang w:eastAsia="en-GB"/>
        </w:rPr>
        <w:t xml:space="preserve"> inspections may result in a sanction being determined against the audit firm or disciplinary action being taken. Such matters are the responsibility of the FRC’s Enforcement Division.</w:t>
      </w:r>
    </w:p>
    <w:p w:rsidR="000947F5" w:rsidRPr="00CC23E3" w:rsidRDefault="000947F5" w:rsidP="000947F5">
      <w:pPr>
        <w:shd w:val="clear" w:color="auto" w:fill="FFFFFF"/>
        <w:spacing w:before="100" w:beforeAutospacing="1" w:after="100" w:afterAutospacing="1" w:line="240" w:lineRule="auto"/>
        <w:outlineLvl w:val="1"/>
        <w:rPr>
          <w:rFonts w:eastAsia="Times New Roman" w:cstheme="minorHAnsi"/>
          <w:b/>
          <w:bCs/>
          <w:sz w:val="24"/>
          <w:szCs w:val="24"/>
          <w:lang w:eastAsia="en-GB"/>
        </w:rPr>
      </w:pPr>
      <w:r w:rsidRPr="00CC23E3">
        <w:rPr>
          <w:rFonts w:eastAsia="Times New Roman" w:cstheme="minorHAnsi"/>
          <w:b/>
          <w:bCs/>
          <w:sz w:val="24"/>
          <w:szCs w:val="24"/>
          <w:lang w:eastAsia="en-GB"/>
        </w:rPr>
        <w:t>Reporting</w:t>
      </w:r>
    </w:p>
    <w:p w:rsidR="00CC23E3" w:rsidRPr="00CC23E3" w:rsidRDefault="00CC23E3" w:rsidP="000947F5">
      <w:pPr>
        <w:shd w:val="clear" w:color="auto" w:fill="FFFFFF"/>
        <w:spacing w:after="0" w:line="240" w:lineRule="auto"/>
        <w:rPr>
          <w:rFonts w:eastAsia="Times New Roman" w:cstheme="minorHAnsi"/>
          <w:sz w:val="24"/>
          <w:szCs w:val="24"/>
          <w:lang w:eastAsia="en-GB"/>
        </w:rPr>
      </w:pPr>
      <w:r w:rsidRPr="00CC23E3">
        <w:rPr>
          <w:rFonts w:eastAsia="Times New Roman" w:cstheme="minorHAnsi"/>
          <w:sz w:val="24"/>
          <w:szCs w:val="24"/>
          <w:lang w:eastAsia="en-GB"/>
        </w:rPr>
        <w:t>The</w:t>
      </w:r>
      <w:r w:rsidR="000947F5" w:rsidRPr="00CC23E3">
        <w:rPr>
          <w:rFonts w:eastAsia="Times New Roman" w:cstheme="minorHAnsi"/>
          <w:sz w:val="24"/>
          <w:szCs w:val="24"/>
          <w:lang w:eastAsia="en-GB"/>
        </w:rPr>
        <w:t xml:space="preserve"> reporting arrangements are among the most transparent of any aud</w:t>
      </w:r>
      <w:r w:rsidRPr="00CC23E3">
        <w:rPr>
          <w:rFonts w:eastAsia="Times New Roman" w:cstheme="minorHAnsi"/>
          <w:sz w:val="24"/>
          <w:szCs w:val="24"/>
          <w:lang w:eastAsia="en-GB"/>
        </w:rPr>
        <w:t>it regulator in the world and the team</w:t>
      </w:r>
      <w:r w:rsidR="000947F5" w:rsidRPr="00CC23E3">
        <w:rPr>
          <w:rFonts w:eastAsia="Times New Roman" w:cstheme="minorHAnsi"/>
          <w:sz w:val="24"/>
          <w:szCs w:val="24"/>
          <w:lang w:eastAsia="en-GB"/>
        </w:rPr>
        <w:t xml:space="preserve"> believe that they contribute to achieving continuous improvements in the quali</w:t>
      </w:r>
      <w:r w:rsidRPr="00CC23E3">
        <w:rPr>
          <w:rFonts w:eastAsia="Times New Roman" w:cstheme="minorHAnsi"/>
          <w:sz w:val="24"/>
          <w:szCs w:val="24"/>
          <w:lang w:eastAsia="en-GB"/>
        </w:rPr>
        <w:t>ty of UK auditing.</w:t>
      </w:r>
      <w:r w:rsidRPr="00CC23E3">
        <w:rPr>
          <w:rFonts w:eastAsia="Times New Roman" w:cstheme="minorHAnsi"/>
          <w:sz w:val="24"/>
          <w:szCs w:val="24"/>
          <w:lang w:eastAsia="en-GB"/>
        </w:rPr>
        <w:br/>
      </w:r>
      <w:r w:rsidRPr="00CC23E3">
        <w:rPr>
          <w:rFonts w:eastAsia="Times New Roman" w:cstheme="minorHAnsi"/>
          <w:sz w:val="24"/>
          <w:szCs w:val="24"/>
          <w:lang w:eastAsia="en-GB"/>
        </w:rPr>
        <w:br/>
        <w:t>Each year they</w:t>
      </w:r>
      <w:r w:rsidR="000947F5" w:rsidRPr="00CC23E3">
        <w:rPr>
          <w:rFonts w:eastAsia="Times New Roman" w:cstheme="minorHAnsi"/>
          <w:sz w:val="24"/>
          <w:szCs w:val="24"/>
          <w:lang w:eastAsia="en-GB"/>
        </w:rPr>
        <w:t xml:space="preserve"> publish a number of </w:t>
      </w:r>
      <w:hyperlink r:id="rId5" w:history="1">
        <w:r w:rsidR="000947F5" w:rsidRPr="00CC23E3">
          <w:rPr>
            <w:rFonts w:eastAsia="Times New Roman" w:cstheme="minorHAnsi"/>
            <w:bCs/>
            <w:sz w:val="24"/>
            <w:szCs w:val="24"/>
            <w:lang w:eastAsia="en-GB"/>
          </w:rPr>
          <w:t>Individual firm reports</w:t>
        </w:r>
      </w:hyperlink>
      <w:r w:rsidR="000947F5" w:rsidRPr="00CC23E3">
        <w:rPr>
          <w:rFonts w:eastAsia="Times New Roman" w:cstheme="minorHAnsi"/>
          <w:sz w:val="24"/>
          <w:szCs w:val="24"/>
          <w:lang w:eastAsia="en-GB"/>
        </w:rPr>
        <w:t xml:space="preserve"> and </w:t>
      </w:r>
      <w:hyperlink r:id="rId6" w:history="1">
        <w:r w:rsidR="000947F5" w:rsidRPr="00CC23E3">
          <w:rPr>
            <w:rFonts w:eastAsia="Times New Roman" w:cstheme="minorHAnsi"/>
            <w:bCs/>
            <w:sz w:val="24"/>
            <w:szCs w:val="24"/>
            <w:lang w:eastAsia="en-GB"/>
          </w:rPr>
          <w:t>thematic inspections reports</w:t>
        </w:r>
      </w:hyperlink>
      <w:r w:rsidR="000947F5" w:rsidRPr="00CC23E3">
        <w:rPr>
          <w:rFonts w:eastAsia="Times New Roman" w:cstheme="minorHAnsi"/>
          <w:sz w:val="24"/>
          <w:szCs w:val="24"/>
          <w:lang w:eastAsia="en-GB"/>
        </w:rPr>
        <w:t>, wh</w:t>
      </w:r>
      <w:r w:rsidRPr="00CC23E3">
        <w:rPr>
          <w:rFonts w:eastAsia="Times New Roman" w:cstheme="minorHAnsi"/>
          <w:sz w:val="24"/>
          <w:szCs w:val="24"/>
          <w:lang w:eastAsia="en-GB"/>
        </w:rPr>
        <w:t>ich summarise the results of the inspection activities. They</w:t>
      </w:r>
      <w:r w:rsidR="000947F5" w:rsidRPr="00CC23E3">
        <w:rPr>
          <w:rFonts w:eastAsia="Times New Roman" w:cstheme="minorHAnsi"/>
          <w:sz w:val="24"/>
          <w:szCs w:val="24"/>
          <w:lang w:eastAsia="en-GB"/>
        </w:rPr>
        <w:t xml:space="preserve"> also contribute to the FRC’s overall report on audit quality. </w:t>
      </w:r>
    </w:p>
    <w:p w:rsidR="000947F5" w:rsidRPr="00CC23E3" w:rsidRDefault="00CC23E3" w:rsidP="000947F5">
      <w:pPr>
        <w:shd w:val="clear" w:color="auto" w:fill="FFFFFF"/>
        <w:spacing w:after="0" w:line="240" w:lineRule="auto"/>
        <w:rPr>
          <w:rFonts w:eastAsia="Times New Roman" w:cstheme="minorHAnsi"/>
          <w:sz w:val="24"/>
          <w:szCs w:val="24"/>
          <w:lang w:eastAsia="en-GB"/>
        </w:rPr>
      </w:pPr>
      <w:r w:rsidRPr="00CC23E3">
        <w:rPr>
          <w:rFonts w:eastAsia="Times New Roman" w:cstheme="minorHAnsi"/>
          <w:sz w:val="24"/>
          <w:szCs w:val="24"/>
          <w:lang w:eastAsia="en-GB"/>
        </w:rPr>
        <w:br/>
        <w:t>They</w:t>
      </w:r>
      <w:r w:rsidR="000947F5" w:rsidRPr="00CC23E3">
        <w:rPr>
          <w:rFonts w:eastAsia="Times New Roman" w:cstheme="minorHAnsi"/>
          <w:sz w:val="24"/>
          <w:szCs w:val="24"/>
          <w:lang w:eastAsia="en-GB"/>
        </w:rPr>
        <w:t xml:space="preserve"> also issue confidential reports on individual audits reviewed to the relevant audit firms and Audit Committee C</w:t>
      </w:r>
      <w:r w:rsidRPr="00CC23E3">
        <w:rPr>
          <w:rFonts w:eastAsia="Times New Roman" w:cstheme="minorHAnsi"/>
          <w:sz w:val="24"/>
          <w:szCs w:val="24"/>
          <w:lang w:eastAsia="en-GB"/>
        </w:rPr>
        <w:t>hairs. These reports include the</w:t>
      </w:r>
      <w:r w:rsidR="000947F5" w:rsidRPr="00CC23E3">
        <w:rPr>
          <w:rFonts w:eastAsia="Times New Roman" w:cstheme="minorHAnsi"/>
          <w:sz w:val="24"/>
          <w:szCs w:val="24"/>
          <w:lang w:eastAsia="en-GB"/>
        </w:rPr>
        <w:t xml:space="preserve"> assessment of the quality of</w:t>
      </w:r>
      <w:r w:rsidRPr="00CC23E3">
        <w:rPr>
          <w:rFonts w:eastAsia="Times New Roman" w:cstheme="minorHAnsi"/>
          <w:sz w:val="24"/>
          <w:szCs w:val="24"/>
          <w:lang w:eastAsia="en-GB"/>
        </w:rPr>
        <w:t xml:space="preserve"> the audit work inspected</w:t>
      </w:r>
      <w:r w:rsidR="000947F5" w:rsidRPr="00CC23E3">
        <w:rPr>
          <w:rFonts w:eastAsia="Times New Roman" w:cstheme="minorHAnsi"/>
          <w:sz w:val="24"/>
          <w:szCs w:val="24"/>
          <w:lang w:eastAsia="en-GB"/>
        </w:rPr>
        <w:t xml:space="preserve"> using one of four audit quality categories as follows:</w:t>
      </w:r>
    </w:p>
    <w:p w:rsidR="000947F5" w:rsidRPr="00CC23E3" w:rsidRDefault="000947F5" w:rsidP="000947F5">
      <w:pPr>
        <w:numPr>
          <w:ilvl w:val="0"/>
          <w:numId w:val="2"/>
        </w:numPr>
        <w:shd w:val="clear" w:color="auto" w:fill="FFFFFF"/>
        <w:spacing w:before="100" w:beforeAutospacing="1" w:after="100" w:afterAutospacing="1" w:line="240" w:lineRule="auto"/>
        <w:ind w:left="810"/>
        <w:rPr>
          <w:rFonts w:eastAsia="Times New Roman" w:cstheme="minorHAnsi"/>
          <w:sz w:val="24"/>
          <w:szCs w:val="24"/>
          <w:lang w:eastAsia="en-GB"/>
        </w:rPr>
      </w:pPr>
      <w:r w:rsidRPr="00CC23E3">
        <w:rPr>
          <w:rFonts w:eastAsia="Times New Roman" w:cstheme="minorHAnsi"/>
          <w:sz w:val="24"/>
          <w:szCs w:val="24"/>
          <w:lang w:eastAsia="en-GB"/>
        </w:rPr>
        <w:t>Good (category 1)</w:t>
      </w:r>
    </w:p>
    <w:p w:rsidR="000947F5" w:rsidRPr="00CC23E3" w:rsidRDefault="000947F5" w:rsidP="000947F5">
      <w:pPr>
        <w:numPr>
          <w:ilvl w:val="0"/>
          <w:numId w:val="2"/>
        </w:numPr>
        <w:shd w:val="clear" w:color="auto" w:fill="FFFFFF"/>
        <w:spacing w:before="100" w:beforeAutospacing="1" w:after="100" w:afterAutospacing="1" w:line="240" w:lineRule="auto"/>
        <w:ind w:left="810"/>
        <w:rPr>
          <w:rFonts w:eastAsia="Times New Roman" w:cstheme="minorHAnsi"/>
          <w:sz w:val="24"/>
          <w:szCs w:val="24"/>
          <w:lang w:eastAsia="en-GB"/>
        </w:rPr>
      </w:pPr>
      <w:r w:rsidRPr="00CC23E3">
        <w:rPr>
          <w:rFonts w:eastAsia="Times New Roman" w:cstheme="minorHAnsi"/>
          <w:sz w:val="24"/>
          <w:szCs w:val="24"/>
          <w:lang w:eastAsia="en-GB"/>
        </w:rPr>
        <w:t>Limited improvements required (category 2A)</w:t>
      </w:r>
    </w:p>
    <w:p w:rsidR="000947F5" w:rsidRPr="00CC23E3" w:rsidRDefault="000947F5" w:rsidP="000947F5">
      <w:pPr>
        <w:numPr>
          <w:ilvl w:val="0"/>
          <w:numId w:val="2"/>
        </w:numPr>
        <w:shd w:val="clear" w:color="auto" w:fill="FFFFFF"/>
        <w:spacing w:before="100" w:beforeAutospacing="1" w:after="100" w:afterAutospacing="1" w:line="240" w:lineRule="auto"/>
        <w:ind w:left="810"/>
        <w:rPr>
          <w:rFonts w:eastAsia="Times New Roman" w:cstheme="minorHAnsi"/>
          <w:sz w:val="24"/>
          <w:szCs w:val="24"/>
          <w:lang w:eastAsia="en-GB"/>
        </w:rPr>
      </w:pPr>
      <w:r w:rsidRPr="00CC23E3">
        <w:rPr>
          <w:rFonts w:eastAsia="Times New Roman" w:cstheme="minorHAnsi"/>
          <w:sz w:val="24"/>
          <w:szCs w:val="24"/>
          <w:lang w:eastAsia="en-GB"/>
        </w:rPr>
        <w:t>Improvements required (category 2B)</w:t>
      </w:r>
    </w:p>
    <w:p w:rsidR="000947F5" w:rsidRPr="00CC23E3" w:rsidRDefault="000947F5" w:rsidP="000947F5">
      <w:pPr>
        <w:numPr>
          <w:ilvl w:val="0"/>
          <w:numId w:val="2"/>
        </w:numPr>
        <w:shd w:val="clear" w:color="auto" w:fill="FFFFFF"/>
        <w:spacing w:before="100" w:beforeAutospacing="1" w:after="100" w:afterAutospacing="1" w:line="240" w:lineRule="auto"/>
        <w:ind w:left="810"/>
        <w:rPr>
          <w:rFonts w:eastAsia="Times New Roman" w:cstheme="minorHAnsi"/>
          <w:sz w:val="24"/>
          <w:szCs w:val="24"/>
          <w:lang w:eastAsia="en-GB"/>
        </w:rPr>
      </w:pPr>
      <w:r w:rsidRPr="00CC23E3">
        <w:rPr>
          <w:rFonts w:eastAsia="Times New Roman" w:cstheme="minorHAnsi"/>
          <w:sz w:val="24"/>
          <w:szCs w:val="24"/>
          <w:lang w:eastAsia="en-GB"/>
        </w:rPr>
        <w:t>Significant improvements required (category 3). </w:t>
      </w:r>
    </w:p>
    <w:p w:rsidR="000947F5" w:rsidRPr="00CC23E3" w:rsidRDefault="000947F5" w:rsidP="000947F5">
      <w:pPr>
        <w:shd w:val="clear" w:color="auto" w:fill="FFFFFF"/>
        <w:spacing w:after="0" w:line="240" w:lineRule="auto"/>
        <w:rPr>
          <w:rFonts w:eastAsia="Times New Roman" w:cstheme="minorHAnsi"/>
          <w:sz w:val="24"/>
          <w:szCs w:val="24"/>
          <w:lang w:eastAsia="en-GB"/>
        </w:rPr>
      </w:pPr>
      <w:r w:rsidRPr="00CC23E3">
        <w:rPr>
          <w:rFonts w:eastAsia="Times New Roman" w:cstheme="minorHAnsi"/>
          <w:sz w:val="24"/>
          <w:szCs w:val="24"/>
          <w:lang w:eastAsia="en-GB"/>
        </w:rPr>
        <w:t xml:space="preserve">A list of audits subject </w:t>
      </w:r>
      <w:r w:rsidR="00CC23E3" w:rsidRPr="00CC23E3">
        <w:rPr>
          <w:rFonts w:eastAsia="Times New Roman" w:cstheme="minorHAnsi"/>
          <w:sz w:val="24"/>
          <w:szCs w:val="24"/>
          <w:lang w:eastAsia="en-GB"/>
        </w:rPr>
        <w:t>to AQR inspections is</w:t>
      </w:r>
      <w:r w:rsidRPr="00CC23E3">
        <w:rPr>
          <w:rFonts w:eastAsia="Times New Roman" w:cstheme="minorHAnsi"/>
          <w:sz w:val="24"/>
          <w:szCs w:val="24"/>
          <w:lang w:eastAsia="en-GB"/>
        </w:rPr>
        <w:t xml:space="preserve"> published periodically.</w:t>
      </w:r>
    </w:p>
    <w:p w:rsidR="000B2486" w:rsidRPr="00CC23E3" w:rsidRDefault="000B2486">
      <w:pPr>
        <w:rPr>
          <w:rFonts w:cstheme="minorHAnsi"/>
          <w:sz w:val="24"/>
          <w:szCs w:val="24"/>
        </w:rPr>
      </w:pPr>
    </w:p>
    <w:sectPr w:rsidR="000B2486" w:rsidRPr="00CC2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23FE4"/>
    <w:multiLevelType w:val="multilevel"/>
    <w:tmpl w:val="B4B0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62023"/>
    <w:multiLevelType w:val="multilevel"/>
    <w:tmpl w:val="2E30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F5"/>
    <w:rsid w:val="000947F5"/>
    <w:rsid w:val="000B2486"/>
    <w:rsid w:val="00430BD3"/>
    <w:rsid w:val="00A06089"/>
    <w:rsid w:val="00CC2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F9A9"/>
  <w15:chartTrackingRefBased/>
  <w15:docId w15:val="{6755EE55-80B4-40D8-90EE-7C16ABEC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785248">
      <w:bodyDiv w:val="1"/>
      <w:marLeft w:val="0"/>
      <w:marRight w:val="0"/>
      <w:marTop w:val="0"/>
      <w:marBottom w:val="0"/>
      <w:divBdr>
        <w:top w:val="none" w:sz="0" w:space="0" w:color="auto"/>
        <w:left w:val="none" w:sz="0" w:space="0" w:color="auto"/>
        <w:bottom w:val="none" w:sz="0" w:space="0" w:color="auto"/>
        <w:right w:val="none" w:sz="0" w:space="0" w:color="auto"/>
      </w:divBdr>
      <w:divsChild>
        <w:div w:id="1132794191">
          <w:marLeft w:val="0"/>
          <w:marRight w:val="0"/>
          <w:marTop w:val="0"/>
          <w:marBottom w:val="0"/>
          <w:divBdr>
            <w:top w:val="none" w:sz="0" w:space="0" w:color="auto"/>
            <w:left w:val="none" w:sz="0" w:space="0" w:color="auto"/>
            <w:bottom w:val="none" w:sz="0" w:space="0" w:color="auto"/>
            <w:right w:val="none" w:sz="0" w:space="0" w:color="auto"/>
          </w:divBdr>
          <w:divsChild>
            <w:div w:id="1867323879">
              <w:marLeft w:val="0"/>
              <w:marRight w:val="0"/>
              <w:marTop w:val="0"/>
              <w:marBottom w:val="0"/>
              <w:divBdr>
                <w:top w:val="none" w:sz="0" w:space="0" w:color="auto"/>
                <w:left w:val="none" w:sz="0" w:space="0" w:color="auto"/>
                <w:bottom w:val="none" w:sz="0" w:space="0" w:color="auto"/>
                <w:right w:val="none" w:sz="0" w:space="0" w:color="auto"/>
              </w:divBdr>
              <w:divsChild>
                <w:div w:id="95298979">
                  <w:marLeft w:val="0"/>
                  <w:marRight w:val="0"/>
                  <w:marTop w:val="0"/>
                  <w:marBottom w:val="0"/>
                  <w:divBdr>
                    <w:top w:val="none" w:sz="0" w:space="0" w:color="auto"/>
                    <w:left w:val="none" w:sz="0" w:space="0" w:color="auto"/>
                    <w:bottom w:val="none" w:sz="0" w:space="0" w:color="auto"/>
                    <w:right w:val="none" w:sz="0" w:space="0" w:color="auto"/>
                  </w:divBdr>
                  <w:divsChild>
                    <w:div w:id="1356224351">
                      <w:marLeft w:val="90"/>
                      <w:marRight w:val="0"/>
                      <w:marTop w:val="0"/>
                      <w:marBottom w:val="0"/>
                      <w:divBdr>
                        <w:top w:val="none" w:sz="0" w:space="0" w:color="auto"/>
                        <w:left w:val="none" w:sz="0" w:space="0" w:color="auto"/>
                        <w:bottom w:val="none" w:sz="0" w:space="0" w:color="auto"/>
                        <w:right w:val="none" w:sz="0" w:space="0" w:color="auto"/>
                      </w:divBdr>
                      <w:divsChild>
                        <w:div w:id="980353380">
                          <w:marLeft w:val="0"/>
                          <w:marRight w:val="0"/>
                          <w:marTop w:val="0"/>
                          <w:marBottom w:val="0"/>
                          <w:divBdr>
                            <w:top w:val="none" w:sz="0" w:space="0" w:color="auto"/>
                            <w:left w:val="none" w:sz="0" w:space="0" w:color="auto"/>
                            <w:bottom w:val="none" w:sz="0" w:space="0" w:color="auto"/>
                            <w:right w:val="none" w:sz="0" w:space="0" w:color="auto"/>
                          </w:divBdr>
                          <w:divsChild>
                            <w:div w:id="1831016818">
                              <w:marLeft w:val="0"/>
                              <w:marRight w:val="0"/>
                              <w:marTop w:val="0"/>
                              <w:marBottom w:val="0"/>
                              <w:divBdr>
                                <w:top w:val="none" w:sz="0" w:space="0" w:color="auto"/>
                                <w:left w:val="none" w:sz="0" w:space="0" w:color="auto"/>
                                <w:bottom w:val="none" w:sz="0" w:space="0" w:color="auto"/>
                                <w:right w:val="none" w:sz="0" w:space="0" w:color="auto"/>
                              </w:divBdr>
                              <w:divsChild>
                                <w:div w:id="1142700122">
                                  <w:marLeft w:val="0"/>
                                  <w:marRight w:val="0"/>
                                  <w:marTop w:val="0"/>
                                  <w:marBottom w:val="0"/>
                                  <w:divBdr>
                                    <w:top w:val="none" w:sz="0" w:space="0" w:color="auto"/>
                                    <w:left w:val="none" w:sz="0" w:space="0" w:color="auto"/>
                                    <w:bottom w:val="none" w:sz="0" w:space="0" w:color="auto"/>
                                    <w:right w:val="none" w:sz="0" w:space="0" w:color="auto"/>
                                  </w:divBdr>
                                  <w:divsChild>
                                    <w:div w:id="791944192">
                                      <w:marLeft w:val="0"/>
                                      <w:marRight w:val="0"/>
                                      <w:marTop w:val="0"/>
                                      <w:marBottom w:val="0"/>
                                      <w:divBdr>
                                        <w:top w:val="none" w:sz="0" w:space="0" w:color="auto"/>
                                        <w:left w:val="none" w:sz="0" w:space="0" w:color="auto"/>
                                        <w:bottom w:val="none" w:sz="0" w:space="0" w:color="auto"/>
                                        <w:right w:val="none" w:sz="0" w:space="0" w:color="auto"/>
                                      </w:divBdr>
                                      <w:divsChild>
                                        <w:div w:id="335033037">
                                          <w:marLeft w:val="0"/>
                                          <w:marRight w:val="0"/>
                                          <w:marTop w:val="0"/>
                                          <w:marBottom w:val="0"/>
                                          <w:divBdr>
                                            <w:top w:val="none" w:sz="0" w:space="0" w:color="auto"/>
                                            <w:left w:val="none" w:sz="0" w:space="0" w:color="auto"/>
                                            <w:bottom w:val="none" w:sz="0" w:space="0" w:color="auto"/>
                                            <w:right w:val="none" w:sz="0" w:space="0" w:color="auto"/>
                                          </w:divBdr>
                                        </w:div>
                                        <w:div w:id="2141220539">
                                          <w:marLeft w:val="0"/>
                                          <w:marRight w:val="0"/>
                                          <w:marTop w:val="0"/>
                                          <w:marBottom w:val="0"/>
                                          <w:divBdr>
                                            <w:top w:val="none" w:sz="0" w:space="0" w:color="auto"/>
                                            <w:left w:val="none" w:sz="0" w:space="0" w:color="auto"/>
                                            <w:bottom w:val="none" w:sz="0" w:space="0" w:color="auto"/>
                                            <w:right w:val="none" w:sz="0" w:space="0" w:color="auto"/>
                                          </w:divBdr>
                                        </w:div>
                                        <w:div w:id="512960008">
                                          <w:marLeft w:val="0"/>
                                          <w:marRight w:val="0"/>
                                          <w:marTop w:val="0"/>
                                          <w:marBottom w:val="0"/>
                                          <w:divBdr>
                                            <w:top w:val="none" w:sz="0" w:space="0" w:color="auto"/>
                                            <w:left w:val="none" w:sz="0" w:space="0" w:color="auto"/>
                                            <w:bottom w:val="none" w:sz="0" w:space="0" w:color="auto"/>
                                            <w:right w:val="none" w:sz="0" w:space="0" w:color="auto"/>
                                          </w:divBdr>
                                        </w:div>
                                        <w:div w:id="181406986">
                                          <w:marLeft w:val="0"/>
                                          <w:marRight w:val="0"/>
                                          <w:marTop w:val="0"/>
                                          <w:marBottom w:val="0"/>
                                          <w:divBdr>
                                            <w:top w:val="none" w:sz="0" w:space="0" w:color="auto"/>
                                            <w:left w:val="none" w:sz="0" w:space="0" w:color="auto"/>
                                            <w:bottom w:val="none" w:sz="0" w:space="0" w:color="auto"/>
                                            <w:right w:val="none" w:sz="0" w:space="0" w:color="auto"/>
                                          </w:divBdr>
                                        </w:div>
                                        <w:div w:id="111838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538913">
      <w:bodyDiv w:val="1"/>
      <w:marLeft w:val="0"/>
      <w:marRight w:val="0"/>
      <w:marTop w:val="0"/>
      <w:marBottom w:val="0"/>
      <w:divBdr>
        <w:top w:val="none" w:sz="0" w:space="0" w:color="auto"/>
        <w:left w:val="none" w:sz="0" w:space="0" w:color="auto"/>
        <w:bottom w:val="none" w:sz="0" w:space="0" w:color="auto"/>
        <w:right w:val="none" w:sz="0" w:space="0" w:color="auto"/>
      </w:divBdr>
      <w:divsChild>
        <w:div w:id="1614509150">
          <w:marLeft w:val="0"/>
          <w:marRight w:val="0"/>
          <w:marTop w:val="0"/>
          <w:marBottom w:val="0"/>
          <w:divBdr>
            <w:top w:val="none" w:sz="0" w:space="0" w:color="auto"/>
            <w:left w:val="none" w:sz="0" w:space="0" w:color="auto"/>
            <w:bottom w:val="none" w:sz="0" w:space="0" w:color="auto"/>
            <w:right w:val="none" w:sz="0" w:space="0" w:color="auto"/>
          </w:divBdr>
          <w:divsChild>
            <w:div w:id="469977215">
              <w:marLeft w:val="0"/>
              <w:marRight w:val="0"/>
              <w:marTop w:val="0"/>
              <w:marBottom w:val="0"/>
              <w:divBdr>
                <w:top w:val="none" w:sz="0" w:space="0" w:color="auto"/>
                <w:left w:val="none" w:sz="0" w:space="0" w:color="auto"/>
                <w:bottom w:val="none" w:sz="0" w:space="0" w:color="auto"/>
                <w:right w:val="none" w:sz="0" w:space="0" w:color="auto"/>
              </w:divBdr>
              <w:divsChild>
                <w:div w:id="601454841">
                  <w:marLeft w:val="0"/>
                  <w:marRight w:val="0"/>
                  <w:marTop w:val="225"/>
                  <w:marBottom w:val="0"/>
                  <w:divBdr>
                    <w:top w:val="none" w:sz="0" w:space="0" w:color="auto"/>
                    <w:left w:val="none" w:sz="0" w:space="0" w:color="auto"/>
                    <w:bottom w:val="none" w:sz="0" w:space="0" w:color="auto"/>
                    <w:right w:val="none" w:sz="0" w:space="0" w:color="auto"/>
                  </w:divBdr>
                  <w:divsChild>
                    <w:div w:id="2053572376">
                      <w:marLeft w:val="0"/>
                      <w:marRight w:val="150"/>
                      <w:marTop w:val="0"/>
                      <w:marBottom w:val="0"/>
                      <w:divBdr>
                        <w:top w:val="none" w:sz="0" w:space="0" w:color="auto"/>
                        <w:left w:val="none" w:sz="0" w:space="0" w:color="auto"/>
                        <w:bottom w:val="none" w:sz="0" w:space="0" w:color="auto"/>
                        <w:right w:val="none" w:sz="0" w:space="0" w:color="auto"/>
                      </w:divBdr>
                      <w:divsChild>
                        <w:div w:id="1791168406">
                          <w:marLeft w:val="0"/>
                          <w:marRight w:val="0"/>
                          <w:marTop w:val="0"/>
                          <w:marBottom w:val="0"/>
                          <w:divBdr>
                            <w:top w:val="none" w:sz="0" w:space="0" w:color="auto"/>
                            <w:left w:val="none" w:sz="0" w:space="0" w:color="auto"/>
                            <w:bottom w:val="none" w:sz="0" w:space="0" w:color="auto"/>
                            <w:right w:val="none" w:sz="0" w:space="0" w:color="auto"/>
                          </w:divBdr>
                          <w:divsChild>
                            <w:div w:id="7414152">
                              <w:marLeft w:val="0"/>
                              <w:marRight w:val="0"/>
                              <w:marTop w:val="0"/>
                              <w:marBottom w:val="0"/>
                              <w:divBdr>
                                <w:top w:val="none" w:sz="0" w:space="0" w:color="auto"/>
                                <w:left w:val="none" w:sz="0" w:space="0" w:color="auto"/>
                                <w:bottom w:val="none" w:sz="0" w:space="0" w:color="auto"/>
                                <w:right w:val="none" w:sz="0" w:space="0" w:color="auto"/>
                              </w:divBdr>
                              <w:divsChild>
                                <w:div w:id="10954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c.org.uk/Our-Work/Conduct/Audit-Quality-Review/Thematic-inspections.aspx" TargetMode="External"/><Relationship Id="rId5" Type="http://schemas.openxmlformats.org/officeDocument/2006/relationships/hyperlink" Target="https://frc.org.uk/Our-Work/Conduct/Audit-Quality-Review/Audit-firm-specific-reports.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2</cp:revision>
  <dcterms:created xsi:type="dcterms:W3CDTF">2016-04-20T11:16:00Z</dcterms:created>
  <dcterms:modified xsi:type="dcterms:W3CDTF">2018-03-21T11:03:00Z</dcterms:modified>
</cp:coreProperties>
</file>