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1EA1D1" w14:textId="3C9B0CB7" w:rsidR="00474782" w:rsidRPr="00474782" w:rsidRDefault="00474782" w:rsidP="006F235A">
      <w:pPr>
        <w:rPr>
          <w:rFonts w:ascii="Arial" w:hAnsi="Arial"/>
          <w:noProof/>
          <w:sz w:val="22"/>
          <w:szCs w:val="20"/>
          <w:lang w:eastAsia="en-GB"/>
        </w:rPr>
      </w:pPr>
      <w:r w:rsidRPr="00BC1CF2">
        <w:rPr>
          <w:b/>
          <w:noProof/>
          <w:lang w:eastAsia="en-GB"/>
        </w:rPr>
        <w:drawing>
          <wp:inline distT="0" distB="0" distL="0" distR="0" wp14:anchorId="7D9BBFD7" wp14:editId="7A972CFA">
            <wp:extent cx="2209800" cy="74676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6760"/>
                    </a:xfrm>
                    <a:prstGeom prst="rect">
                      <a:avLst/>
                    </a:prstGeom>
                    <a:noFill/>
                    <a:ln>
                      <a:noFill/>
                    </a:ln>
                  </pic:spPr>
                </pic:pic>
              </a:graphicData>
            </a:graphic>
          </wp:inline>
        </w:drawing>
      </w:r>
    </w:p>
    <w:p w14:paraId="0932A3AC" w14:textId="77777777" w:rsidR="00474782" w:rsidRPr="00992332" w:rsidRDefault="00474782" w:rsidP="006F235A">
      <w:pPr>
        <w:jc w:val="center"/>
        <w:rPr>
          <w:rFonts w:ascii="Arial" w:hAnsi="Arial" w:cs="Arial"/>
          <w:b/>
          <w:noProof/>
          <w:sz w:val="22"/>
          <w:szCs w:val="20"/>
          <w:lang w:eastAsia="en-GB"/>
        </w:rPr>
      </w:pPr>
    </w:p>
    <w:p w14:paraId="68BBA232" w14:textId="77777777" w:rsidR="00474782" w:rsidRPr="00936A16" w:rsidRDefault="00474782" w:rsidP="006F235A">
      <w:pPr>
        <w:jc w:val="center"/>
        <w:rPr>
          <w:rFonts w:cs="Arial"/>
          <w:b/>
          <w:color w:val="FF0000"/>
          <w:sz w:val="56"/>
          <w:szCs w:val="56"/>
        </w:rPr>
      </w:pPr>
      <w:r>
        <w:rPr>
          <w:rFonts w:cs="Arial"/>
          <w:b/>
          <w:color w:val="FF0000"/>
          <w:sz w:val="56"/>
          <w:szCs w:val="56"/>
        </w:rPr>
        <w:t>BA/HND BUSINESS &amp; MANAGEMENT</w:t>
      </w:r>
    </w:p>
    <w:p w14:paraId="1C609D7F" w14:textId="77777777" w:rsidR="00474782" w:rsidRDefault="00474782" w:rsidP="006F235A">
      <w:pPr>
        <w:ind w:right="-957"/>
        <w:rPr>
          <w:rFonts w:ascii="Arial" w:hAnsi="Arial" w:cs="Arial"/>
          <w:b/>
          <w:sz w:val="40"/>
          <w:szCs w:val="40"/>
          <w:lang w:eastAsia="en-GB"/>
        </w:rPr>
      </w:pPr>
    </w:p>
    <w:p w14:paraId="1B5CA632" w14:textId="73E23F07" w:rsidR="00474782" w:rsidRDefault="00474782" w:rsidP="006F235A">
      <w:pPr>
        <w:ind w:right="-957"/>
        <w:jc w:val="center"/>
        <w:rPr>
          <w:rFonts w:ascii="Arial" w:hAnsi="Arial" w:cs="Arial"/>
          <w:b/>
          <w:sz w:val="40"/>
          <w:szCs w:val="40"/>
          <w:lang w:eastAsia="en-GB"/>
        </w:rPr>
      </w:pPr>
      <w:r w:rsidRPr="00E66EC3">
        <w:rPr>
          <w:rFonts w:ascii="Arial" w:hAnsi="Arial" w:cs="Arial"/>
          <w:b/>
          <w:sz w:val="40"/>
          <w:szCs w:val="40"/>
          <w:lang w:eastAsia="en-GB"/>
        </w:rPr>
        <w:t>MODULE HANDBOOK</w:t>
      </w:r>
      <w:r>
        <w:rPr>
          <w:rFonts w:ascii="Arial" w:hAnsi="Arial" w:cs="Arial"/>
          <w:b/>
          <w:sz w:val="40"/>
          <w:szCs w:val="40"/>
          <w:lang w:eastAsia="en-GB"/>
        </w:rPr>
        <w:t xml:space="preserve">: </w:t>
      </w:r>
      <w:r w:rsidRPr="00E66EC3">
        <w:rPr>
          <w:rFonts w:ascii="Arial" w:hAnsi="Arial" w:cs="Arial"/>
          <w:b/>
          <w:sz w:val="40"/>
          <w:szCs w:val="40"/>
          <w:lang w:eastAsia="en-GB"/>
        </w:rPr>
        <w:t>BMSP40</w:t>
      </w:r>
      <w:r>
        <w:rPr>
          <w:rFonts w:ascii="Arial" w:hAnsi="Arial" w:cs="Arial"/>
          <w:b/>
          <w:sz w:val="40"/>
          <w:szCs w:val="40"/>
          <w:lang w:eastAsia="en-GB"/>
        </w:rPr>
        <w:t>11</w:t>
      </w:r>
    </w:p>
    <w:p w14:paraId="4998ED59" w14:textId="77777777" w:rsidR="00474782" w:rsidRPr="00474782" w:rsidRDefault="00474782" w:rsidP="006F235A">
      <w:pPr>
        <w:ind w:right="-957"/>
        <w:jc w:val="center"/>
        <w:rPr>
          <w:rFonts w:ascii="Arial" w:hAnsi="Arial" w:cs="Arial"/>
          <w:b/>
          <w:sz w:val="40"/>
          <w:szCs w:val="40"/>
          <w:lang w:eastAsia="en-GB"/>
        </w:rPr>
      </w:pPr>
    </w:p>
    <w:p w14:paraId="4C608EA0" w14:textId="77777777" w:rsidR="00474782" w:rsidRPr="00992332" w:rsidRDefault="00474782" w:rsidP="006F235A">
      <w:pPr>
        <w:ind w:right="-957"/>
        <w:jc w:val="center"/>
        <w:rPr>
          <w:rFonts w:ascii="Arial" w:hAnsi="Arial" w:cs="Arial"/>
          <w:b/>
          <w:sz w:val="48"/>
          <w:szCs w:val="20"/>
          <w:lang w:eastAsia="en-GB"/>
        </w:rPr>
      </w:pPr>
      <w:r>
        <w:rPr>
          <w:rFonts w:ascii="Arial" w:hAnsi="Arial" w:cs="Arial"/>
          <w:b/>
          <w:sz w:val="48"/>
          <w:szCs w:val="20"/>
          <w:lang w:eastAsia="en-GB"/>
        </w:rPr>
        <w:t>Financial Management For Business Sustainability</w:t>
      </w:r>
    </w:p>
    <w:p w14:paraId="4549058A" w14:textId="599F7035" w:rsidR="00474782" w:rsidRDefault="00474782" w:rsidP="006F235A">
      <w:pPr>
        <w:ind w:right="-957"/>
        <w:jc w:val="center"/>
        <w:rPr>
          <w:rFonts w:ascii="Arial" w:hAnsi="Arial" w:cs="Arial"/>
          <w:b/>
          <w:sz w:val="40"/>
          <w:szCs w:val="20"/>
          <w:lang w:eastAsia="en-GB"/>
        </w:rPr>
      </w:pPr>
      <w:r>
        <w:rPr>
          <w:rFonts w:ascii="Arial" w:hAnsi="Arial" w:cs="Arial"/>
          <w:b/>
          <w:sz w:val="40"/>
          <w:szCs w:val="20"/>
          <w:lang w:eastAsia="en-GB"/>
        </w:rPr>
        <w:t>Semester 2: 2025-2026</w:t>
      </w:r>
    </w:p>
    <w:p w14:paraId="1D664E09" w14:textId="1B12E0D0" w:rsidR="005E7B67" w:rsidRDefault="00474782" w:rsidP="006F235A">
      <w:pPr>
        <w:ind w:right="-957"/>
        <w:jc w:val="center"/>
        <w:rPr>
          <w:rFonts w:ascii="Arial" w:hAnsi="Arial" w:cs="Arial"/>
          <w:b/>
          <w:color w:val="FF0000"/>
          <w:sz w:val="40"/>
          <w:szCs w:val="20"/>
          <w:lang w:eastAsia="en-GB"/>
        </w:rPr>
      </w:pPr>
      <w:r>
        <w:rPr>
          <w:rFonts w:ascii="Arial" w:hAnsi="Arial" w:cs="Arial"/>
          <w:b/>
          <w:sz w:val="40"/>
          <w:szCs w:val="20"/>
          <w:lang w:eastAsia="en-GB"/>
        </w:rPr>
        <w:t xml:space="preserve">Module Lead: </w:t>
      </w:r>
      <w:r w:rsidRPr="0003476E">
        <w:rPr>
          <w:rFonts w:ascii="Arial" w:hAnsi="Arial" w:cs="Arial"/>
          <w:b/>
          <w:color w:val="FF0000"/>
          <w:sz w:val="40"/>
          <w:szCs w:val="20"/>
          <w:lang w:eastAsia="en-GB"/>
        </w:rPr>
        <w:t>Navdeep Randhawa</w:t>
      </w:r>
    </w:p>
    <w:p w14:paraId="3E4755E4" w14:textId="77777777" w:rsidR="005E7B67" w:rsidRDefault="005E7B67">
      <w:pPr>
        <w:spacing w:line="276" w:lineRule="auto"/>
        <w:jc w:val="left"/>
        <w:rPr>
          <w:rFonts w:ascii="Arial" w:hAnsi="Arial" w:cs="Arial"/>
          <w:b/>
          <w:color w:val="FF0000"/>
          <w:sz w:val="40"/>
          <w:szCs w:val="20"/>
          <w:lang w:eastAsia="en-GB"/>
        </w:rPr>
      </w:pPr>
      <w:r>
        <w:rPr>
          <w:rFonts w:ascii="Arial" w:hAnsi="Arial" w:cs="Arial"/>
          <w:b/>
          <w:color w:val="FF0000"/>
          <w:sz w:val="40"/>
          <w:szCs w:val="20"/>
          <w:lang w:eastAsia="en-GB"/>
        </w:rPr>
        <w:br w:type="page"/>
      </w:r>
    </w:p>
    <w:sdt>
      <w:sdtPr>
        <w:rPr>
          <w:rFonts w:ascii="Times New Roman" w:eastAsiaTheme="minorHAnsi" w:hAnsi="Times New Roman" w:cstheme="minorBidi"/>
          <w:color w:val="auto"/>
          <w:sz w:val="24"/>
          <w:szCs w:val="22"/>
        </w:rPr>
        <w:id w:val="-1178277972"/>
        <w:docPartObj>
          <w:docPartGallery w:val="Table of Contents"/>
          <w:docPartUnique/>
        </w:docPartObj>
      </w:sdtPr>
      <w:sdtEndPr>
        <w:rPr>
          <w:b/>
          <w:bCs/>
          <w:noProof/>
        </w:rPr>
      </w:sdtEndPr>
      <w:sdtContent>
        <w:p w14:paraId="2403439C" w14:textId="28DDB5EF" w:rsidR="005E7B67" w:rsidRPr="005E7B67" w:rsidRDefault="005E7B67" w:rsidP="005E7B67">
          <w:pPr>
            <w:pStyle w:val="TOCHeading"/>
            <w:jc w:val="center"/>
            <w:rPr>
              <w:rFonts w:ascii="Times New Roman" w:hAnsi="Times New Roman" w:cs="Times New Roman"/>
              <w:b/>
              <w:bCs/>
              <w:sz w:val="28"/>
              <w:szCs w:val="28"/>
            </w:rPr>
          </w:pPr>
          <w:r w:rsidRPr="005E7B67">
            <w:rPr>
              <w:rFonts w:ascii="Times New Roman" w:hAnsi="Times New Roman" w:cs="Times New Roman"/>
              <w:b/>
              <w:bCs/>
              <w:sz w:val="28"/>
              <w:szCs w:val="28"/>
            </w:rPr>
            <w:t>Table of Contents</w:t>
          </w:r>
        </w:p>
        <w:p w14:paraId="5A31FFBD" w14:textId="2D7EF6DF" w:rsidR="005E7B67" w:rsidRDefault="005E7B67">
          <w:pPr>
            <w:pStyle w:val="TOC1"/>
            <w:tabs>
              <w:tab w:val="right" w:leader="dot" w:pos="9350"/>
            </w:tabs>
            <w:rPr>
              <w:noProof/>
            </w:rPr>
          </w:pPr>
          <w:r>
            <w:fldChar w:fldCharType="begin"/>
          </w:r>
          <w:r>
            <w:instrText xml:space="preserve"> TOC \o "1-3" \h \z \u </w:instrText>
          </w:r>
          <w:r>
            <w:fldChar w:fldCharType="separate"/>
          </w:r>
          <w:hyperlink w:anchor="_Toc234772693" w:history="1">
            <w:r w:rsidRPr="00D1053C">
              <w:rPr>
                <w:rStyle w:val="Hyperlink"/>
                <w:noProof/>
              </w:rPr>
              <w:t>1.0 Introduction</w:t>
            </w:r>
            <w:r>
              <w:rPr>
                <w:noProof/>
                <w:webHidden/>
              </w:rPr>
              <w:tab/>
            </w:r>
            <w:r>
              <w:rPr>
                <w:noProof/>
                <w:webHidden/>
              </w:rPr>
              <w:fldChar w:fldCharType="begin"/>
            </w:r>
            <w:r>
              <w:rPr>
                <w:noProof/>
                <w:webHidden/>
              </w:rPr>
              <w:instrText xml:space="preserve"> PAGEREF _Toc234772693 \h </w:instrText>
            </w:r>
            <w:r>
              <w:rPr>
                <w:noProof/>
                <w:webHidden/>
              </w:rPr>
            </w:r>
            <w:r>
              <w:rPr>
                <w:noProof/>
                <w:webHidden/>
              </w:rPr>
              <w:fldChar w:fldCharType="separate"/>
            </w:r>
            <w:r>
              <w:rPr>
                <w:noProof/>
                <w:webHidden/>
              </w:rPr>
              <w:t>3</w:t>
            </w:r>
            <w:r>
              <w:rPr>
                <w:noProof/>
                <w:webHidden/>
              </w:rPr>
              <w:fldChar w:fldCharType="end"/>
            </w:r>
          </w:hyperlink>
        </w:p>
        <w:p w14:paraId="4B2CEAB3" w14:textId="71A41C48" w:rsidR="005E7B67" w:rsidRDefault="005E7B67">
          <w:pPr>
            <w:pStyle w:val="TOC1"/>
            <w:tabs>
              <w:tab w:val="right" w:leader="dot" w:pos="9350"/>
            </w:tabs>
            <w:rPr>
              <w:noProof/>
            </w:rPr>
          </w:pPr>
          <w:hyperlink w:anchor="_Toc234772694" w:history="1">
            <w:r w:rsidRPr="00D1053C">
              <w:rPr>
                <w:rStyle w:val="Hyperlink"/>
                <w:noProof/>
              </w:rPr>
              <w:t>2.0 Company Background</w:t>
            </w:r>
            <w:r>
              <w:rPr>
                <w:noProof/>
                <w:webHidden/>
              </w:rPr>
              <w:tab/>
            </w:r>
            <w:r>
              <w:rPr>
                <w:noProof/>
                <w:webHidden/>
              </w:rPr>
              <w:fldChar w:fldCharType="begin"/>
            </w:r>
            <w:r>
              <w:rPr>
                <w:noProof/>
                <w:webHidden/>
              </w:rPr>
              <w:instrText xml:space="preserve"> PAGEREF _Toc234772694 \h </w:instrText>
            </w:r>
            <w:r>
              <w:rPr>
                <w:noProof/>
                <w:webHidden/>
              </w:rPr>
            </w:r>
            <w:r>
              <w:rPr>
                <w:noProof/>
                <w:webHidden/>
              </w:rPr>
              <w:fldChar w:fldCharType="separate"/>
            </w:r>
            <w:r>
              <w:rPr>
                <w:noProof/>
                <w:webHidden/>
              </w:rPr>
              <w:t>4</w:t>
            </w:r>
            <w:r>
              <w:rPr>
                <w:noProof/>
                <w:webHidden/>
              </w:rPr>
              <w:fldChar w:fldCharType="end"/>
            </w:r>
          </w:hyperlink>
        </w:p>
        <w:p w14:paraId="1534A43B" w14:textId="126BFF53" w:rsidR="005E7B67" w:rsidRDefault="005E7B67">
          <w:pPr>
            <w:pStyle w:val="TOC1"/>
            <w:tabs>
              <w:tab w:val="right" w:leader="dot" w:pos="9350"/>
            </w:tabs>
            <w:rPr>
              <w:noProof/>
            </w:rPr>
          </w:pPr>
          <w:hyperlink w:anchor="_Toc234772695" w:history="1">
            <w:r w:rsidRPr="00D1053C">
              <w:rPr>
                <w:rStyle w:val="Hyperlink"/>
                <w:noProof/>
              </w:rPr>
              <w:t>3.0 Financial Statement Overview</w:t>
            </w:r>
            <w:r>
              <w:rPr>
                <w:noProof/>
                <w:webHidden/>
              </w:rPr>
              <w:tab/>
            </w:r>
            <w:r>
              <w:rPr>
                <w:noProof/>
                <w:webHidden/>
              </w:rPr>
              <w:fldChar w:fldCharType="begin"/>
            </w:r>
            <w:r>
              <w:rPr>
                <w:noProof/>
                <w:webHidden/>
              </w:rPr>
              <w:instrText xml:space="preserve"> PAGEREF _Toc234772695 \h </w:instrText>
            </w:r>
            <w:r>
              <w:rPr>
                <w:noProof/>
                <w:webHidden/>
              </w:rPr>
            </w:r>
            <w:r>
              <w:rPr>
                <w:noProof/>
                <w:webHidden/>
              </w:rPr>
              <w:fldChar w:fldCharType="separate"/>
            </w:r>
            <w:r>
              <w:rPr>
                <w:noProof/>
                <w:webHidden/>
              </w:rPr>
              <w:t>4</w:t>
            </w:r>
            <w:r>
              <w:rPr>
                <w:noProof/>
                <w:webHidden/>
              </w:rPr>
              <w:fldChar w:fldCharType="end"/>
            </w:r>
          </w:hyperlink>
        </w:p>
        <w:p w14:paraId="1F8D1EB0" w14:textId="3BD7C8BE" w:rsidR="005E7B67" w:rsidRDefault="005E7B67">
          <w:pPr>
            <w:pStyle w:val="TOC1"/>
            <w:tabs>
              <w:tab w:val="right" w:leader="dot" w:pos="9350"/>
            </w:tabs>
            <w:rPr>
              <w:noProof/>
            </w:rPr>
          </w:pPr>
          <w:hyperlink w:anchor="_Toc234772696" w:history="1">
            <w:r w:rsidRPr="00D1053C">
              <w:rPr>
                <w:rStyle w:val="Hyperlink"/>
                <w:noProof/>
              </w:rPr>
              <w:t>4.0 Ratio Analysis</w:t>
            </w:r>
            <w:r>
              <w:rPr>
                <w:noProof/>
                <w:webHidden/>
              </w:rPr>
              <w:tab/>
            </w:r>
            <w:r>
              <w:rPr>
                <w:noProof/>
                <w:webHidden/>
              </w:rPr>
              <w:fldChar w:fldCharType="begin"/>
            </w:r>
            <w:r>
              <w:rPr>
                <w:noProof/>
                <w:webHidden/>
              </w:rPr>
              <w:instrText xml:space="preserve"> PAGEREF _Toc234772696 \h </w:instrText>
            </w:r>
            <w:r>
              <w:rPr>
                <w:noProof/>
                <w:webHidden/>
              </w:rPr>
            </w:r>
            <w:r>
              <w:rPr>
                <w:noProof/>
                <w:webHidden/>
              </w:rPr>
              <w:fldChar w:fldCharType="separate"/>
            </w:r>
            <w:r>
              <w:rPr>
                <w:noProof/>
                <w:webHidden/>
              </w:rPr>
              <w:t>5</w:t>
            </w:r>
            <w:r>
              <w:rPr>
                <w:noProof/>
                <w:webHidden/>
              </w:rPr>
              <w:fldChar w:fldCharType="end"/>
            </w:r>
          </w:hyperlink>
        </w:p>
        <w:p w14:paraId="03DF02B5" w14:textId="0C455527" w:rsidR="005E7B67" w:rsidRDefault="005E7B67">
          <w:pPr>
            <w:pStyle w:val="TOC2"/>
            <w:tabs>
              <w:tab w:val="right" w:leader="dot" w:pos="9350"/>
            </w:tabs>
            <w:rPr>
              <w:noProof/>
            </w:rPr>
          </w:pPr>
          <w:hyperlink w:anchor="_Toc234772697" w:history="1">
            <w:r w:rsidRPr="00D1053C">
              <w:rPr>
                <w:rStyle w:val="Hyperlink"/>
                <w:noProof/>
              </w:rPr>
              <w:t>4.1 Profitability Analysis</w:t>
            </w:r>
            <w:r>
              <w:rPr>
                <w:noProof/>
                <w:webHidden/>
              </w:rPr>
              <w:tab/>
            </w:r>
            <w:r>
              <w:rPr>
                <w:noProof/>
                <w:webHidden/>
              </w:rPr>
              <w:fldChar w:fldCharType="begin"/>
            </w:r>
            <w:r>
              <w:rPr>
                <w:noProof/>
                <w:webHidden/>
              </w:rPr>
              <w:instrText xml:space="preserve"> PAGEREF _Toc234772697 \h </w:instrText>
            </w:r>
            <w:r>
              <w:rPr>
                <w:noProof/>
                <w:webHidden/>
              </w:rPr>
            </w:r>
            <w:r>
              <w:rPr>
                <w:noProof/>
                <w:webHidden/>
              </w:rPr>
              <w:fldChar w:fldCharType="separate"/>
            </w:r>
            <w:r>
              <w:rPr>
                <w:noProof/>
                <w:webHidden/>
              </w:rPr>
              <w:t>5</w:t>
            </w:r>
            <w:r>
              <w:rPr>
                <w:noProof/>
                <w:webHidden/>
              </w:rPr>
              <w:fldChar w:fldCharType="end"/>
            </w:r>
          </w:hyperlink>
        </w:p>
        <w:p w14:paraId="1D779925" w14:textId="119E0C76" w:rsidR="005E7B67" w:rsidRDefault="005E7B67">
          <w:pPr>
            <w:pStyle w:val="TOC2"/>
            <w:tabs>
              <w:tab w:val="right" w:leader="dot" w:pos="9350"/>
            </w:tabs>
            <w:rPr>
              <w:noProof/>
            </w:rPr>
          </w:pPr>
          <w:hyperlink w:anchor="_Toc234772698" w:history="1">
            <w:r w:rsidRPr="00D1053C">
              <w:rPr>
                <w:rStyle w:val="Hyperlink"/>
                <w:noProof/>
              </w:rPr>
              <w:t>4.2 Liquidity Analysis</w:t>
            </w:r>
            <w:r>
              <w:rPr>
                <w:noProof/>
                <w:webHidden/>
              </w:rPr>
              <w:tab/>
            </w:r>
            <w:r>
              <w:rPr>
                <w:noProof/>
                <w:webHidden/>
              </w:rPr>
              <w:fldChar w:fldCharType="begin"/>
            </w:r>
            <w:r>
              <w:rPr>
                <w:noProof/>
                <w:webHidden/>
              </w:rPr>
              <w:instrText xml:space="preserve"> PAGEREF _Toc234772698 \h </w:instrText>
            </w:r>
            <w:r>
              <w:rPr>
                <w:noProof/>
                <w:webHidden/>
              </w:rPr>
            </w:r>
            <w:r>
              <w:rPr>
                <w:noProof/>
                <w:webHidden/>
              </w:rPr>
              <w:fldChar w:fldCharType="separate"/>
            </w:r>
            <w:r>
              <w:rPr>
                <w:noProof/>
                <w:webHidden/>
              </w:rPr>
              <w:t>6</w:t>
            </w:r>
            <w:r>
              <w:rPr>
                <w:noProof/>
                <w:webHidden/>
              </w:rPr>
              <w:fldChar w:fldCharType="end"/>
            </w:r>
          </w:hyperlink>
        </w:p>
        <w:p w14:paraId="103AED8C" w14:textId="649665A3" w:rsidR="005E7B67" w:rsidRDefault="005E7B67">
          <w:pPr>
            <w:pStyle w:val="TOC2"/>
            <w:tabs>
              <w:tab w:val="right" w:leader="dot" w:pos="9350"/>
            </w:tabs>
            <w:rPr>
              <w:noProof/>
            </w:rPr>
          </w:pPr>
          <w:hyperlink w:anchor="_Toc234772699" w:history="1">
            <w:r w:rsidRPr="00D1053C">
              <w:rPr>
                <w:rStyle w:val="Hyperlink"/>
                <w:noProof/>
              </w:rPr>
              <w:t>4.3 Efficiency Analysis</w:t>
            </w:r>
            <w:r>
              <w:rPr>
                <w:noProof/>
                <w:webHidden/>
              </w:rPr>
              <w:tab/>
            </w:r>
            <w:r>
              <w:rPr>
                <w:noProof/>
                <w:webHidden/>
              </w:rPr>
              <w:fldChar w:fldCharType="begin"/>
            </w:r>
            <w:r>
              <w:rPr>
                <w:noProof/>
                <w:webHidden/>
              </w:rPr>
              <w:instrText xml:space="preserve"> PAGEREF _Toc234772699 \h </w:instrText>
            </w:r>
            <w:r>
              <w:rPr>
                <w:noProof/>
                <w:webHidden/>
              </w:rPr>
            </w:r>
            <w:r>
              <w:rPr>
                <w:noProof/>
                <w:webHidden/>
              </w:rPr>
              <w:fldChar w:fldCharType="separate"/>
            </w:r>
            <w:r>
              <w:rPr>
                <w:noProof/>
                <w:webHidden/>
              </w:rPr>
              <w:t>7</w:t>
            </w:r>
            <w:r>
              <w:rPr>
                <w:noProof/>
                <w:webHidden/>
              </w:rPr>
              <w:fldChar w:fldCharType="end"/>
            </w:r>
          </w:hyperlink>
        </w:p>
        <w:p w14:paraId="3FB7C3D0" w14:textId="63EB44C0" w:rsidR="005E7B67" w:rsidRDefault="005E7B67">
          <w:pPr>
            <w:pStyle w:val="TOC2"/>
            <w:tabs>
              <w:tab w:val="right" w:leader="dot" w:pos="9350"/>
            </w:tabs>
            <w:rPr>
              <w:noProof/>
            </w:rPr>
          </w:pPr>
          <w:hyperlink w:anchor="_Toc234772700" w:history="1">
            <w:r w:rsidRPr="00D1053C">
              <w:rPr>
                <w:rStyle w:val="Hyperlink"/>
                <w:noProof/>
              </w:rPr>
              <w:t>4.4 Gearing and Solvency Analysis</w:t>
            </w:r>
            <w:r>
              <w:rPr>
                <w:noProof/>
                <w:webHidden/>
              </w:rPr>
              <w:tab/>
            </w:r>
            <w:r>
              <w:rPr>
                <w:noProof/>
                <w:webHidden/>
              </w:rPr>
              <w:fldChar w:fldCharType="begin"/>
            </w:r>
            <w:r>
              <w:rPr>
                <w:noProof/>
                <w:webHidden/>
              </w:rPr>
              <w:instrText xml:space="preserve"> PAGEREF _Toc234772700 \h </w:instrText>
            </w:r>
            <w:r>
              <w:rPr>
                <w:noProof/>
                <w:webHidden/>
              </w:rPr>
            </w:r>
            <w:r>
              <w:rPr>
                <w:noProof/>
                <w:webHidden/>
              </w:rPr>
              <w:fldChar w:fldCharType="separate"/>
            </w:r>
            <w:r>
              <w:rPr>
                <w:noProof/>
                <w:webHidden/>
              </w:rPr>
              <w:t>8</w:t>
            </w:r>
            <w:r>
              <w:rPr>
                <w:noProof/>
                <w:webHidden/>
              </w:rPr>
              <w:fldChar w:fldCharType="end"/>
            </w:r>
          </w:hyperlink>
        </w:p>
        <w:p w14:paraId="07DFE5FF" w14:textId="191B83CF" w:rsidR="005E7B67" w:rsidRDefault="005E7B67">
          <w:pPr>
            <w:pStyle w:val="TOC1"/>
            <w:tabs>
              <w:tab w:val="right" w:leader="dot" w:pos="9350"/>
            </w:tabs>
            <w:rPr>
              <w:noProof/>
            </w:rPr>
          </w:pPr>
          <w:hyperlink w:anchor="_Toc234772701" w:history="1">
            <w:r w:rsidRPr="00D1053C">
              <w:rPr>
                <w:rStyle w:val="Hyperlink"/>
                <w:noProof/>
              </w:rPr>
              <w:t>5.0 Discussion of Performance</w:t>
            </w:r>
            <w:r>
              <w:rPr>
                <w:noProof/>
                <w:webHidden/>
              </w:rPr>
              <w:tab/>
            </w:r>
            <w:r>
              <w:rPr>
                <w:noProof/>
                <w:webHidden/>
              </w:rPr>
              <w:fldChar w:fldCharType="begin"/>
            </w:r>
            <w:r>
              <w:rPr>
                <w:noProof/>
                <w:webHidden/>
              </w:rPr>
              <w:instrText xml:space="preserve"> PAGEREF _Toc234772701 \h </w:instrText>
            </w:r>
            <w:r>
              <w:rPr>
                <w:noProof/>
                <w:webHidden/>
              </w:rPr>
            </w:r>
            <w:r>
              <w:rPr>
                <w:noProof/>
                <w:webHidden/>
              </w:rPr>
              <w:fldChar w:fldCharType="separate"/>
            </w:r>
            <w:r>
              <w:rPr>
                <w:noProof/>
                <w:webHidden/>
              </w:rPr>
              <w:t>8</w:t>
            </w:r>
            <w:r>
              <w:rPr>
                <w:noProof/>
                <w:webHidden/>
              </w:rPr>
              <w:fldChar w:fldCharType="end"/>
            </w:r>
          </w:hyperlink>
        </w:p>
        <w:p w14:paraId="33871C8A" w14:textId="00A31397" w:rsidR="005E7B67" w:rsidRDefault="005E7B67">
          <w:pPr>
            <w:pStyle w:val="TOC1"/>
            <w:tabs>
              <w:tab w:val="right" w:leader="dot" w:pos="9350"/>
            </w:tabs>
            <w:rPr>
              <w:noProof/>
            </w:rPr>
          </w:pPr>
          <w:hyperlink w:anchor="_Toc234772702" w:history="1">
            <w:r w:rsidRPr="00D1053C">
              <w:rPr>
                <w:rStyle w:val="Hyperlink"/>
                <w:noProof/>
              </w:rPr>
              <w:t>6.0 Recommendations</w:t>
            </w:r>
            <w:r>
              <w:rPr>
                <w:noProof/>
                <w:webHidden/>
              </w:rPr>
              <w:tab/>
            </w:r>
            <w:r>
              <w:rPr>
                <w:noProof/>
                <w:webHidden/>
              </w:rPr>
              <w:fldChar w:fldCharType="begin"/>
            </w:r>
            <w:r>
              <w:rPr>
                <w:noProof/>
                <w:webHidden/>
              </w:rPr>
              <w:instrText xml:space="preserve"> PAGEREF _Toc234772702 \h </w:instrText>
            </w:r>
            <w:r>
              <w:rPr>
                <w:noProof/>
                <w:webHidden/>
              </w:rPr>
            </w:r>
            <w:r>
              <w:rPr>
                <w:noProof/>
                <w:webHidden/>
              </w:rPr>
              <w:fldChar w:fldCharType="separate"/>
            </w:r>
            <w:r>
              <w:rPr>
                <w:noProof/>
                <w:webHidden/>
              </w:rPr>
              <w:t>9</w:t>
            </w:r>
            <w:r>
              <w:rPr>
                <w:noProof/>
                <w:webHidden/>
              </w:rPr>
              <w:fldChar w:fldCharType="end"/>
            </w:r>
          </w:hyperlink>
        </w:p>
        <w:p w14:paraId="615E96C0" w14:textId="53980501" w:rsidR="005E7B67" w:rsidRDefault="005E7B67">
          <w:pPr>
            <w:pStyle w:val="TOC1"/>
            <w:tabs>
              <w:tab w:val="right" w:leader="dot" w:pos="9350"/>
            </w:tabs>
            <w:rPr>
              <w:noProof/>
            </w:rPr>
          </w:pPr>
          <w:hyperlink w:anchor="_Toc234772703" w:history="1">
            <w:r w:rsidRPr="00D1053C">
              <w:rPr>
                <w:rStyle w:val="Hyperlink"/>
                <w:noProof/>
              </w:rPr>
              <w:t>7.0 Conclusion</w:t>
            </w:r>
            <w:r>
              <w:rPr>
                <w:noProof/>
                <w:webHidden/>
              </w:rPr>
              <w:tab/>
            </w:r>
            <w:r>
              <w:rPr>
                <w:noProof/>
                <w:webHidden/>
              </w:rPr>
              <w:fldChar w:fldCharType="begin"/>
            </w:r>
            <w:r>
              <w:rPr>
                <w:noProof/>
                <w:webHidden/>
              </w:rPr>
              <w:instrText xml:space="preserve"> PAGEREF _Toc234772703 \h </w:instrText>
            </w:r>
            <w:r>
              <w:rPr>
                <w:noProof/>
                <w:webHidden/>
              </w:rPr>
            </w:r>
            <w:r>
              <w:rPr>
                <w:noProof/>
                <w:webHidden/>
              </w:rPr>
              <w:fldChar w:fldCharType="separate"/>
            </w:r>
            <w:r>
              <w:rPr>
                <w:noProof/>
                <w:webHidden/>
              </w:rPr>
              <w:t>10</w:t>
            </w:r>
            <w:r>
              <w:rPr>
                <w:noProof/>
                <w:webHidden/>
              </w:rPr>
              <w:fldChar w:fldCharType="end"/>
            </w:r>
          </w:hyperlink>
        </w:p>
        <w:p w14:paraId="04CA1B92" w14:textId="1CCA917C" w:rsidR="005E7B67" w:rsidRDefault="005E7B67">
          <w:pPr>
            <w:pStyle w:val="TOC1"/>
            <w:tabs>
              <w:tab w:val="right" w:leader="dot" w:pos="9350"/>
            </w:tabs>
            <w:rPr>
              <w:noProof/>
            </w:rPr>
          </w:pPr>
          <w:hyperlink w:anchor="_Toc234772704" w:history="1">
            <w:r w:rsidRPr="00D1053C">
              <w:rPr>
                <w:rStyle w:val="Hyperlink"/>
                <w:noProof/>
              </w:rPr>
              <w:t>Reference list</w:t>
            </w:r>
            <w:r>
              <w:rPr>
                <w:noProof/>
                <w:webHidden/>
              </w:rPr>
              <w:tab/>
            </w:r>
            <w:r>
              <w:rPr>
                <w:noProof/>
                <w:webHidden/>
              </w:rPr>
              <w:fldChar w:fldCharType="begin"/>
            </w:r>
            <w:r>
              <w:rPr>
                <w:noProof/>
                <w:webHidden/>
              </w:rPr>
              <w:instrText xml:space="preserve"> PAGEREF _Toc234772704 \h </w:instrText>
            </w:r>
            <w:r>
              <w:rPr>
                <w:noProof/>
                <w:webHidden/>
              </w:rPr>
            </w:r>
            <w:r>
              <w:rPr>
                <w:noProof/>
                <w:webHidden/>
              </w:rPr>
              <w:fldChar w:fldCharType="separate"/>
            </w:r>
            <w:r>
              <w:rPr>
                <w:noProof/>
                <w:webHidden/>
              </w:rPr>
              <w:t>11</w:t>
            </w:r>
            <w:r>
              <w:rPr>
                <w:noProof/>
                <w:webHidden/>
              </w:rPr>
              <w:fldChar w:fldCharType="end"/>
            </w:r>
          </w:hyperlink>
        </w:p>
        <w:p w14:paraId="58905F05" w14:textId="48A60D16" w:rsidR="005E7B67" w:rsidRDefault="005E7B67">
          <w:pPr>
            <w:pStyle w:val="TOC1"/>
            <w:tabs>
              <w:tab w:val="right" w:leader="dot" w:pos="9350"/>
            </w:tabs>
            <w:rPr>
              <w:noProof/>
            </w:rPr>
          </w:pPr>
          <w:hyperlink w:anchor="_Toc234772705" w:history="1">
            <w:r w:rsidRPr="00D1053C">
              <w:rPr>
                <w:rStyle w:val="Hyperlink"/>
                <w:noProof/>
              </w:rPr>
              <w:t>Appendix 1: Ratio analysis</w:t>
            </w:r>
            <w:r>
              <w:rPr>
                <w:noProof/>
                <w:webHidden/>
              </w:rPr>
              <w:tab/>
            </w:r>
            <w:r>
              <w:rPr>
                <w:noProof/>
                <w:webHidden/>
              </w:rPr>
              <w:fldChar w:fldCharType="begin"/>
            </w:r>
            <w:r>
              <w:rPr>
                <w:noProof/>
                <w:webHidden/>
              </w:rPr>
              <w:instrText xml:space="preserve"> PAGEREF _Toc234772705 \h </w:instrText>
            </w:r>
            <w:r>
              <w:rPr>
                <w:noProof/>
                <w:webHidden/>
              </w:rPr>
            </w:r>
            <w:r>
              <w:rPr>
                <w:noProof/>
                <w:webHidden/>
              </w:rPr>
              <w:fldChar w:fldCharType="separate"/>
            </w:r>
            <w:r>
              <w:rPr>
                <w:noProof/>
                <w:webHidden/>
              </w:rPr>
              <w:t>13</w:t>
            </w:r>
            <w:r>
              <w:rPr>
                <w:noProof/>
                <w:webHidden/>
              </w:rPr>
              <w:fldChar w:fldCharType="end"/>
            </w:r>
          </w:hyperlink>
        </w:p>
        <w:p w14:paraId="2C45902A" w14:textId="2550D3E5" w:rsidR="005E7B67" w:rsidRDefault="005E7B67">
          <w:r>
            <w:rPr>
              <w:b/>
              <w:bCs/>
              <w:noProof/>
            </w:rPr>
            <w:fldChar w:fldCharType="end"/>
          </w:r>
        </w:p>
      </w:sdtContent>
    </w:sdt>
    <w:p w14:paraId="1F9465D2" w14:textId="77777777" w:rsidR="00474782" w:rsidRPr="00992332" w:rsidRDefault="00474782" w:rsidP="005E7B67">
      <w:pPr>
        <w:ind w:right="-957"/>
        <w:rPr>
          <w:rFonts w:ascii="Arial" w:hAnsi="Arial" w:cs="Arial"/>
          <w:b/>
          <w:sz w:val="40"/>
          <w:szCs w:val="20"/>
          <w:lang w:eastAsia="en-GB"/>
        </w:rPr>
      </w:pPr>
    </w:p>
    <w:p w14:paraId="79F9093C" w14:textId="033D719F" w:rsidR="00474782" w:rsidRDefault="00474782" w:rsidP="006F235A">
      <w:pPr>
        <w:jc w:val="left"/>
      </w:pPr>
      <w:r>
        <w:br w:type="page"/>
      </w:r>
    </w:p>
    <w:p w14:paraId="096FDAD0" w14:textId="77777777" w:rsidR="00474782" w:rsidRDefault="00474782" w:rsidP="00110BF6">
      <w:pPr>
        <w:pStyle w:val="Heading1"/>
      </w:pPr>
      <w:bookmarkStart w:id="0" w:name="_Toc234772693"/>
      <w:r>
        <w:t>1.0 Introduction</w:t>
      </w:r>
      <w:bookmarkEnd w:id="0"/>
    </w:p>
    <w:p w14:paraId="04B798C6" w14:textId="77777777" w:rsidR="00474782" w:rsidRDefault="00474782" w:rsidP="006F235A">
      <w:r>
        <w:t xml:space="preserve">Evaluating and analyzing financial statements is one of the core elements of financial analysis and is a tool used to make decisions regarding an organization's finances, as well as its strategic plan. To determine the profitability, liquidity, efficiency and financial stability of the business, ratio analysis can be used to compare the financial data of different accounting periods, with the help of this method. In this report, the financial performance of Tesco PLC is analysed based on the published financial statements for the financial years 2025 and 2026. </w:t>
      </w:r>
    </w:p>
    <w:p w14:paraId="6CA86F0D" w14:textId="048BF35B" w:rsidR="00474782" w:rsidRDefault="00474782" w:rsidP="006F235A">
      <w:pPr>
        <w:jc w:val="center"/>
      </w:pPr>
      <w:r w:rsidRPr="00474782">
        <w:rPr>
          <w:noProof/>
        </w:rPr>
        <w:drawing>
          <wp:inline distT="0" distB="0" distL="0" distR="0" wp14:anchorId="7FCAF069" wp14:editId="5DBF0767">
            <wp:extent cx="5113020" cy="279959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19654" cy="2803230"/>
                    </a:xfrm>
                    <a:prstGeom prst="rect">
                      <a:avLst/>
                    </a:prstGeom>
                  </pic:spPr>
                </pic:pic>
              </a:graphicData>
            </a:graphic>
          </wp:inline>
        </w:drawing>
      </w:r>
    </w:p>
    <w:p w14:paraId="0803A3FB" w14:textId="22A2CBE4" w:rsidR="00474782" w:rsidRDefault="00474782" w:rsidP="006F235A">
      <w:pPr>
        <w:jc w:val="center"/>
        <w:rPr>
          <w:b/>
          <w:bCs/>
        </w:rPr>
      </w:pPr>
      <w:r>
        <w:rPr>
          <w:b/>
          <w:bCs/>
        </w:rPr>
        <w:t>Figure 1: Tesco revenue analysis</w:t>
      </w:r>
    </w:p>
    <w:p w14:paraId="5A749EF3" w14:textId="5DB4F454" w:rsidR="00474782" w:rsidRPr="00474782" w:rsidRDefault="00474782" w:rsidP="006F235A">
      <w:pPr>
        <w:jc w:val="center"/>
      </w:pPr>
      <w:r>
        <w:t>(Source: Stockanalysis, 2026)</w:t>
      </w:r>
    </w:p>
    <w:p w14:paraId="1EEB092C" w14:textId="7A9AA318" w:rsidR="00474782" w:rsidRDefault="00474782" w:rsidP="006F235A">
      <w:r>
        <w:t>Tesco's revenue was £73.71 billion in the year ending 2026 compared to £69.92 billion in the previous year ending 2025 and net profit rose to £2.99 billion in comparison to £2.75 billion</w:t>
      </w:r>
      <w:r w:rsidR="001F0553">
        <w:t xml:space="preserve"> (Stockanalysis, 2026)</w:t>
      </w:r>
      <w:r>
        <w:t>. The financial report assesses Tesco's financial position using various financial ratios identifies the trends of developments in the company's performance and offers recommendations for the company to achieve long term business sustainability.</w:t>
      </w:r>
    </w:p>
    <w:p w14:paraId="39CB90E9" w14:textId="77777777" w:rsidR="00474782" w:rsidRDefault="00474782" w:rsidP="00110BF6">
      <w:pPr>
        <w:pStyle w:val="Heading1"/>
      </w:pPr>
      <w:bookmarkStart w:id="1" w:name="_Toc234772694"/>
      <w:r>
        <w:t>2.0 Company Background</w:t>
      </w:r>
      <w:bookmarkEnd w:id="1"/>
    </w:p>
    <w:p w14:paraId="0E2F42E8" w14:textId="77777777" w:rsidR="001F0553" w:rsidRDefault="00474782" w:rsidP="006F235A">
      <w:r>
        <w:t xml:space="preserve">Tesco PLC is one of European's leading multinational food and grocery retailers in UK and one of the largest in Europe. Jack Cohen founded Tesco in 1919 and now it has grown into supermarkets, convenience stores, online retailing, banking and insurance as well as mobile telecommunications. It serves millions of customers a week and has thousands of stores throughout the UK, Ireland, Central Europe and other markets worldwide. </w:t>
      </w:r>
    </w:p>
    <w:p w14:paraId="4AE9FC87" w14:textId="5EF5B13B" w:rsidR="001F0553" w:rsidRDefault="001F0553" w:rsidP="006F235A">
      <w:pPr>
        <w:jc w:val="center"/>
      </w:pPr>
      <w:r>
        <w:rPr>
          <w:noProof/>
        </w:rPr>
        <w:drawing>
          <wp:inline distT="0" distB="0" distL="0" distR="0" wp14:anchorId="13C447E1" wp14:editId="34849FDD">
            <wp:extent cx="4343400" cy="2164080"/>
            <wp:effectExtent l="0" t="0" r="0" b="0"/>
            <wp:docPr id="3" name="Picture 3" descr="Download Tesco Logo in SVG Vector or PNG File Format - Logo.w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ownload Tesco Logo in SVG Vector or PNG File Format - Logo.win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43400" cy="2164080"/>
                    </a:xfrm>
                    <a:prstGeom prst="rect">
                      <a:avLst/>
                    </a:prstGeom>
                    <a:noFill/>
                    <a:ln>
                      <a:noFill/>
                    </a:ln>
                  </pic:spPr>
                </pic:pic>
              </a:graphicData>
            </a:graphic>
          </wp:inline>
        </w:drawing>
      </w:r>
    </w:p>
    <w:p w14:paraId="129D1D5F" w14:textId="6475EFC6" w:rsidR="001F0553" w:rsidRDefault="001F0553" w:rsidP="006F235A">
      <w:pPr>
        <w:jc w:val="center"/>
        <w:rPr>
          <w:b/>
          <w:bCs/>
        </w:rPr>
      </w:pPr>
      <w:r>
        <w:rPr>
          <w:b/>
          <w:bCs/>
        </w:rPr>
        <w:t xml:space="preserve">Figure 2: Tesco logo </w:t>
      </w:r>
    </w:p>
    <w:p w14:paraId="1B7C583F" w14:textId="1E163402" w:rsidR="001F0553" w:rsidRPr="001F0553" w:rsidRDefault="001F0553" w:rsidP="006F235A">
      <w:pPr>
        <w:jc w:val="center"/>
      </w:pPr>
      <w:r>
        <w:t>(Source: Tesco.com, 2026)</w:t>
      </w:r>
    </w:p>
    <w:p w14:paraId="2C0092DE" w14:textId="46266B2A" w:rsidR="00474782" w:rsidRDefault="00474782" w:rsidP="006F235A">
      <w:r>
        <w:t>Tesco's business approach is driven by creating value by offering competitive prices, extensive range of quality products, innovative digital solutions and thriving sustainable businesses. Tesco had revenue of £73.71 billion, total assets of £39.47 billion, shareholders' equity of £11.46 billion and net profit of £2.99 billion</w:t>
      </w:r>
      <w:r w:rsidR="001F0553">
        <w:t xml:space="preserve"> (Stockanalysis, 2026)</w:t>
      </w:r>
      <w:r>
        <w:t>. Going by these results, Tesco's position in the market is strong, even in the face of tough competition and the economic dilemma. Tesco is a public limited company which has detailed financial disclosures providing it as an appropriate company to analyse financially and use ratio analysis.</w:t>
      </w:r>
    </w:p>
    <w:p w14:paraId="2D0F1F1F" w14:textId="77777777" w:rsidR="00474782" w:rsidRDefault="00474782" w:rsidP="00110BF6">
      <w:pPr>
        <w:pStyle w:val="Heading1"/>
      </w:pPr>
      <w:bookmarkStart w:id="2" w:name="_Toc234772695"/>
      <w:r>
        <w:t>3.0 Financial Statement Overview</w:t>
      </w:r>
      <w:bookmarkEnd w:id="2"/>
      <w:r>
        <w:t xml:space="preserve"> </w:t>
      </w:r>
    </w:p>
    <w:p w14:paraId="2DDE84B2" w14:textId="0A76BFF5" w:rsidR="00474782" w:rsidRDefault="00474782" w:rsidP="006F235A">
      <w:r>
        <w:t>The financial analysis is based on Tesco PLC's Income Statement and Statement of Financial Position for the financial years 2025 and 2026. The Income Statement reveals that revenue rose from £69.92bn to £73.71bn and operating profit grew from £2.71bn to £2.99bn. The Statement of Financial Position shows total assets growing from £38.89 billion to £39.47 billion, as total liabilities have grown to £28.02 billion</w:t>
      </w:r>
      <w:r w:rsidR="001F0553">
        <w:t xml:space="preserve"> (Tesco Plc, 202</w:t>
      </w:r>
      <w:r w:rsidR="00E1491E">
        <w:t>6</w:t>
      </w:r>
      <w:r w:rsidR="001F0553">
        <w:t>)</w:t>
      </w:r>
      <w:r>
        <w:t>. The financial statements supply data to do the profit, liquidity, efficiency and gearing ratios calculations and so as to have a comprehensive evaluation of the financial performance and long-term sustainability of Tesco.</w:t>
      </w:r>
    </w:p>
    <w:p w14:paraId="1E27916D" w14:textId="67553EC1" w:rsidR="00474782" w:rsidRDefault="00474782" w:rsidP="00110BF6">
      <w:pPr>
        <w:pStyle w:val="Heading1"/>
      </w:pPr>
      <w:bookmarkStart w:id="3" w:name="_Toc234772696"/>
      <w:r>
        <w:t>4.0 Ratio Analysis</w:t>
      </w:r>
      <w:bookmarkEnd w:id="3"/>
    </w:p>
    <w:p w14:paraId="5685A345" w14:textId="01270C1B" w:rsidR="00474782" w:rsidRDefault="00474782" w:rsidP="006F235A">
      <w:r>
        <w:t>The financial ratio analysis is essential because it offers several important insights regarding the financial performance of Tesco PLC in 2025 compared to 2026. They reveal both the profitability and the fluidity of the company as well as its financial efficiency and stability.</w:t>
      </w:r>
    </w:p>
    <w:p w14:paraId="1C5E5A28" w14:textId="4795DE6F" w:rsidR="00474782" w:rsidRDefault="00474782" w:rsidP="006F235A">
      <w:pPr>
        <w:pStyle w:val="Heading2"/>
      </w:pPr>
      <w:bookmarkStart w:id="4" w:name="_Toc234772697"/>
      <w:r>
        <w:t>4.1 Profitability Analysis</w:t>
      </w:r>
      <w:bookmarkEnd w:id="4"/>
    </w:p>
    <w:p w14:paraId="5B8333D8" w14:textId="68B191AE" w:rsidR="00321FD4" w:rsidRDefault="00321FD4" w:rsidP="006F235A">
      <w:pPr>
        <w:jc w:val="center"/>
        <w:rPr>
          <w:lang w:val="en"/>
        </w:rPr>
      </w:pPr>
      <w:r>
        <w:rPr>
          <w:noProof/>
        </w:rPr>
        <w:drawing>
          <wp:inline distT="0" distB="0" distL="0" distR="0" wp14:anchorId="3FF613C9" wp14:editId="5E61E840">
            <wp:extent cx="5859780" cy="2609850"/>
            <wp:effectExtent l="0" t="0" r="7620" b="0"/>
            <wp:docPr id="4" name="Chart 4">
              <a:extLst xmlns:a="http://schemas.openxmlformats.org/drawingml/2006/main">
                <a:ext uri="{FF2B5EF4-FFF2-40B4-BE49-F238E27FC236}">
                  <a16:creationId xmlns:a16="http://schemas.microsoft.com/office/drawing/2014/main" id="{3DCEF7FD-C507-4927-BC78-7D3530FB59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F2EAE80" w14:textId="4CEAD728" w:rsidR="00321FD4" w:rsidRDefault="00321FD4" w:rsidP="006F235A">
      <w:pPr>
        <w:jc w:val="center"/>
        <w:rPr>
          <w:b/>
          <w:bCs/>
          <w:lang w:val="en"/>
        </w:rPr>
      </w:pPr>
      <w:r>
        <w:rPr>
          <w:b/>
          <w:bCs/>
          <w:lang w:val="en"/>
        </w:rPr>
        <w:t>Figure 3: Profitability Ratio</w:t>
      </w:r>
    </w:p>
    <w:p w14:paraId="4A447C2B" w14:textId="7C8D1EFD" w:rsidR="00321FD4" w:rsidRPr="00321FD4" w:rsidRDefault="00321FD4" w:rsidP="006F235A">
      <w:pPr>
        <w:jc w:val="center"/>
        <w:rPr>
          <w:lang w:val="en"/>
        </w:rPr>
      </w:pPr>
      <w:r>
        <w:rPr>
          <w:lang w:val="en"/>
        </w:rPr>
        <w:t>(Source: self-created)</w:t>
      </w:r>
    </w:p>
    <w:p w14:paraId="502B7FF6" w14:textId="36135A08" w:rsidR="00474782" w:rsidRDefault="001F0553" w:rsidP="006F235A">
      <w:r>
        <w:t xml:space="preserve">The profitability ratios show the profitability of the company (Vipond, 2024). </w:t>
      </w:r>
      <w:r w:rsidR="00474782">
        <w:t>This showed that Tesco's profitability experienced an improvement during the reporting period, highlighting a positive financial performance. The gross profit margin rose in 2026, from 7.22% to 7.51%, meaning that the company was making more gross profit from each pound of sales. This seems to be an improvement in cost management, a good product mix, and achievable pricing, despite the continued inflationary pressures in the retail industry.</w:t>
      </w:r>
    </w:p>
    <w:p w14:paraId="204BCB20" w14:textId="06133312" w:rsidR="00E1491E" w:rsidRPr="00E1491E" w:rsidRDefault="00E1491E" w:rsidP="006F235A">
      <w:pPr>
        <w:rPr>
          <w:rStyle w:val="cursor-pointer"/>
          <w:rFonts w:cs="Times New Roman"/>
          <w:szCs w:val="24"/>
        </w:rPr>
      </w:pPr>
      <w:r w:rsidRPr="00E1491E">
        <w:rPr>
          <w:rStyle w:val="cursor-pointer"/>
          <w:rFonts w:cs="Times New Roman"/>
          <w:szCs w:val="24"/>
        </w:rPr>
        <w:t>Likewise, the operating profit margin also rose (3.88% to 4.05%) due to the operational efficiency and better management of operating expenses.</w:t>
      </w:r>
      <w:r w:rsidRPr="00E1491E">
        <w:rPr>
          <w:rFonts w:cs="Times New Roman"/>
          <w:szCs w:val="24"/>
        </w:rPr>
        <w:t xml:space="preserve"> </w:t>
      </w:r>
      <w:r w:rsidRPr="00E1491E">
        <w:rPr>
          <w:rStyle w:val="cursor-pointer"/>
          <w:rFonts w:cs="Times New Roman"/>
          <w:szCs w:val="24"/>
        </w:rPr>
        <w:t>Higher operating profitability has probably been driven by the continued adoption of automation, supply chain optimisation and digital retailing initiatives by the company</w:t>
      </w:r>
      <w:r>
        <w:rPr>
          <w:rStyle w:val="cursor-pointer"/>
          <w:rFonts w:cs="Times New Roman"/>
          <w:szCs w:val="24"/>
        </w:rPr>
        <w:t xml:space="preserve"> (Famoti </w:t>
      </w:r>
      <w:r>
        <w:rPr>
          <w:rStyle w:val="cursor-pointer"/>
          <w:rFonts w:cs="Times New Roman"/>
          <w:i/>
          <w:iCs/>
          <w:szCs w:val="24"/>
        </w:rPr>
        <w:t xml:space="preserve">et al., </w:t>
      </w:r>
      <w:r>
        <w:rPr>
          <w:rStyle w:val="cursor-pointer"/>
          <w:rFonts w:cs="Times New Roman"/>
          <w:szCs w:val="24"/>
        </w:rPr>
        <w:t>2025)</w:t>
      </w:r>
      <w:r w:rsidRPr="00E1491E">
        <w:rPr>
          <w:rStyle w:val="cursor-pointer"/>
          <w:rFonts w:cs="Times New Roman"/>
          <w:szCs w:val="24"/>
        </w:rPr>
        <w:t>.</w:t>
      </w:r>
    </w:p>
    <w:p w14:paraId="23E0F05F" w14:textId="3458A622" w:rsidR="00474782" w:rsidRPr="005E7B67" w:rsidRDefault="00474782" w:rsidP="006F235A">
      <w:pPr>
        <w:rPr>
          <w:b/>
          <w:bCs/>
          <w:i/>
          <w:iCs/>
        </w:rPr>
      </w:pPr>
      <w:r>
        <w:t>Tesco also reported higher net profits as its net profit margin rose from 3.93% to 4.05%, reflecting its overall profitability given the impact of finance costs and taxation. Additionally, the measures Return on Assets (ROA) rose from 7.06% to 7.56%, indicating the earning contribution of investment in assets. Similarly, Return on Equity (ROE) increased from 23.55% to 26.05% due to better return to the shareholders and better utilization of the shareholders’ investment.</w:t>
      </w:r>
      <w:r w:rsidR="005E7B67">
        <w:t xml:space="preserve"> </w:t>
      </w:r>
      <w:r w:rsidR="005E7B67" w:rsidRPr="005E7B67">
        <w:rPr>
          <w:b/>
          <w:bCs/>
          <w:i/>
          <w:iCs/>
        </w:rPr>
        <w:t>[Referred to Appendix 1]</w:t>
      </w:r>
    </w:p>
    <w:p w14:paraId="077228AF" w14:textId="6093F35F" w:rsidR="00474782" w:rsidRDefault="00474782" w:rsidP="006F235A">
      <w:pPr>
        <w:pStyle w:val="Heading2"/>
      </w:pPr>
      <w:bookmarkStart w:id="5" w:name="_Toc234772698"/>
      <w:r>
        <w:t>4.2 Liquidity Analysis</w:t>
      </w:r>
      <w:bookmarkEnd w:id="5"/>
    </w:p>
    <w:p w14:paraId="26EC60E0" w14:textId="5B0366AD" w:rsidR="008C223F" w:rsidRPr="008C223F" w:rsidRDefault="008C223F" w:rsidP="006F235A">
      <w:pPr>
        <w:jc w:val="center"/>
        <w:rPr>
          <w:lang w:val="en"/>
        </w:rPr>
      </w:pPr>
      <w:r>
        <w:rPr>
          <w:noProof/>
        </w:rPr>
        <w:drawing>
          <wp:inline distT="0" distB="0" distL="0" distR="0" wp14:anchorId="2C86D6B6" wp14:editId="4C89A0AA">
            <wp:extent cx="5593080" cy="2941320"/>
            <wp:effectExtent l="0" t="0" r="7620" b="11430"/>
            <wp:docPr id="5" name="Chart 5">
              <a:extLst xmlns:a="http://schemas.openxmlformats.org/drawingml/2006/main">
                <a:ext uri="{FF2B5EF4-FFF2-40B4-BE49-F238E27FC236}">
                  <a16:creationId xmlns:a16="http://schemas.microsoft.com/office/drawing/2014/main" id="{B785505C-A06B-49DC-BAF1-9EC7EF9732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7912C96" w14:textId="175EACE8" w:rsidR="008C223F" w:rsidRDefault="008C223F" w:rsidP="006F235A">
      <w:pPr>
        <w:jc w:val="center"/>
        <w:rPr>
          <w:b/>
          <w:bCs/>
          <w:lang w:val="en"/>
        </w:rPr>
      </w:pPr>
      <w:r>
        <w:rPr>
          <w:b/>
          <w:bCs/>
          <w:lang w:val="en"/>
        </w:rPr>
        <w:t xml:space="preserve">Figure </w:t>
      </w:r>
      <w:r w:rsidR="00E94CA5">
        <w:rPr>
          <w:b/>
          <w:bCs/>
          <w:lang w:val="en"/>
        </w:rPr>
        <w:t>4</w:t>
      </w:r>
      <w:r>
        <w:rPr>
          <w:b/>
          <w:bCs/>
          <w:lang w:val="en"/>
        </w:rPr>
        <w:t xml:space="preserve">: </w:t>
      </w:r>
      <w:r w:rsidR="00E94CA5">
        <w:rPr>
          <w:b/>
          <w:bCs/>
          <w:lang w:val="en"/>
        </w:rPr>
        <w:t>Liquidity</w:t>
      </w:r>
      <w:r>
        <w:rPr>
          <w:b/>
          <w:bCs/>
          <w:lang w:val="en"/>
        </w:rPr>
        <w:t xml:space="preserve"> Ratio</w:t>
      </w:r>
    </w:p>
    <w:p w14:paraId="418F6F95" w14:textId="216CA8C9" w:rsidR="00474782" w:rsidRPr="008C223F" w:rsidRDefault="008C223F" w:rsidP="006F235A">
      <w:pPr>
        <w:jc w:val="center"/>
        <w:rPr>
          <w:lang w:val="en"/>
        </w:rPr>
      </w:pPr>
      <w:r>
        <w:rPr>
          <w:lang w:val="en"/>
        </w:rPr>
        <w:t>(Source: self-created)</w:t>
      </w:r>
    </w:p>
    <w:p w14:paraId="00FB05FC" w14:textId="4D563A08" w:rsidR="005E7B67" w:rsidRPr="005E7B67" w:rsidRDefault="00474782" w:rsidP="005E7B67">
      <w:pPr>
        <w:rPr>
          <w:b/>
          <w:bCs/>
          <w:i/>
          <w:iCs/>
        </w:rPr>
      </w:pPr>
      <w:r>
        <w:t>The liquidity ratios measure Tesco's short-term financial obligations</w:t>
      </w:r>
      <w:r w:rsidR="00E1491E">
        <w:t xml:space="preserve"> (CFI, 2020)</w:t>
      </w:r>
      <w:r>
        <w:t>. The current ratio declined from 0.64 in 2025 to 0.58 in 2026, while the quick ratio decreased from 0.44 to 0.39. Both ratios are below the standard of 1.0 but this is typical in the supermarket environment as a high daily cash flow coupled with a high rate of stock turnover. The decrease shows that Tesco became a little more reliant on the need to generate cash continuously, and to manage its working capital more efficiently, to cover the payment of its short-term liabilities.</w:t>
      </w:r>
      <w:r w:rsidR="005E7B67">
        <w:t xml:space="preserve"> </w:t>
      </w:r>
      <w:r w:rsidR="005E7B67" w:rsidRPr="005E7B67">
        <w:rPr>
          <w:b/>
          <w:bCs/>
          <w:i/>
          <w:iCs/>
        </w:rPr>
        <w:t>[Referred to Appendix 1]</w:t>
      </w:r>
    </w:p>
    <w:p w14:paraId="5C80DB10" w14:textId="39214B65" w:rsidR="00474782" w:rsidRDefault="00474782" w:rsidP="006F235A"/>
    <w:p w14:paraId="5ACDAF60" w14:textId="261C07EA" w:rsidR="00474782" w:rsidRDefault="00474782" w:rsidP="006F235A">
      <w:pPr>
        <w:pStyle w:val="Heading2"/>
      </w:pPr>
      <w:bookmarkStart w:id="6" w:name="_Toc234772699"/>
      <w:r>
        <w:t>4.3 Efficiency Analysis</w:t>
      </w:r>
      <w:bookmarkEnd w:id="6"/>
    </w:p>
    <w:p w14:paraId="1C68685D" w14:textId="5F3F0474" w:rsidR="00E94CA5" w:rsidRDefault="00E94CA5" w:rsidP="006F235A">
      <w:pPr>
        <w:jc w:val="center"/>
        <w:rPr>
          <w:lang w:val="en"/>
        </w:rPr>
      </w:pPr>
      <w:r>
        <w:rPr>
          <w:noProof/>
        </w:rPr>
        <w:drawing>
          <wp:inline distT="0" distB="0" distL="0" distR="0" wp14:anchorId="6C6C1D8C" wp14:editId="742E72F3">
            <wp:extent cx="5356860" cy="2804160"/>
            <wp:effectExtent l="0" t="0" r="15240" b="15240"/>
            <wp:docPr id="6" name="Chart 6">
              <a:extLst xmlns:a="http://schemas.openxmlformats.org/drawingml/2006/main">
                <a:ext uri="{FF2B5EF4-FFF2-40B4-BE49-F238E27FC236}">
                  <a16:creationId xmlns:a16="http://schemas.microsoft.com/office/drawing/2014/main" id="{DB032481-A488-4065-A80E-CC8DB65C5B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39F4920" w14:textId="17BC327C" w:rsidR="00E94CA5" w:rsidRDefault="00E94CA5" w:rsidP="006F235A">
      <w:pPr>
        <w:jc w:val="center"/>
        <w:rPr>
          <w:b/>
          <w:bCs/>
          <w:lang w:val="en"/>
        </w:rPr>
      </w:pPr>
      <w:r>
        <w:rPr>
          <w:b/>
          <w:bCs/>
          <w:lang w:val="en"/>
        </w:rPr>
        <w:t>Figure 5: Efficiency Ratio</w:t>
      </w:r>
    </w:p>
    <w:p w14:paraId="0F9AB48E" w14:textId="2642F12E" w:rsidR="00E94CA5" w:rsidRPr="00E94CA5" w:rsidRDefault="00E94CA5" w:rsidP="006F235A">
      <w:pPr>
        <w:jc w:val="center"/>
        <w:rPr>
          <w:lang w:val="en"/>
        </w:rPr>
      </w:pPr>
      <w:r>
        <w:rPr>
          <w:lang w:val="en"/>
        </w:rPr>
        <w:t>(Source: self-created)</w:t>
      </w:r>
    </w:p>
    <w:p w14:paraId="56BB9153" w14:textId="7A9DB0FF" w:rsidR="00E1491E" w:rsidRDefault="00474782" w:rsidP="006F235A">
      <w:r>
        <w:t>The efficiency ratios for Tesco suggest that the company was more efficient in its use of its operational resources in 2026</w:t>
      </w:r>
      <w:r w:rsidR="00E1491E">
        <w:t xml:space="preserve"> (Tesco PLC, 2026)</w:t>
      </w:r>
      <w:r>
        <w:t>. The inventory turnover ratio rose from 23.43 to 24.31, indicating better inventory management and speed of inventory turnover. Efficient inventory turn minimizes storage cost, and product obsolescence especially in food retailing.</w:t>
      </w:r>
    </w:p>
    <w:p w14:paraId="0E9C26B1" w14:textId="5EBF7C1D" w:rsidR="00E1491E" w:rsidRPr="005E7B67" w:rsidRDefault="00E1491E" w:rsidP="006F235A">
      <w:pPr>
        <w:rPr>
          <w:b/>
          <w:bCs/>
          <w:i/>
          <w:iCs/>
        </w:rPr>
      </w:pPr>
      <w:r w:rsidRPr="00E1491E">
        <w:rPr>
          <w:rStyle w:val="cursor-pointer"/>
          <w:rFonts w:cs="Times New Roman"/>
          <w:szCs w:val="24"/>
        </w:rPr>
        <w:t>The receivable collection period was slightly better than the previous year at 8.83 days compared to 8.69 days, which meant the company was able to collect outstanding customer balances slightly quicker.</w:t>
      </w:r>
      <w:r w:rsidRPr="00E1491E">
        <w:rPr>
          <w:rFonts w:cs="Times New Roman"/>
          <w:szCs w:val="24"/>
        </w:rPr>
        <w:t xml:space="preserve"> </w:t>
      </w:r>
      <w:r w:rsidRPr="00E1491E">
        <w:rPr>
          <w:rStyle w:val="cursor-pointer"/>
          <w:rFonts w:cs="Times New Roman"/>
          <w:szCs w:val="24"/>
        </w:rPr>
        <w:t>In addition, asset turnover rose from 1.80 time to 1.87 time, indicating that Tesco's sales have risen with each pound of total assets.</w:t>
      </w:r>
      <w:r w:rsidRPr="00E1491E">
        <w:rPr>
          <w:rFonts w:cs="Times New Roman"/>
          <w:szCs w:val="24"/>
        </w:rPr>
        <w:t xml:space="preserve"> </w:t>
      </w:r>
      <w:r w:rsidRPr="00E1491E">
        <w:rPr>
          <w:rStyle w:val="cursor-pointer"/>
          <w:rFonts w:cs="Times New Roman"/>
          <w:szCs w:val="24"/>
        </w:rPr>
        <w:t>The payable period saw a slight decrease from 58.81 days to 58.20 days; it shows that the company was able to pay its suppliers a little earlier without any deterioration of the company's relationship with its suppliers.</w:t>
      </w:r>
      <w:r w:rsidR="005E7B67">
        <w:rPr>
          <w:rStyle w:val="cursor-pointer"/>
          <w:rFonts w:cs="Times New Roman"/>
          <w:szCs w:val="24"/>
        </w:rPr>
        <w:t xml:space="preserve"> </w:t>
      </w:r>
      <w:r w:rsidR="005E7B67" w:rsidRPr="005E7B67">
        <w:rPr>
          <w:b/>
          <w:bCs/>
          <w:i/>
          <w:iCs/>
        </w:rPr>
        <w:t>[Referred to Appendix 1]</w:t>
      </w:r>
    </w:p>
    <w:p w14:paraId="09A942B9" w14:textId="25BF8206" w:rsidR="00474782" w:rsidRDefault="00474782" w:rsidP="006F235A">
      <w:pPr>
        <w:pStyle w:val="Heading2"/>
      </w:pPr>
      <w:bookmarkStart w:id="7" w:name="_Toc234772700"/>
      <w:r>
        <w:t>4.4 Gearing and Solvency Analysis</w:t>
      </w:r>
      <w:bookmarkEnd w:id="7"/>
    </w:p>
    <w:p w14:paraId="16AF36ED" w14:textId="0163A739" w:rsidR="00E94CA5" w:rsidRDefault="00E94CA5" w:rsidP="006F235A">
      <w:pPr>
        <w:jc w:val="center"/>
        <w:rPr>
          <w:b/>
          <w:bCs/>
          <w:lang w:val="en"/>
        </w:rPr>
      </w:pPr>
      <w:r>
        <w:rPr>
          <w:noProof/>
        </w:rPr>
        <w:drawing>
          <wp:inline distT="0" distB="0" distL="0" distR="0" wp14:anchorId="6712D8B2" wp14:editId="43BFD610">
            <wp:extent cx="5242560" cy="3055620"/>
            <wp:effectExtent l="0" t="0" r="15240" b="11430"/>
            <wp:docPr id="7" name="Chart 7">
              <a:extLst xmlns:a="http://schemas.openxmlformats.org/drawingml/2006/main">
                <a:ext uri="{FF2B5EF4-FFF2-40B4-BE49-F238E27FC236}">
                  <a16:creationId xmlns:a16="http://schemas.microsoft.com/office/drawing/2014/main" id="{13E286E0-D09F-4894-9063-43F0C46A40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A234EAE" w14:textId="05DD5269" w:rsidR="00E94CA5" w:rsidRDefault="00E94CA5" w:rsidP="006F235A">
      <w:pPr>
        <w:jc w:val="center"/>
        <w:rPr>
          <w:b/>
          <w:bCs/>
          <w:lang w:val="en"/>
        </w:rPr>
      </w:pPr>
      <w:r>
        <w:rPr>
          <w:b/>
          <w:bCs/>
          <w:lang w:val="en"/>
        </w:rPr>
        <w:t>Figure 5: Efficiency Ratio</w:t>
      </w:r>
    </w:p>
    <w:p w14:paraId="3EEBE0FE" w14:textId="6CAB620C" w:rsidR="00E94CA5" w:rsidRPr="00E94CA5" w:rsidRDefault="00E94CA5" w:rsidP="006F235A">
      <w:pPr>
        <w:jc w:val="center"/>
        <w:rPr>
          <w:lang w:val="en"/>
        </w:rPr>
      </w:pPr>
      <w:r>
        <w:rPr>
          <w:lang w:val="en"/>
        </w:rPr>
        <w:t>(Source: self-created)</w:t>
      </w:r>
    </w:p>
    <w:p w14:paraId="44A5006A" w14:textId="03B1E00D" w:rsidR="00474782" w:rsidRPr="005E7B67" w:rsidRDefault="00474782" w:rsidP="006F235A">
      <w:pPr>
        <w:rPr>
          <w:b/>
          <w:bCs/>
          <w:i/>
          <w:iCs/>
        </w:rPr>
      </w:pPr>
      <w:r>
        <w:t xml:space="preserve">Financial leverage has risen slightly during 2026 for Tesco. The debt-to-equity ratio increased from 1.26 to 1.32 and the debt ratio grew from 70.01% to 70.97%, suggesting that debts were still financing a large share of the company's assets. Leverage saw slight rise but Tesco remained in strong financial position. The interest coverage ratio increased from 4.39 times to 5.02 times, which indicates the ability to cover the finance costs by operating profit. In </w:t>
      </w:r>
      <w:r w:rsidR="00321FD4">
        <w:t>general,</w:t>
      </w:r>
      <w:r>
        <w:t xml:space="preserve"> the ratios suggest that Tesco as a whole is very stable in terms of its financial condition, existing at a fairly high level of borrowing</w:t>
      </w:r>
      <w:r w:rsidR="005F240C">
        <w:t>.</w:t>
      </w:r>
      <w:r w:rsidR="005E7B67">
        <w:t xml:space="preserve"> </w:t>
      </w:r>
      <w:r w:rsidR="005E7B67" w:rsidRPr="005E7B67">
        <w:rPr>
          <w:b/>
          <w:bCs/>
          <w:i/>
          <w:iCs/>
        </w:rPr>
        <w:t>[Referred to Appendix 1]</w:t>
      </w:r>
    </w:p>
    <w:p w14:paraId="71161BF2" w14:textId="11F261F1" w:rsidR="00474782" w:rsidRDefault="00474782" w:rsidP="00110BF6">
      <w:pPr>
        <w:pStyle w:val="Heading1"/>
      </w:pPr>
      <w:bookmarkStart w:id="8" w:name="_Toc234772701"/>
      <w:r>
        <w:t>5.0 Discussion of Performance</w:t>
      </w:r>
      <w:bookmarkEnd w:id="8"/>
    </w:p>
    <w:p w14:paraId="578540B7" w14:textId="77777777" w:rsidR="005F240C" w:rsidRPr="000B1DFB" w:rsidRDefault="005F240C" w:rsidP="006F235A">
      <w:pPr>
        <w:rPr>
          <w:rFonts w:cs="Times New Roman"/>
          <w:szCs w:val="24"/>
        </w:rPr>
      </w:pPr>
      <w:r w:rsidRPr="000B1DFB">
        <w:rPr>
          <w:rStyle w:val="cursor-pointer"/>
          <w:rFonts w:cs="Times New Roman"/>
          <w:szCs w:val="24"/>
        </w:rPr>
        <w:t>The ratio analysis indicates that Tesco's financial performance improved during the 2026 financial year.</w:t>
      </w:r>
      <w:r w:rsidRPr="000B1DFB">
        <w:rPr>
          <w:rFonts w:cs="Times New Roman"/>
          <w:szCs w:val="24"/>
        </w:rPr>
        <w:t xml:space="preserve"> </w:t>
      </w:r>
      <w:r w:rsidRPr="000B1DFB">
        <w:rPr>
          <w:rStyle w:val="cursor-pointer"/>
          <w:rFonts w:cs="Times New Roman"/>
          <w:szCs w:val="24"/>
        </w:rPr>
        <w:t>Net profit went up to £2.99 billion, driven by higher growth in revenue from £69.92 billion to £73.71 billion, indicating an increasing in sales volume and profitability.</w:t>
      </w:r>
      <w:r w:rsidRPr="000B1DFB">
        <w:rPr>
          <w:rFonts w:cs="Times New Roman"/>
          <w:szCs w:val="24"/>
        </w:rPr>
        <w:t xml:space="preserve"> </w:t>
      </w:r>
      <w:r w:rsidRPr="000B1DFB">
        <w:rPr>
          <w:rStyle w:val="cursor-pointer"/>
          <w:rFonts w:cs="Times New Roman"/>
          <w:szCs w:val="24"/>
        </w:rPr>
        <w:t>The improvements of gross profit margin, operating profit margin, ROA and ROE indicate that Tesco was able to control its operating costs, which in turn increased the income spread generated by the assets and income spread generated by shareholders' equity, respectively.</w:t>
      </w:r>
      <w:r w:rsidRPr="000B1DFB">
        <w:rPr>
          <w:rFonts w:cs="Times New Roman"/>
          <w:szCs w:val="24"/>
        </w:rPr>
        <w:t xml:space="preserve"> </w:t>
      </w:r>
    </w:p>
    <w:p w14:paraId="017A92C8" w14:textId="34556F4A" w:rsidR="000B1DFB" w:rsidRPr="000B1DFB" w:rsidRDefault="005F240C" w:rsidP="006F235A">
      <w:pPr>
        <w:rPr>
          <w:rFonts w:cs="Times New Roman"/>
          <w:szCs w:val="24"/>
        </w:rPr>
      </w:pPr>
      <w:r w:rsidRPr="000B1DFB">
        <w:rPr>
          <w:rStyle w:val="cursor-pointer"/>
          <w:rFonts w:cs="Times New Roman"/>
          <w:szCs w:val="24"/>
        </w:rPr>
        <w:t>It also started to run more efficiently during the year.</w:t>
      </w:r>
      <w:r w:rsidRPr="000B1DFB">
        <w:rPr>
          <w:rFonts w:cs="Times New Roman"/>
          <w:szCs w:val="24"/>
        </w:rPr>
        <w:t xml:space="preserve"> </w:t>
      </w:r>
      <w:r w:rsidRPr="000B1DFB">
        <w:rPr>
          <w:rStyle w:val="cursor-pointer"/>
          <w:rFonts w:cs="Times New Roman"/>
          <w:szCs w:val="24"/>
        </w:rPr>
        <w:t>In addition, higher inventory turnover and asset turnover reflect the better use of resources, and shorter collection days for receivables better management of working capital</w:t>
      </w:r>
      <w:r w:rsidR="00A61693">
        <w:rPr>
          <w:rStyle w:val="cursor-pointer"/>
          <w:rFonts w:cs="Times New Roman"/>
          <w:szCs w:val="24"/>
        </w:rPr>
        <w:t xml:space="preserve"> (FinanceFacts101, 2025)</w:t>
      </w:r>
      <w:r w:rsidRPr="000B1DFB">
        <w:rPr>
          <w:rStyle w:val="cursor-pointer"/>
          <w:rFonts w:cs="Times New Roman"/>
          <w:szCs w:val="24"/>
        </w:rPr>
        <w:t>.</w:t>
      </w:r>
      <w:r w:rsidRPr="000B1DFB">
        <w:rPr>
          <w:rFonts w:cs="Times New Roman"/>
          <w:szCs w:val="24"/>
        </w:rPr>
        <w:t xml:space="preserve"> </w:t>
      </w:r>
      <w:r w:rsidRPr="000B1DFB">
        <w:rPr>
          <w:rStyle w:val="cursor-pointer"/>
          <w:rFonts w:cs="Times New Roman"/>
          <w:szCs w:val="24"/>
        </w:rPr>
        <w:t>These enhancements align with the ongoing digital transformation of Tesco's retail operations, its growing focus on automated distribution centres, online grocery delivery and supply chain optimisation.</w:t>
      </w:r>
      <w:r w:rsidRPr="000B1DFB">
        <w:rPr>
          <w:rFonts w:cs="Times New Roman"/>
          <w:szCs w:val="24"/>
        </w:rPr>
        <w:t xml:space="preserve"> </w:t>
      </w:r>
    </w:p>
    <w:p w14:paraId="1AA407BC" w14:textId="51B8CAC1" w:rsidR="005F240C" w:rsidRPr="000B1DFB" w:rsidRDefault="005F240C" w:rsidP="006F235A">
      <w:pPr>
        <w:rPr>
          <w:rFonts w:cs="Times New Roman"/>
          <w:sz w:val="28"/>
          <w:szCs w:val="24"/>
          <w:lang w:val="en"/>
        </w:rPr>
      </w:pPr>
      <w:r w:rsidRPr="000B1DFB">
        <w:rPr>
          <w:rStyle w:val="cursor-pointer"/>
          <w:rFonts w:cs="Times New Roman"/>
          <w:szCs w:val="24"/>
        </w:rPr>
        <w:t>Liquidity ratios however did slightly decline suggesting more reliance on effective inventory handling and on-going cash generation to settle short-term debts</w:t>
      </w:r>
      <w:r w:rsidR="00A61693">
        <w:rPr>
          <w:rStyle w:val="cursor-pointer"/>
          <w:rFonts w:cs="Times New Roman"/>
          <w:szCs w:val="24"/>
        </w:rPr>
        <w:t xml:space="preserve"> (Stefanelli, 2025)</w:t>
      </w:r>
      <w:r w:rsidRPr="000B1DFB">
        <w:rPr>
          <w:rStyle w:val="cursor-pointer"/>
          <w:rFonts w:cs="Times New Roman"/>
          <w:szCs w:val="24"/>
        </w:rPr>
        <w:t>.</w:t>
      </w:r>
      <w:r w:rsidRPr="000B1DFB">
        <w:rPr>
          <w:rFonts w:cs="Times New Roman"/>
          <w:szCs w:val="24"/>
        </w:rPr>
        <w:t xml:space="preserve"> </w:t>
      </w:r>
      <w:r w:rsidRPr="000B1DFB">
        <w:rPr>
          <w:rStyle w:val="cursor-pointer"/>
          <w:rFonts w:cs="Times New Roman"/>
          <w:szCs w:val="24"/>
        </w:rPr>
        <w:t>Furthermore, the rise in debt-to-equity ratio and debt ratio indicates a greater dependency on external finances.</w:t>
      </w:r>
      <w:r w:rsidRPr="000B1DFB">
        <w:rPr>
          <w:rFonts w:cs="Times New Roman"/>
          <w:szCs w:val="24"/>
        </w:rPr>
        <w:t xml:space="preserve"> </w:t>
      </w:r>
      <w:r w:rsidRPr="000B1DFB">
        <w:rPr>
          <w:rStyle w:val="cursor-pointer"/>
          <w:rFonts w:cs="Times New Roman"/>
          <w:szCs w:val="24"/>
        </w:rPr>
        <w:t>However, the improvement in the interest coverage ratio indicates that Tesco still has adequate ability to meet its financial commitments.</w:t>
      </w:r>
      <w:r w:rsidRPr="000B1DFB">
        <w:rPr>
          <w:rFonts w:cs="Times New Roman"/>
          <w:szCs w:val="24"/>
        </w:rPr>
        <w:t xml:space="preserve"> </w:t>
      </w:r>
      <w:r w:rsidRPr="000B1DFB">
        <w:rPr>
          <w:rStyle w:val="cursor-pointer"/>
          <w:rFonts w:cs="Times New Roman"/>
          <w:szCs w:val="24"/>
        </w:rPr>
        <w:t>The overall financial analysis shows that the profitability of Tesco was enhanced, along with its efficiency in operations, and its financial standing remained stable in the long term.</w:t>
      </w:r>
    </w:p>
    <w:p w14:paraId="3347C1EB" w14:textId="7CED0912" w:rsidR="00474782" w:rsidRPr="00474782" w:rsidRDefault="00474782" w:rsidP="00110BF6">
      <w:pPr>
        <w:pStyle w:val="Heading1"/>
      </w:pPr>
      <w:bookmarkStart w:id="9" w:name="_Toc234772702"/>
      <w:r w:rsidRPr="00474782">
        <w:t>6.0 Recommendations</w:t>
      </w:r>
      <w:bookmarkEnd w:id="9"/>
      <w:r w:rsidRPr="00474782">
        <w:t xml:space="preserve"> </w:t>
      </w:r>
    </w:p>
    <w:p w14:paraId="62E71D80" w14:textId="77777777" w:rsidR="00474782" w:rsidRDefault="00474782" w:rsidP="006F235A">
      <w:r>
        <w:t>Tesco should persist in investing in digital technologies, automation, and other forms of artificial intelligence to enhance operational efficiency and lower operating expenses. Next steps for data analytics and inventory forecasting would supplement the inventory management system, waste reduction and profitability.</w:t>
      </w:r>
    </w:p>
    <w:p w14:paraId="57639C21" w14:textId="4B73C274" w:rsidR="00474782" w:rsidRDefault="00474782" w:rsidP="006F235A">
      <w:r>
        <w:t>The company is also required to enhance liquidity position by maintaining more cash reserves and optimising working capital. Less liquidity is satisfactory in the food retailing business, but better short-term liquidity would result in greater flexibility in case of economic hardship</w:t>
      </w:r>
      <w:r w:rsidR="00A61693">
        <w:t xml:space="preserve"> (Purwanti, 2022)</w:t>
      </w:r>
      <w:r>
        <w:t>.</w:t>
      </w:r>
    </w:p>
    <w:p w14:paraId="1FD37571" w14:textId="7BFDE3EB" w:rsidR="00474782" w:rsidRDefault="00474782" w:rsidP="006F235A">
      <w:r>
        <w:t>Tesco should be mindful of the amount of debt it takes to avoid undue financial risk. Capability to generate cash flows and have control on its capital expenditure would help in reducing debt which would add to its balance sheet and lower its future finance costs. Overall, ongoing investments in sustainability best practices, renewable energy, sustainable packaging, and responsible sourcing will help bolster Tesco's corporate reputation, rebuild stakeholder trust and confidence, and ensure long-term financial stability, while also helping to satisfy growing consumer and regulatory demand.</w:t>
      </w:r>
    </w:p>
    <w:p w14:paraId="0E4D2780" w14:textId="77777777" w:rsidR="00474782" w:rsidRPr="00474782" w:rsidRDefault="00474782" w:rsidP="00110BF6">
      <w:pPr>
        <w:pStyle w:val="Heading1"/>
      </w:pPr>
      <w:bookmarkStart w:id="10" w:name="_Toc234772703"/>
      <w:r w:rsidRPr="00474782">
        <w:t>7.0 Conclusion</w:t>
      </w:r>
      <w:bookmarkEnd w:id="10"/>
      <w:r w:rsidRPr="00474782">
        <w:t xml:space="preserve"> </w:t>
      </w:r>
    </w:p>
    <w:p w14:paraId="639D14E6" w14:textId="77777777" w:rsidR="00A61693" w:rsidRDefault="0005482F" w:rsidP="006F235A">
      <w:pPr>
        <w:rPr>
          <w:rStyle w:val="cursor-pointer"/>
          <w:rFonts w:cs="Times New Roman"/>
        </w:rPr>
      </w:pPr>
      <w:r w:rsidRPr="0005482F">
        <w:rPr>
          <w:rStyle w:val="cursor-pointer"/>
          <w:rFonts w:cs="Times New Roman"/>
        </w:rPr>
        <w:t>The financial ratio analysis helps identify that Tesco PLC's performance of the overall finance has improved from 2025 to 2026.</w:t>
      </w:r>
      <w:r w:rsidRPr="0005482F">
        <w:rPr>
          <w:rFonts w:cs="Times New Roman"/>
        </w:rPr>
        <w:t xml:space="preserve"> </w:t>
      </w:r>
      <w:r w:rsidRPr="0005482F">
        <w:rPr>
          <w:rStyle w:val="cursor-pointer"/>
          <w:rFonts w:cs="Times New Roman"/>
        </w:rPr>
        <w:t>Profitability and efficiency ratios have steadily improved, indicating improved revenue growth, cost control and better use of company's assets.</w:t>
      </w:r>
      <w:r w:rsidRPr="0005482F">
        <w:rPr>
          <w:rFonts w:cs="Times New Roman"/>
        </w:rPr>
        <w:t xml:space="preserve"> </w:t>
      </w:r>
      <w:r w:rsidRPr="0005482F">
        <w:rPr>
          <w:rStyle w:val="cursor-pointer"/>
          <w:rFonts w:cs="Times New Roman"/>
        </w:rPr>
        <w:t>The liquidity ratios have fallen although financial leverage has risen, Tesco has shown good financial stability and has had a better capability of covering its debts with improvement of operating profits.</w:t>
      </w:r>
      <w:r w:rsidRPr="0005482F">
        <w:rPr>
          <w:rFonts w:cs="Times New Roman"/>
        </w:rPr>
        <w:t xml:space="preserve"> </w:t>
      </w:r>
      <w:r w:rsidRPr="0005482F">
        <w:rPr>
          <w:rStyle w:val="cursor-pointer"/>
          <w:rFonts w:cs="Times New Roman"/>
        </w:rPr>
        <w:t>In conclusion, ratio analysis is a useful tool for evaluating and interpreting business performance and decision-making.</w:t>
      </w:r>
      <w:r w:rsidRPr="0005482F">
        <w:rPr>
          <w:rFonts w:cs="Times New Roman"/>
        </w:rPr>
        <w:t xml:space="preserve"> </w:t>
      </w:r>
      <w:r w:rsidRPr="0005482F">
        <w:rPr>
          <w:rStyle w:val="cursor-pointer"/>
          <w:rFonts w:cs="Times New Roman"/>
        </w:rPr>
        <w:t>With continued investments in operational efficiency and sustainability, Tesco's financial strength lays a solid foundation for future growth and long-term shareholder value.</w:t>
      </w:r>
    </w:p>
    <w:p w14:paraId="1C70A999" w14:textId="77777777" w:rsidR="00A61693" w:rsidRDefault="00A61693">
      <w:pPr>
        <w:spacing w:line="276" w:lineRule="auto"/>
        <w:jc w:val="left"/>
        <w:rPr>
          <w:rStyle w:val="cursor-pointer"/>
          <w:rFonts w:cs="Times New Roman"/>
        </w:rPr>
      </w:pPr>
      <w:r>
        <w:rPr>
          <w:rStyle w:val="cursor-pointer"/>
          <w:rFonts w:cs="Times New Roman"/>
        </w:rPr>
        <w:br w:type="page"/>
      </w:r>
    </w:p>
    <w:p w14:paraId="2BA3C033" w14:textId="77777777" w:rsidR="00A61693" w:rsidRPr="00110BF6" w:rsidRDefault="00A61693" w:rsidP="00110BF6">
      <w:pPr>
        <w:pStyle w:val="Heading1"/>
      </w:pPr>
      <w:bookmarkStart w:id="11" w:name="_Toc234772704"/>
      <w:r w:rsidRPr="00110BF6">
        <w:t>Reference list</w:t>
      </w:r>
      <w:bookmarkEnd w:id="11"/>
    </w:p>
    <w:p w14:paraId="44113C0B" w14:textId="77777777" w:rsidR="00A61693" w:rsidRDefault="00A61693" w:rsidP="00110BF6">
      <w:pPr>
        <w:pStyle w:val="NormalWeb"/>
        <w:spacing w:before="0" w:beforeAutospacing="0" w:after="240" w:afterAutospacing="0" w:line="360" w:lineRule="auto"/>
        <w:jc w:val="both"/>
      </w:pPr>
      <w:r>
        <w:t xml:space="preserve">CFI (2020). </w:t>
      </w:r>
      <w:r>
        <w:rPr>
          <w:i/>
          <w:iCs/>
        </w:rPr>
        <w:t>Liquidity Ratio</w:t>
      </w:r>
      <w:r>
        <w:t>. [online] Corporate Finance Institute. Available at: https://corporatefinanceinstitute.com/resources/accounting/liquidity-ratio/ [Accessed 12 July 2026].</w:t>
      </w:r>
    </w:p>
    <w:p w14:paraId="643951D4" w14:textId="77777777" w:rsidR="00A61693" w:rsidRDefault="00A61693" w:rsidP="00110BF6">
      <w:pPr>
        <w:pStyle w:val="NormalWeb"/>
        <w:spacing w:before="0" w:beforeAutospacing="0" w:after="240" w:afterAutospacing="0" w:line="360" w:lineRule="auto"/>
        <w:jc w:val="both"/>
      </w:pPr>
      <w:r>
        <w:t xml:space="preserve">Famoti, O., Nwanneka Ezechi, O., Ewim, C.P.-M., Eloho, O., Muyiwa-Ajayi, T.P., Igwe, A.N. and Ihechere, A.O. (2025). Operational Efficiency in Retail: Using Data Analytics to Optimize Inventory and Supply Chain Management. </w:t>
      </w:r>
      <w:r>
        <w:rPr>
          <w:i/>
          <w:iCs/>
        </w:rPr>
        <w:t>International Journal of Scientific Research in Computer Science, Engineering and Information Technology</w:t>
      </w:r>
      <w:r>
        <w:t>, 11(1), pp.1483–1494. doi:10.32628/cseit251112173.</w:t>
      </w:r>
    </w:p>
    <w:p w14:paraId="06051812" w14:textId="77777777" w:rsidR="00A61693" w:rsidRDefault="00A61693" w:rsidP="00110BF6">
      <w:pPr>
        <w:pStyle w:val="NormalWeb"/>
        <w:spacing w:before="0" w:beforeAutospacing="0" w:after="240" w:afterAutospacing="0" w:line="360" w:lineRule="auto"/>
        <w:jc w:val="both"/>
      </w:pPr>
      <w:r>
        <w:t xml:space="preserve">FinanceFacts101 (2025). </w:t>
      </w:r>
      <w:r>
        <w:rPr>
          <w:i/>
          <w:iCs/>
        </w:rPr>
        <w:t>Understanding Turnover: Accounts Receivable, Inventory, Portfolio, Asset, and Working Capital - FinanceFacts101</w:t>
      </w:r>
      <w:r>
        <w:t>. [online] FinanceFacts101. Available at: https://financefacts101.com/understanding-turnover-accounts-receivable-inventory-portfolio-asset-and-working-capital/ [Accessed 12 July 2026].</w:t>
      </w:r>
    </w:p>
    <w:p w14:paraId="0C792D27" w14:textId="77777777" w:rsidR="00A61693" w:rsidRDefault="00A61693" w:rsidP="00110BF6">
      <w:pPr>
        <w:pStyle w:val="NormalWeb"/>
        <w:spacing w:before="0" w:beforeAutospacing="0" w:after="240" w:afterAutospacing="0" w:line="360" w:lineRule="auto"/>
        <w:jc w:val="both"/>
      </w:pPr>
      <w:r>
        <w:t xml:space="preserve">Purwanti, E. (2022). LIQUIDITY LEVEL ANALYSIS OF FOOD AND BEVERAGE COMPANIES. </w:t>
      </w:r>
      <w:r>
        <w:rPr>
          <w:i/>
          <w:iCs/>
        </w:rPr>
        <w:t>Jurnal Ilmiah Manajemen, Ekonomi, dan Akuntansi</w:t>
      </w:r>
      <w:r>
        <w:t>, 6(3), pp.625–634. doi:10.31955/mea.v6i3.2013.</w:t>
      </w:r>
    </w:p>
    <w:p w14:paraId="1FC5F701" w14:textId="77777777" w:rsidR="00A61693" w:rsidRDefault="00A61693" w:rsidP="00110BF6">
      <w:pPr>
        <w:pStyle w:val="NormalWeb"/>
        <w:spacing w:before="0" w:beforeAutospacing="0" w:after="240" w:afterAutospacing="0" w:line="360" w:lineRule="auto"/>
        <w:jc w:val="both"/>
      </w:pPr>
      <w:r>
        <w:t xml:space="preserve">Stefanelli, G. (2025). </w:t>
      </w:r>
      <w:r>
        <w:rPr>
          <w:i/>
          <w:iCs/>
        </w:rPr>
        <w:t>How to interpret liquidity ratios for short-term financial stability: Analysis, benchmarks, and practical impl</w:t>
      </w:r>
      <w:r>
        <w:t>. [online] Data Studios ‧Exafin. Available at: https://www.datastudios.org/post/how-to-interpret-liquidity-ratios-for-short-term-financial-stability-analysis-benchmarks-and-prac [Accessed 12 July 2026].</w:t>
      </w:r>
    </w:p>
    <w:p w14:paraId="08A19FEF" w14:textId="77777777" w:rsidR="00A61693" w:rsidRDefault="00A61693" w:rsidP="00110BF6">
      <w:pPr>
        <w:pStyle w:val="NormalWeb"/>
        <w:spacing w:before="0" w:beforeAutospacing="0" w:after="240" w:afterAutospacing="0" w:line="360" w:lineRule="auto"/>
        <w:jc w:val="both"/>
      </w:pPr>
      <w:r>
        <w:t xml:space="preserve">Stockanalysis (2026). </w:t>
      </w:r>
      <w:r>
        <w:rPr>
          <w:i/>
          <w:iCs/>
        </w:rPr>
        <w:t>Tesco Revenue 1986-2023</w:t>
      </w:r>
      <w:r>
        <w:t>. [online] Stock Analysis. Available at: https://stockanalysis.com/quote/lon/TSCO/revenue/ [Accessed 12 July 2026].</w:t>
      </w:r>
    </w:p>
    <w:p w14:paraId="3B813AA3" w14:textId="77777777" w:rsidR="00A61693" w:rsidRDefault="00A61693" w:rsidP="00110BF6">
      <w:pPr>
        <w:pStyle w:val="NormalWeb"/>
        <w:spacing w:before="0" w:beforeAutospacing="0" w:after="240" w:afterAutospacing="0" w:line="360" w:lineRule="auto"/>
        <w:jc w:val="both"/>
      </w:pPr>
      <w:r>
        <w:t xml:space="preserve">Tesco PLC (2026). </w:t>
      </w:r>
      <w:r>
        <w:rPr>
          <w:i/>
          <w:iCs/>
        </w:rPr>
        <w:t>Financial performance</w:t>
      </w:r>
      <w:r>
        <w:t>. [online] Tesco PLC. Available at: https://www.tescoplc.com/investors/reports-results-and-presentations/financial-performance/ [Accessed 12 July 2026].</w:t>
      </w:r>
    </w:p>
    <w:p w14:paraId="67B35C80" w14:textId="77777777" w:rsidR="00A61693" w:rsidRDefault="00A61693" w:rsidP="00110BF6">
      <w:pPr>
        <w:pStyle w:val="NormalWeb"/>
        <w:spacing w:before="0" w:beforeAutospacing="0" w:after="240" w:afterAutospacing="0" w:line="360" w:lineRule="auto"/>
        <w:jc w:val="both"/>
      </w:pPr>
      <w:r>
        <w:t xml:space="preserve">Tesco Plc (2026). </w:t>
      </w:r>
      <w:r>
        <w:rPr>
          <w:i/>
          <w:iCs/>
        </w:rPr>
        <w:t>Preliminary Results 2025/26</w:t>
      </w:r>
      <w:r>
        <w:t>. [online] Tescoplc.com. Available at: https://www.tescoplc.com/preliminary-results-202526/ [Accessed 12 July 2026].</w:t>
      </w:r>
    </w:p>
    <w:p w14:paraId="66F079CF" w14:textId="77777777" w:rsidR="00A61693" w:rsidRDefault="00A61693" w:rsidP="00110BF6">
      <w:pPr>
        <w:pStyle w:val="NormalWeb"/>
        <w:spacing w:before="0" w:beforeAutospacing="0" w:after="240" w:afterAutospacing="0" w:line="360" w:lineRule="auto"/>
        <w:jc w:val="both"/>
      </w:pPr>
      <w:r>
        <w:t xml:space="preserve">Vipond, T. (2024). </w:t>
      </w:r>
      <w:r>
        <w:rPr>
          <w:i/>
          <w:iCs/>
        </w:rPr>
        <w:t>Profitability Ratios</w:t>
      </w:r>
      <w:r>
        <w:t>. [online] Corporate Finance Institute. Available at: https://corporatefinanceinstitute.com/resources/accounting/profitability-ratios/ [Accessed 12 July 2026].</w:t>
      </w:r>
    </w:p>
    <w:p w14:paraId="14E67A89" w14:textId="1C379C37" w:rsidR="005F240C" w:rsidRPr="0005482F" w:rsidRDefault="005F240C" w:rsidP="006F235A">
      <w:pPr>
        <w:rPr>
          <w:rFonts w:cs="Times New Roman"/>
        </w:rPr>
      </w:pPr>
      <w:r w:rsidRPr="0005482F">
        <w:rPr>
          <w:rFonts w:cs="Times New Roman"/>
        </w:rPr>
        <w:br w:type="page"/>
      </w:r>
    </w:p>
    <w:p w14:paraId="512D73E5" w14:textId="1447DDFF" w:rsidR="00474782" w:rsidRDefault="005F240C" w:rsidP="005E7B67">
      <w:pPr>
        <w:pStyle w:val="Heading1"/>
      </w:pPr>
      <w:bookmarkStart w:id="12" w:name="_Toc234772705"/>
      <w:r>
        <w:t>Appendix 1: Ratio analysis</w:t>
      </w:r>
      <w:bookmarkEnd w:id="12"/>
    </w:p>
    <w:tbl>
      <w:tblPr>
        <w:tblW w:w="10317" w:type="dxa"/>
        <w:tblLook w:val="04A0" w:firstRow="1" w:lastRow="0" w:firstColumn="1" w:lastColumn="0" w:noHBand="0" w:noVBand="1"/>
      </w:tblPr>
      <w:tblGrid>
        <w:gridCol w:w="2708"/>
        <w:gridCol w:w="1750"/>
        <w:gridCol w:w="1854"/>
        <w:gridCol w:w="1075"/>
        <w:gridCol w:w="1855"/>
        <w:gridCol w:w="1075"/>
      </w:tblGrid>
      <w:tr w:rsidR="005F240C" w:rsidRPr="005F240C" w14:paraId="2D09C097" w14:textId="77777777" w:rsidTr="005F240C">
        <w:trPr>
          <w:trHeight w:val="554"/>
        </w:trPr>
        <w:tc>
          <w:tcPr>
            <w:tcW w:w="2708"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7E039E99" w14:textId="77777777" w:rsidR="005F240C" w:rsidRPr="005F240C" w:rsidRDefault="005F240C" w:rsidP="006F235A">
            <w:pPr>
              <w:spacing w:after="0"/>
              <w:jc w:val="center"/>
              <w:rPr>
                <w:rFonts w:eastAsia="Times New Roman" w:cs="Times New Roman"/>
                <w:b/>
                <w:bCs/>
                <w:color w:val="FFFFFF"/>
                <w:sz w:val="22"/>
              </w:rPr>
            </w:pPr>
            <w:r w:rsidRPr="005F240C">
              <w:rPr>
                <w:rFonts w:eastAsia="Times New Roman" w:cs="Times New Roman"/>
                <w:b/>
                <w:bCs/>
                <w:color w:val="FFFFFF"/>
                <w:sz w:val="22"/>
              </w:rPr>
              <w:t>Ratio</w:t>
            </w:r>
          </w:p>
        </w:tc>
        <w:tc>
          <w:tcPr>
            <w:tcW w:w="1750"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6BE85AC0" w14:textId="77777777" w:rsidR="005F240C" w:rsidRPr="005F240C" w:rsidRDefault="005F240C" w:rsidP="006F235A">
            <w:pPr>
              <w:spacing w:after="0"/>
              <w:jc w:val="center"/>
              <w:rPr>
                <w:rFonts w:eastAsia="Times New Roman" w:cs="Times New Roman"/>
                <w:b/>
                <w:bCs/>
                <w:color w:val="FFFFFF"/>
                <w:sz w:val="22"/>
              </w:rPr>
            </w:pPr>
            <w:r w:rsidRPr="005F240C">
              <w:rPr>
                <w:rFonts w:eastAsia="Times New Roman" w:cs="Times New Roman"/>
                <w:b/>
                <w:bCs/>
                <w:color w:val="FFFFFF"/>
                <w:sz w:val="22"/>
              </w:rPr>
              <w:t>Formula</w:t>
            </w:r>
          </w:p>
        </w:tc>
        <w:tc>
          <w:tcPr>
            <w:tcW w:w="1854"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4BEE6BAA" w14:textId="77777777" w:rsidR="005F240C" w:rsidRPr="005F240C" w:rsidRDefault="005F240C" w:rsidP="006F235A">
            <w:pPr>
              <w:spacing w:after="0"/>
              <w:jc w:val="right"/>
              <w:rPr>
                <w:rFonts w:eastAsia="Times New Roman" w:cs="Times New Roman"/>
                <w:b/>
                <w:bCs/>
                <w:color w:val="FFFFFF"/>
                <w:sz w:val="22"/>
              </w:rPr>
            </w:pPr>
            <w:r w:rsidRPr="005F240C">
              <w:rPr>
                <w:rFonts w:eastAsia="Times New Roman" w:cs="Times New Roman"/>
                <w:b/>
                <w:bCs/>
                <w:color w:val="FFFFFF"/>
                <w:sz w:val="22"/>
              </w:rPr>
              <w:t>FY2026 Calculation</w:t>
            </w:r>
          </w:p>
        </w:tc>
        <w:tc>
          <w:tcPr>
            <w:tcW w:w="1075"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14A5329A" w14:textId="77777777" w:rsidR="005F240C" w:rsidRPr="005F240C" w:rsidRDefault="005F240C" w:rsidP="006F235A">
            <w:pPr>
              <w:spacing w:after="0"/>
              <w:jc w:val="right"/>
              <w:rPr>
                <w:rFonts w:eastAsia="Times New Roman" w:cs="Times New Roman"/>
                <w:b/>
                <w:bCs/>
                <w:color w:val="FFFFFF"/>
                <w:sz w:val="22"/>
              </w:rPr>
            </w:pPr>
            <w:r w:rsidRPr="005F240C">
              <w:rPr>
                <w:rFonts w:eastAsia="Times New Roman" w:cs="Times New Roman"/>
                <w:b/>
                <w:bCs/>
                <w:color w:val="FFFFFF"/>
                <w:sz w:val="22"/>
              </w:rPr>
              <w:t>FY2026</w:t>
            </w:r>
          </w:p>
        </w:tc>
        <w:tc>
          <w:tcPr>
            <w:tcW w:w="1855"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2092E942" w14:textId="77777777" w:rsidR="005F240C" w:rsidRPr="005F240C" w:rsidRDefault="005F240C" w:rsidP="006F235A">
            <w:pPr>
              <w:spacing w:after="0"/>
              <w:jc w:val="right"/>
              <w:rPr>
                <w:rFonts w:eastAsia="Times New Roman" w:cs="Times New Roman"/>
                <w:b/>
                <w:bCs/>
                <w:color w:val="FFFFFF"/>
                <w:sz w:val="22"/>
              </w:rPr>
            </w:pPr>
            <w:r w:rsidRPr="005F240C">
              <w:rPr>
                <w:rFonts w:eastAsia="Times New Roman" w:cs="Times New Roman"/>
                <w:b/>
                <w:bCs/>
                <w:color w:val="FFFFFF"/>
                <w:sz w:val="22"/>
              </w:rPr>
              <w:t>FY2025 Calculation</w:t>
            </w:r>
          </w:p>
        </w:tc>
        <w:tc>
          <w:tcPr>
            <w:tcW w:w="1075"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3F0B3C01" w14:textId="77777777" w:rsidR="005F240C" w:rsidRPr="005F240C" w:rsidRDefault="005F240C" w:rsidP="006F235A">
            <w:pPr>
              <w:spacing w:after="0"/>
              <w:jc w:val="right"/>
              <w:rPr>
                <w:rFonts w:eastAsia="Times New Roman" w:cs="Times New Roman"/>
                <w:b/>
                <w:bCs/>
                <w:color w:val="FFFFFF"/>
                <w:sz w:val="22"/>
              </w:rPr>
            </w:pPr>
            <w:r w:rsidRPr="005F240C">
              <w:rPr>
                <w:rFonts w:eastAsia="Times New Roman" w:cs="Times New Roman"/>
                <w:b/>
                <w:bCs/>
                <w:color w:val="FFFFFF"/>
                <w:sz w:val="22"/>
              </w:rPr>
              <w:t>FY2025</w:t>
            </w:r>
          </w:p>
        </w:tc>
      </w:tr>
      <w:tr w:rsidR="005F240C" w:rsidRPr="005F240C" w14:paraId="0D4446BE" w14:textId="77777777" w:rsidTr="005F240C">
        <w:trPr>
          <w:trHeight w:val="349"/>
        </w:trPr>
        <w:tc>
          <w:tcPr>
            <w:tcW w:w="2708" w:type="dxa"/>
            <w:tcBorders>
              <w:top w:val="single" w:sz="4" w:space="0" w:color="8EA9DB"/>
              <w:left w:val="single" w:sz="4" w:space="0" w:color="8EA9DB"/>
              <w:bottom w:val="single" w:sz="4" w:space="0" w:color="8EA9DB"/>
              <w:right w:val="nil"/>
            </w:tcBorders>
            <w:shd w:val="clear" w:color="D9E1F2" w:fill="D9E1F2"/>
            <w:noWrap/>
            <w:vAlign w:val="bottom"/>
            <w:hideMark/>
          </w:tcPr>
          <w:p w14:paraId="6A2E2C9B" w14:textId="77777777" w:rsidR="005F240C" w:rsidRPr="005F240C" w:rsidRDefault="005F240C" w:rsidP="006F235A">
            <w:pPr>
              <w:spacing w:after="0"/>
              <w:jc w:val="left"/>
              <w:rPr>
                <w:rFonts w:eastAsia="Times New Roman" w:cs="Times New Roman"/>
                <w:b/>
                <w:bCs/>
                <w:sz w:val="28"/>
                <w:szCs w:val="28"/>
              </w:rPr>
            </w:pPr>
            <w:r w:rsidRPr="005F240C">
              <w:rPr>
                <w:rFonts w:eastAsia="Times New Roman" w:cs="Times New Roman"/>
                <w:b/>
                <w:bCs/>
                <w:sz w:val="28"/>
                <w:szCs w:val="28"/>
              </w:rPr>
              <w:t>Profitability Ratios</w:t>
            </w:r>
          </w:p>
        </w:tc>
        <w:tc>
          <w:tcPr>
            <w:tcW w:w="1750"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087228A7" w14:textId="77777777" w:rsidR="005F240C" w:rsidRPr="005F240C" w:rsidRDefault="005F240C" w:rsidP="006F235A">
            <w:pPr>
              <w:spacing w:after="0"/>
              <w:jc w:val="center"/>
              <w:rPr>
                <w:rFonts w:eastAsia="Times New Roman" w:cs="Times New Roman"/>
                <w:b/>
                <w:bCs/>
                <w:color w:val="000000"/>
                <w:sz w:val="22"/>
              </w:rPr>
            </w:pPr>
            <w:r w:rsidRPr="005F240C">
              <w:rPr>
                <w:rFonts w:eastAsia="Times New Roman" w:cs="Times New Roman"/>
                <w:b/>
                <w:bCs/>
                <w:color w:val="000000"/>
                <w:sz w:val="22"/>
              </w:rPr>
              <w:t> </w:t>
            </w:r>
          </w:p>
        </w:tc>
        <w:tc>
          <w:tcPr>
            <w:tcW w:w="1854"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1E8E4930"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 </w:t>
            </w:r>
          </w:p>
        </w:tc>
        <w:tc>
          <w:tcPr>
            <w:tcW w:w="107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539A8AF5"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 </w:t>
            </w:r>
          </w:p>
        </w:tc>
        <w:tc>
          <w:tcPr>
            <w:tcW w:w="185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6AD1AEA5"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 </w:t>
            </w:r>
          </w:p>
        </w:tc>
        <w:tc>
          <w:tcPr>
            <w:tcW w:w="107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0925E163"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 </w:t>
            </w:r>
          </w:p>
        </w:tc>
      </w:tr>
      <w:tr w:rsidR="005F240C" w:rsidRPr="005F240C" w14:paraId="00058772" w14:textId="77777777" w:rsidTr="005F240C">
        <w:trPr>
          <w:trHeight w:val="554"/>
        </w:trPr>
        <w:tc>
          <w:tcPr>
            <w:tcW w:w="2708" w:type="dxa"/>
            <w:tcBorders>
              <w:top w:val="single" w:sz="4" w:space="0" w:color="auto"/>
              <w:left w:val="single" w:sz="4" w:space="0" w:color="auto"/>
              <w:bottom w:val="single" w:sz="4" w:space="0" w:color="auto"/>
              <w:right w:val="single" w:sz="4" w:space="0" w:color="auto"/>
            </w:tcBorders>
            <w:vAlign w:val="center"/>
            <w:hideMark/>
          </w:tcPr>
          <w:p w14:paraId="0F5AAE35" w14:textId="77777777" w:rsidR="005F240C" w:rsidRPr="005F240C" w:rsidRDefault="005F240C" w:rsidP="006F235A">
            <w:pPr>
              <w:spacing w:after="0"/>
              <w:jc w:val="left"/>
              <w:rPr>
                <w:rFonts w:eastAsia="Times New Roman" w:cs="Times New Roman"/>
                <w:b/>
                <w:bCs/>
                <w:color w:val="000000"/>
                <w:sz w:val="22"/>
              </w:rPr>
            </w:pPr>
            <w:r w:rsidRPr="005F240C">
              <w:rPr>
                <w:rFonts w:eastAsia="Times New Roman" w:cs="Times New Roman"/>
                <w:b/>
                <w:bCs/>
                <w:color w:val="000000"/>
                <w:sz w:val="22"/>
              </w:rPr>
              <w:t>Gross Profit Margin</w:t>
            </w:r>
          </w:p>
        </w:tc>
        <w:tc>
          <w:tcPr>
            <w:tcW w:w="1750" w:type="dxa"/>
            <w:tcBorders>
              <w:top w:val="single" w:sz="4" w:space="0" w:color="auto"/>
              <w:left w:val="single" w:sz="4" w:space="0" w:color="auto"/>
              <w:bottom w:val="single" w:sz="4" w:space="0" w:color="auto"/>
              <w:right w:val="single" w:sz="4" w:space="0" w:color="auto"/>
            </w:tcBorders>
            <w:vAlign w:val="center"/>
            <w:hideMark/>
          </w:tcPr>
          <w:p w14:paraId="24D9F029" w14:textId="77777777" w:rsidR="005F240C" w:rsidRPr="005F240C" w:rsidRDefault="005F240C" w:rsidP="006F235A">
            <w:pPr>
              <w:spacing w:after="0"/>
              <w:jc w:val="left"/>
              <w:rPr>
                <w:rFonts w:eastAsia="Times New Roman" w:cs="Times New Roman"/>
                <w:color w:val="000000"/>
                <w:sz w:val="22"/>
              </w:rPr>
            </w:pPr>
            <w:r w:rsidRPr="005F240C">
              <w:rPr>
                <w:rFonts w:eastAsia="Times New Roman" w:cs="Times New Roman"/>
                <w:color w:val="000000"/>
                <w:sz w:val="22"/>
              </w:rPr>
              <w:t>Gross Profit / Revenue * 100</w:t>
            </w:r>
          </w:p>
        </w:tc>
        <w:tc>
          <w:tcPr>
            <w:tcW w:w="1854" w:type="dxa"/>
            <w:tcBorders>
              <w:top w:val="single" w:sz="4" w:space="0" w:color="auto"/>
              <w:left w:val="single" w:sz="4" w:space="0" w:color="auto"/>
              <w:bottom w:val="single" w:sz="4" w:space="0" w:color="auto"/>
              <w:right w:val="single" w:sz="4" w:space="0" w:color="auto"/>
            </w:tcBorders>
            <w:vAlign w:val="center"/>
            <w:hideMark/>
          </w:tcPr>
          <w:p w14:paraId="57DF249E"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5,538 / 73,712 *100</w:t>
            </w:r>
          </w:p>
        </w:tc>
        <w:tc>
          <w:tcPr>
            <w:tcW w:w="1075" w:type="dxa"/>
            <w:tcBorders>
              <w:top w:val="single" w:sz="4" w:space="0" w:color="auto"/>
              <w:left w:val="single" w:sz="4" w:space="0" w:color="auto"/>
              <w:bottom w:val="single" w:sz="4" w:space="0" w:color="auto"/>
              <w:right w:val="single" w:sz="4" w:space="0" w:color="auto"/>
            </w:tcBorders>
            <w:vAlign w:val="center"/>
            <w:hideMark/>
          </w:tcPr>
          <w:p w14:paraId="268CA56E"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7.51%</w:t>
            </w:r>
          </w:p>
        </w:tc>
        <w:tc>
          <w:tcPr>
            <w:tcW w:w="1855" w:type="dxa"/>
            <w:tcBorders>
              <w:top w:val="single" w:sz="4" w:space="0" w:color="auto"/>
              <w:left w:val="single" w:sz="4" w:space="0" w:color="auto"/>
              <w:bottom w:val="single" w:sz="4" w:space="0" w:color="auto"/>
              <w:right w:val="single" w:sz="4" w:space="0" w:color="auto"/>
            </w:tcBorders>
            <w:vAlign w:val="center"/>
            <w:hideMark/>
          </w:tcPr>
          <w:p w14:paraId="7CB3333E"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5,051 / 69,916 *100</w:t>
            </w:r>
          </w:p>
        </w:tc>
        <w:tc>
          <w:tcPr>
            <w:tcW w:w="1075" w:type="dxa"/>
            <w:tcBorders>
              <w:top w:val="single" w:sz="4" w:space="0" w:color="auto"/>
              <w:left w:val="single" w:sz="4" w:space="0" w:color="auto"/>
              <w:bottom w:val="single" w:sz="4" w:space="0" w:color="auto"/>
              <w:right w:val="single" w:sz="4" w:space="0" w:color="auto"/>
            </w:tcBorders>
            <w:vAlign w:val="center"/>
            <w:hideMark/>
          </w:tcPr>
          <w:p w14:paraId="01C1B9E7"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7.22%</w:t>
            </w:r>
          </w:p>
        </w:tc>
      </w:tr>
      <w:tr w:rsidR="005F240C" w:rsidRPr="005F240C" w14:paraId="4D6FE04F" w14:textId="77777777" w:rsidTr="005F240C">
        <w:trPr>
          <w:trHeight w:val="554"/>
        </w:trPr>
        <w:tc>
          <w:tcPr>
            <w:tcW w:w="2708"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6F29E08D" w14:textId="77777777" w:rsidR="005F240C" w:rsidRPr="005F240C" w:rsidRDefault="005F240C" w:rsidP="006F235A">
            <w:pPr>
              <w:spacing w:after="0"/>
              <w:jc w:val="left"/>
              <w:rPr>
                <w:rFonts w:eastAsia="Times New Roman" w:cs="Times New Roman"/>
                <w:b/>
                <w:bCs/>
                <w:color w:val="000000"/>
                <w:sz w:val="22"/>
              </w:rPr>
            </w:pPr>
            <w:r w:rsidRPr="005F240C">
              <w:rPr>
                <w:rFonts w:eastAsia="Times New Roman" w:cs="Times New Roman"/>
                <w:b/>
                <w:bCs/>
                <w:color w:val="000000"/>
                <w:sz w:val="22"/>
              </w:rPr>
              <w:t>Operating Profit Margin</w:t>
            </w:r>
          </w:p>
        </w:tc>
        <w:tc>
          <w:tcPr>
            <w:tcW w:w="1750"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349884A4" w14:textId="77777777" w:rsidR="005F240C" w:rsidRPr="005F240C" w:rsidRDefault="005F240C" w:rsidP="006F235A">
            <w:pPr>
              <w:spacing w:after="0"/>
              <w:jc w:val="left"/>
              <w:rPr>
                <w:rFonts w:eastAsia="Times New Roman" w:cs="Times New Roman"/>
                <w:color w:val="000000"/>
                <w:sz w:val="22"/>
              </w:rPr>
            </w:pPr>
            <w:r w:rsidRPr="005F240C">
              <w:rPr>
                <w:rFonts w:eastAsia="Times New Roman" w:cs="Times New Roman"/>
                <w:color w:val="000000"/>
                <w:sz w:val="22"/>
              </w:rPr>
              <w:t>Operating Income / Revenue * 100</w:t>
            </w:r>
          </w:p>
        </w:tc>
        <w:tc>
          <w:tcPr>
            <w:tcW w:w="1854"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5A25678F"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2,985 / 73,712 *100</w:t>
            </w:r>
          </w:p>
        </w:tc>
        <w:tc>
          <w:tcPr>
            <w:tcW w:w="107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6802CCF0"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4.05%</w:t>
            </w:r>
          </w:p>
        </w:tc>
        <w:tc>
          <w:tcPr>
            <w:tcW w:w="185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4E7CF3EB"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2,711 / 69,916 *100</w:t>
            </w:r>
          </w:p>
        </w:tc>
        <w:tc>
          <w:tcPr>
            <w:tcW w:w="107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2AA66B52"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3.88%</w:t>
            </w:r>
          </w:p>
        </w:tc>
      </w:tr>
      <w:tr w:rsidR="005F240C" w:rsidRPr="005F240C" w14:paraId="1464B4E9" w14:textId="77777777" w:rsidTr="005F240C">
        <w:trPr>
          <w:trHeight w:val="554"/>
        </w:trPr>
        <w:tc>
          <w:tcPr>
            <w:tcW w:w="2708" w:type="dxa"/>
            <w:tcBorders>
              <w:top w:val="single" w:sz="4" w:space="0" w:color="auto"/>
              <w:left w:val="single" w:sz="4" w:space="0" w:color="auto"/>
              <w:bottom w:val="single" w:sz="4" w:space="0" w:color="auto"/>
              <w:right w:val="single" w:sz="4" w:space="0" w:color="auto"/>
            </w:tcBorders>
            <w:vAlign w:val="center"/>
            <w:hideMark/>
          </w:tcPr>
          <w:p w14:paraId="57FD2764" w14:textId="77777777" w:rsidR="005F240C" w:rsidRPr="005F240C" w:rsidRDefault="005F240C" w:rsidP="006F235A">
            <w:pPr>
              <w:spacing w:after="0"/>
              <w:jc w:val="left"/>
              <w:rPr>
                <w:rFonts w:eastAsia="Times New Roman" w:cs="Times New Roman"/>
                <w:b/>
                <w:bCs/>
                <w:color w:val="000000"/>
                <w:sz w:val="22"/>
              </w:rPr>
            </w:pPr>
            <w:r w:rsidRPr="005F240C">
              <w:rPr>
                <w:rFonts w:eastAsia="Times New Roman" w:cs="Times New Roman"/>
                <w:b/>
                <w:bCs/>
                <w:color w:val="000000"/>
                <w:sz w:val="22"/>
              </w:rPr>
              <w:t>Net Profit Margin</w:t>
            </w:r>
          </w:p>
        </w:tc>
        <w:tc>
          <w:tcPr>
            <w:tcW w:w="1750" w:type="dxa"/>
            <w:tcBorders>
              <w:top w:val="single" w:sz="4" w:space="0" w:color="auto"/>
              <w:left w:val="single" w:sz="4" w:space="0" w:color="auto"/>
              <w:bottom w:val="single" w:sz="4" w:space="0" w:color="auto"/>
              <w:right w:val="single" w:sz="4" w:space="0" w:color="auto"/>
            </w:tcBorders>
            <w:vAlign w:val="center"/>
            <w:hideMark/>
          </w:tcPr>
          <w:p w14:paraId="25DD085D" w14:textId="77777777" w:rsidR="005F240C" w:rsidRPr="005F240C" w:rsidRDefault="005F240C" w:rsidP="006F235A">
            <w:pPr>
              <w:spacing w:after="0"/>
              <w:jc w:val="left"/>
              <w:rPr>
                <w:rFonts w:eastAsia="Times New Roman" w:cs="Times New Roman"/>
                <w:color w:val="000000"/>
                <w:sz w:val="22"/>
              </w:rPr>
            </w:pPr>
            <w:r w:rsidRPr="005F240C">
              <w:rPr>
                <w:rFonts w:eastAsia="Times New Roman" w:cs="Times New Roman"/>
                <w:color w:val="000000"/>
                <w:sz w:val="22"/>
              </w:rPr>
              <w:t>Net Income / Revenue *100</w:t>
            </w:r>
          </w:p>
        </w:tc>
        <w:tc>
          <w:tcPr>
            <w:tcW w:w="1854" w:type="dxa"/>
            <w:tcBorders>
              <w:top w:val="single" w:sz="4" w:space="0" w:color="auto"/>
              <w:left w:val="single" w:sz="4" w:space="0" w:color="auto"/>
              <w:bottom w:val="single" w:sz="4" w:space="0" w:color="auto"/>
              <w:right w:val="single" w:sz="4" w:space="0" w:color="auto"/>
            </w:tcBorders>
            <w:vAlign w:val="center"/>
            <w:hideMark/>
          </w:tcPr>
          <w:p w14:paraId="2B9693E1"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2,985 / 73,712 *100</w:t>
            </w:r>
          </w:p>
        </w:tc>
        <w:tc>
          <w:tcPr>
            <w:tcW w:w="1075" w:type="dxa"/>
            <w:tcBorders>
              <w:top w:val="single" w:sz="4" w:space="0" w:color="auto"/>
              <w:left w:val="single" w:sz="4" w:space="0" w:color="auto"/>
              <w:bottom w:val="single" w:sz="4" w:space="0" w:color="auto"/>
              <w:right w:val="single" w:sz="4" w:space="0" w:color="auto"/>
            </w:tcBorders>
            <w:vAlign w:val="center"/>
            <w:hideMark/>
          </w:tcPr>
          <w:p w14:paraId="4AB3EC24"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4.05%</w:t>
            </w:r>
          </w:p>
        </w:tc>
        <w:tc>
          <w:tcPr>
            <w:tcW w:w="1855" w:type="dxa"/>
            <w:tcBorders>
              <w:top w:val="single" w:sz="4" w:space="0" w:color="auto"/>
              <w:left w:val="single" w:sz="4" w:space="0" w:color="auto"/>
              <w:bottom w:val="single" w:sz="4" w:space="0" w:color="auto"/>
              <w:right w:val="single" w:sz="4" w:space="0" w:color="auto"/>
            </w:tcBorders>
            <w:vAlign w:val="center"/>
            <w:hideMark/>
          </w:tcPr>
          <w:p w14:paraId="7376ECE7"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2,746 / 69,916 *100</w:t>
            </w:r>
          </w:p>
        </w:tc>
        <w:tc>
          <w:tcPr>
            <w:tcW w:w="1075" w:type="dxa"/>
            <w:tcBorders>
              <w:top w:val="single" w:sz="4" w:space="0" w:color="auto"/>
              <w:left w:val="single" w:sz="4" w:space="0" w:color="auto"/>
              <w:bottom w:val="single" w:sz="4" w:space="0" w:color="auto"/>
              <w:right w:val="single" w:sz="4" w:space="0" w:color="auto"/>
            </w:tcBorders>
            <w:vAlign w:val="center"/>
            <w:hideMark/>
          </w:tcPr>
          <w:p w14:paraId="346B533A"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3.93%</w:t>
            </w:r>
          </w:p>
        </w:tc>
      </w:tr>
      <w:tr w:rsidR="005F240C" w:rsidRPr="005F240C" w14:paraId="1FAD88D1" w14:textId="77777777" w:rsidTr="005F240C">
        <w:trPr>
          <w:trHeight w:val="554"/>
        </w:trPr>
        <w:tc>
          <w:tcPr>
            <w:tcW w:w="2708"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767D0424" w14:textId="77777777" w:rsidR="005F240C" w:rsidRPr="005F240C" w:rsidRDefault="005F240C" w:rsidP="006F235A">
            <w:pPr>
              <w:spacing w:after="0"/>
              <w:jc w:val="left"/>
              <w:rPr>
                <w:rFonts w:eastAsia="Times New Roman" w:cs="Times New Roman"/>
                <w:b/>
                <w:bCs/>
                <w:color w:val="000000"/>
                <w:sz w:val="22"/>
              </w:rPr>
            </w:pPr>
            <w:r w:rsidRPr="005F240C">
              <w:rPr>
                <w:rFonts w:eastAsia="Times New Roman" w:cs="Times New Roman"/>
                <w:b/>
                <w:bCs/>
                <w:color w:val="000000"/>
                <w:sz w:val="22"/>
              </w:rPr>
              <w:t>Return on Assets (ROA)</w:t>
            </w:r>
          </w:p>
        </w:tc>
        <w:tc>
          <w:tcPr>
            <w:tcW w:w="1750"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3514CD71" w14:textId="77777777" w:rsidR="005F240C" w:rsidRPr="005F240C" w:rsidRDefault="005F240C" w:rsidP="006F235A">
            <w:pPr>
              <w:spacing w:after="0"/>
              <w:jc w:val="left"/>
              <w:rPr>
                <w:rFonts w:eastAsia="Times New Roman" w:cs="Times New Roman"/>
                <w:color w:val="000000"/>
                <w:sz w:val="22"/>
              </w:rPr>
            </w:pPr>
            <w:r w:rsidRPr="005F240C">
              <w:rPr>
                <w:rFonts w:eastAsia="Times New Roman" w:cs="Times New Roman"/>
                <w:color w:val="000000"/>
                <w:sz w:val="22"/>
              </w:rPr>
              <w:t>Net Income / Total Assets *100</w:t>
            </w:r>
          </w:p>
        </w:tc>
        <w:tc>
          <w:tcPr>
            <w:tcW w:w="1854"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7A1A4555"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2,985 / 39,474 *100</w:t>
            </w:r>
          </w:p>
        </w:tc>
        <w:tc>
          <w:tcPr>
            <w:tcW w:w="107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5CE2D38D"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7.56%</w:t>
            </w:r>
          </w:p>
        </w:tc>
        <w:tc>
          <w:tcPr>
            <w:tcW w:w="185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04DAA3DD"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2,746 / 38,890 *100</w:t>
            </w:r>
          </w:p>
        </w:tc>
        <w:tc>
          <w:tcPr>
            <w:tcW w:w="107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52CD0E61"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7.06%</w:t>
            </w:r>
          </w:p>
        </w:tc>
      </w:tr>
      <w:tr w:rsidR="005F240C" w:rsidRPr="005F240C" w14:paraId="41432C32" w14:textId="77777777" w:rsidTr="005F240C">
        <w:trPr>
          <w:trHeight w:val="831"/>
        </w:trPr>
        <w:tc>
          <w:tcPr>
            <w:tcW w:w="2708" w:type="dxa"/>
            <w:tcBorders>
              <w:top w:val="single" w:sz="4" w:space="0" w:color="auto"/>
              <w:left w:val="single" w:sz="4" w:space="0" w:color="auto"/>
              <w:bottom w:val="single" w:sz="4" w:space="0" w:color="auto"/>
              <w:right w:val="single" w:sz="4" w:space="0" w:color="auto"/>
            </w:tcBorders>
            <w:vAlign w:val="center"/>
            <w:hideMark/>
          </w:tcPr>
          <w:p w14:paraId="5F666AC7" w14:textId="77777777" w:rsidR="005F240C" w:rsidRPr="005F240C" w:rsidRDefault="005F240C" w:rsidP="006F235A">
            <w:pPr>
              <w:spacing w:after="0"/>
              <w:jc w:val="left"/>
              <w:rPr>
                <w:rFonts w:eastAsia="Times New Roman" w:cs="Times New Roman"/>
                <w:b/>
                <w:bCs/>
                <w:color w:val="000000"/>
                <w:sz w:val="22"/>
              </w:rPr>
            </w:pPr>
            <w:r w:rsidRPr="005F240C">
              <w:rPr>
                <w:rFonts w:eastAsia="Times New Roman" w:cs="Times New Roman"/>
                <w:b/>
                <w:bCs/>
                <w:color w:val="000000"/>
                <w:sz w:val="22"/>
              </w:rPr>
              <w:t>Return on Equity (ROE)</w:t>
            </w:r>
          </w:p>
        </w:tc>
        <w:tc>
          <w:tcPr>
            <w:tcW w:w="1750" w:type="dxa"/>
            <w:tcBorders>
              <w:top w:val="single" w:sz="4" w:space="0" w:color="auto"/>
              <w:left w:val="single" w:sz="4" w:space="0" w:color="auto"/>
              <w:bottom w:val="single" w:sz="4" w:space="0" w:color="auto"/>
              <w:right w:val="single" w:sz="4" w:space="0" w:color="auto"/>
            </w:tcBorders>
            <w:vAlign w:val="center"/>
            <w:hideMark/>
          </w:tcPr>
          <w:p w14:paraId="771B3E9D" w14:textId="77777777" w:rsidR="005F240C" w:rsidRPr="005F240C" w:rsidRDefault="005F240C" w:rsidP="006F235A">
            <w:pPr>
              <w:spacing w:after="0"/>
              <w:jc w:val="left"/>
              <w:rPr>
                <w:rFonts w:eastAsia="Times New Roman" w:cs="Times New Roman"/>
                <w:color w:val="000000"/>
                <w:sz w:val="22"/>
              </w:rPr>
            </w:pPr>
            <w:r w:rsidRPr="005F240C">
              <w:rPr>
                <w:rFonts w:eastAsia="Times New Roman" w:cs="Times New Roman"/>
                <w:color w:val="000000"/>
                <w:sz w:val="22"/>
              </w:rPr>
              <w:t>Net Income / Shareholders' Equity *100</w:t>
            </w:r>
          </w:p>
        </w:tc>
        <w:tc>
          <w:tcPr>
            <w:tcW w:w="1854" w:type="dxa"/>
            <w:tcBorders>
              <w:top w:val="single" w:sz="4" w:space="0" w:color="auto"/>
              <w:left w:val="single" w:sz="4" w:space="0" w:color="auto"/>
              <w:bottom w:val="single" w:sz="4" w:space="0" w:color="auto"/>
              <w:right w:val="single" w:sz="4" w:space="0" w:color="auto"/>
            </w:tcBorders>
            <w:vAlign w:val="center"/>
            <w:hideMark/>
          </w:tcPr>
          <w:p w14:paraId="6B3E0392"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2,985 / 11,457 *100</w:t>
            </w:r>
          </w:p>
        </w:tc>
        <w:tc>
          <w:tcPr>
            <w:tcW w:w="1075" w:type="dxa"/>
            <w:tcBorders>
              <w:top w:val="single" w:sz="4" w:space="0" w:color="auto"/>
              <w:left w:val="single" w:sz="4" w:space="0" w:color="auto"/>
              <w:bottom w:val="single" w:sz="4" w:space="0" w:color="auto"/>
              <w:right w:val="single" w:sz="4" w:space="0" w:color="auto"/>
            </w:tcBorders>
            <w:vAlign w:val="center"/>
            <w:hideMark/>
          </w:tcPr>
          <w:p w14:paraId="451BDFAA"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26.05%</w:t>
            </w:r>
          </w:p>
        </w:tc>
        <w:tc>
          <w:tcPr>
            <w:tcW w:w="1855" w:type="dxa"/>
            <w:tcBorders>
              <w:top w:val="single" w:sz="4" w:space="0" w:color="auto"/>
              <w:left w:val="single" w:sz="4" w:space="0" w:color="auto"/>
              <w:bottom w:val="single" w:sz="4" w:space="0" w:color="auto"/>
              <w:right w:val="single" w:sz="4" w:space="0" w:color="auto"/>
            </w:tcBorders>
            <w:vAlign w:val="center"/>
            <w:hideMark/>
          </w:tcPr>
          <w:p w14:paraId="59605EB0"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2,746 / 11,662 *100</w:t>
            </w:r>
          </w:p>
        </w:tc>
        <w:tc>
          <w:tcPr>
            <w:tcW w:w="1075" w:type="dxa"/>
            <w:tcBorders>
              <w:top w:val="single" w:sz="4" w:space="0" w:color="auto"/>
              <w:left w:val="single" w:sz="4" w:space="0" w:color="auto"/>
              <w:bottom w:val="single" w:sz="4" w:space="0" w:color="auto"/>
              <w:right w:val="single" w:sz="4" w:space="0" w:color="auto"/>
            </w:tcBorders>
            <w:vAlign w:val="center"/>
            <w:hideMark/>
          </w:tcPr>
          <w:p w14:paraId="611D6F49"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23.55%</w:t>
            </w:r>
          </w:p>
        </w:tc>
      </w:tr>
      <w:tr w:rsidR="005F240C" w:rsidRPr="005F240C" w14:paraId="62A0CFBA" w14:textId="77777777" w:rsidTr="005F240C">
        <w:trPr>
          <w:trHeight w:val="530"/>
        </w:trPr>
        <w:tc>
          <w:tcPr>
            <w:tcW w:w="2708" w:type="dxa"/>
            <w:tcBorders>
              <w:top w:val="single" w:sz="4" w:space="0" w:color="8EA9DB"/>
              <w:left w:val="single" w:sz="4" w:space="0" w:color="8EA9DB"/>
              <w:bottom w:val="single" w:sz="4" w:space="0" w:color="8EA9DB"/>
              <w:right w:val="nil"/>
            </w:tcBorders>
            <w:shd w:val="clear" w:color="D9E1F2" w:fill="D9E1F2"/>
            <w:noWrap/>
            <w:vAlign w:val="bottom"/>
            <w:hideMark/>
          </w:tcPr>
          <w:p w14:paraId="49034A7D" w14:textId="77777777" w:rsidR="005F240C" w:rsidRPr="005F240C" w:rsidRDefault="005F240C" w:rsidP="006F235A">
            <w:pPr>
              <w:spacing w:after="0"/>
              <w:jc w:val="left"/>
              <w:rPr>
                <w:rFonts w:eastAsia="Times New Roman" w:cs="Times New Roman"/>
                <w:b/>
                <w:bCs/>
                <w:sz w:val="28"/>
                <w:szCs w:val="28"/>
              </w:rPr>
            </w:pPr>
            <w:r w:rsidRPr="005F240C">
              <w:rPr>
                <w:rFonts w:eastAsia="Times New Roman" w:cs="Times New Roman"/>
                <w:b/>
                <w:bCs/>
                <w:sz w:val="28"/>
                <w:szCs w:val="28"/>
              </w:rPr>
              <w:t>Liquidity Ratios</w:t>
            </w:r>
          </w:p>
        </w:tc>
        <w:tc>
          <w:tcPr>
            <w:tcW w:w="1750"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1E4D6C76" w14:textId="77777777" w:rsidR="005F240C" w:rsidRPr="005F240C" w:rsidRDefault="005F240C" w:rsidP="006F235A">
            <w:pPr>
              <w:spacing w:after="0"/>
              <w:jc w:val="left"/>
              <w:rPr>
                <w:rFonts w:eastAsia="Times New Roman" w:cs="Times New Roman"/>
                <w:color w:val="000000"/>
                <w:sz w:val="22"/>
              </w:rPr>
            </w:pPr>
            <w:r w:rsidRPr="005F240C">
              <w:rPr>
                <w:rFonts w:eastAsia="Times New Roman" w:cs="Times New Roman"/>
                <w:color w:val="000000"/>
                <w:sz w:val="22"/>
              </w:rPr>
              <w:t> </w:t>
            </w:r>
          </w:p>
        </w:tc>
        <w:tc>
          <w:tcPr>
            <w:tcW w:w="1854"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1B46B68C"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 </w:t>
            </w:r>
          </w:p>
        </w:tc>
        <w:tc>
          <w:tcPr>
            <w:tcW w:w="1075" w:type="dxa"/>
            <w:tcBorders>
              <w:top w:val="single" w:sz="4" w:space="0" w:color="8EA9DB"/>
              <w:left w:val="single" w:sz="4" w:space="0" w:color="auto"/>
              <w:bottom w:val="single" w:sz="4" w:space="0" w:color="auto"/>
              <w:right w:val="single" w:sz="4" w:space="0" w:color="auto"/>
            </w:tcBorders>
            <w:shd w:val="clear" w:color="D9E1F2" w:fill="D9E1F2"/>
            <w:vAlign w:val="center"/>
            <w:hideMark/>
          </w:tcPr>
          <w:p w14:paraId="02D5DDDF"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FY2026</w:t>
            </w:r>
          </w:p>
        </w:tc>
        <w:tc>
          <w:tcPr>
            <w:tcW w:w="185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61AD72A6"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 </w:t>
            </w:r>
          </w:p>
        </w:tc>
        <w:tc>
          <w:tcPr>
            <w:tcW w:w="1075" w:type="dxa"/>
            <w:tcBorders>
              <w:top w:val="single" w:sz="4" w:space="0" w:color="8EA9DB"/>
              <w:left w:val="single" w:sz="4" w:space="0" w:color="auto"/>
              <w:bottom w:val="single" w:sz="4" w:space="0" w:color="auto"/>
              <w:right w:val="single" w:sz="4" w:space="0" w:color="auto"/>
            </w:tcBorders>
            <w:shd w:val="clear" w:color="D9E1F2" w:fill="D9E1F2"/>
            <w:vAlign w:val="center"/>
            <w:hideMark/>
          </w:tcPr>
          <w:p w14:paraId="561444D0"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FY2025</w:t>
            </w:r>
          </w:p>
        </w:tc>
      </w:tr>
      <w:tr w:rsidR="005F240C" w:rsidRPr="005F240C" w14:paraId="1D1576F1" w14:textId="77777777" w:rsidTr="005F240C">
        <w:trPr>
          <w:trHeight w:val="554"/>
        </w:trPr>
        <w:tc>
          <w:tcPr>
            <w:tcW w:w="2708" w:type="dxa"/>
            <w:tcBorders>
              <w:top w:val="single" w:sz="4" w:space="0" w:color="auto"/>
              <w:left w:val="single" w:sz="4" w:space="0" w:color="auto"/>
              <w:bottom w:val="single" w:sz="4" w:space="0" w:color="auto"/>
              <w:right w:val="single" w:sz="4" w:space="0" w:color="auto"/>
            </w:tcBorders>
            <w:vAlign w:val="center"/>
            <w:hideMark/>
          </w:tcPr>
          <w:p w14:paraId="4E4E0F8D" w14:textId="77777777" w:rsidR="005F240C" w:rsidRPr="005F240C" w:rsidRDefault="005F240C" w:rsidP="006F235A">
            <w:pPr>
              <w:spacing w:after="0"/>
              <w:jc w:val="left"/>
              <w:rPr>
                <w:rFonts w:eastAsia="Times New Roman" w:cs="Times New Roman"/>
                <w:b/>
                <w:bCs/>
                <w:color w:val="000000"/>
                <w:sz w:val="22"/>
              </w:rPr>
            </w:pPr>
            <w:r w:rsidRPr="005F240C">
              <w:rPr>
                <w:rFonts w:eastAsia="Times New Roman" w:cs="Times New Roman"/>
                <w:b/>
                <w:bCs/>
                <w:color w:val="000000"/>
                <w:sz w:val="22"/>
              </w:rPr>
              <w:t>Current Ratio</w:t>
            </w:r>
          </w:p>
        </w:tc>
        <w:tc>
          <w:tcPr>
            <w:tcW w:w="1750" w:type="dxa"/>
            <w:tcBorders>
              <w:top w:val="single" w:sz="4" w:space="0" w:color="auto"/>
              <w:left w:val="single" w:sz="4" w:space="0" w:color="auto"/>
              <w:bottom w:val="single" w:sz="4" w:space="0" w:color="auto"/>
              <w:right w:val="single" w:sz="4" w:space="0" w:color="auto"/>
            </w:tcBorders>
            <w:vAlign w:val="center"/>
            <w:hideMark/>
          </w:tcPr>
          <w:p w14:paraId="23B76D2A" w14:textId="77777777" w:rsidR="005F240C" w:rsidRPr="005F240C" w:rsidRDefault="005F240C" w:rsidP="006F235A">
            <w:pPr>
              <w:spacing w:after="0"/>
              <w:jc w:val="left"/>
              <w:rPr>
                <w:rFonts w:eastAsia="Times New Roman" w:cs="Times New Roman"/>
                <w:color w:val="000000"/>
                <w:sz w:val="22"/>
              </w:rPr>
            </w:pPr>
            <w:r w:rsidRPr="005F240C">
              <w:rPr>
                <w:rFonts w:eastAsia="Times New Roman" w:cs="Times New Roman"/>
                <w:color w:val="000000"/>
                <w:sz w:val="22"/>
              </w:rPr>
              <w:t>Current Assets / Current Liabilities</w:t>
            </w:r>
          </w:p>
        </w:tc>
        <w:tc>
          <w:tcPr>
            <w:tcW w:w="1854" w:type="dxa"/>
            <w:tcBorders>
              <w:top w:val="single" w:sz="4" w:space="0" w:color="auto"/>
              <w:left w:val="single" w:sz="4" w:space="0" w:color="auto"/>
              <w:bottom w:val="single" w:sz="4" w:space="0" w:color="auto"/>
              <w:right w:val="single" w:sz="4" w:space="0" w:color="auto"/>
            </w:tcBorders>
            <w:vAlign w:val="center"/>
            <w:hideMark/>
          </w:tcPr>
          <w:p w14:paraId="4EE3AF09"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8,369 / 14,329</w:t>
            </w:r>
          </w:p>
        </w:tc>
        <w:tc>
          <w:tcPr>
            <w:tcW w:w="1075" w:type="dxa"/>
            <w:tcBorders>
              <w:top w:val="single" w:sz="4" w:space="0" w:color="auto"/>
              <w:left w:val="single" w:sz="4" w:space="0" w:color="auto"/>
              <w:bottom w:val="single" w:sz="4" w:space="0" w:color="auto"/>
              <w:right w:val="single" w:sz="4" w:space="0" w:color="auto"/>
            </w:tcBorders>
            <w:vAlign w:val="center"/>
            <w:hideMark/>
          </w:tcPr>
          <w:p w14:paraId="0FBED0C0"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0.58</w:t>
            </w:r>
          </w:p>
        </w:tc>
        <w:tc>
          <w:tcPr>
            <w:tcW w:w="1855" w:type="dxa"/>
            <w:tcBorders>
              <w:top w:val="single" w:sz="4" w:space="0" w:color="auto"/>
              <w:left w:val="single" w:sz="4" w:space="0" w:color="auto"/>
              <w:bottom w:val="single" w:sz="4" w:space="0" w:color="auto"/>
              <w:right w:val="single" w:sz="4" w:space="0" w:color="auto"/>
            </w:tcBorders>
            <w:vAlign w:val="center"/>
            <w:hideMark/>
          </w:tcPr>
          <w:p w14:paraId="265B1F7B"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8,806 / 13,820</w:t>
            </w:r>
          </w:p>
        </w:tc>
        <w:tc>
          <w:tcPr>
            <w:tcW w:w="1075" w:type="dxa"/>
            <w:tcBorders>
              <w:top w:val="single" w:sz="4" w:space="0" w:color="auto"/>
              <w:left w:val="single" w:sz="4" w:space="0" w:color="auto"/>
              <w:bottom w:val="single" w:sz="4" w:space="0" w:color="auto"/>
              <w:right w:val="single" w:sz="4" w:space="0" w:color="auto"/>
            </w:tcBorders>
            <w:vAlign w:val="center"/>
            <w:hideMark/>
          </w:tcPr>
          <w:p w14:paraId="10D38156"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0.64</w:t>
            </w:r>
          </w:p>
        </w:tc>
      </w:tr>
      <w:tr w:rsidR="005F240C" w:rsidRPr="005F240C" w14:paraId="4E56CF65" w14:textId="77777777" w:rsidTr="005F240C">
        <w:trPr>
          <w:trHeight w:val="831"/>
        </w:trPr>
        <w:tc>
          <w:tcPr>
            <w:tcW w:w="2708"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5B80C5F4" w14:textId="77777777" w:rsidR="005F240C" w:rsidRPr="005F240C" w:rsidRDefault="005F240C" w:rsidP="006F235A">
            <w:pPr>
              <w:spacing w:after="0"/>
              <w:jc w:val="left"/>
              <w:rPr>
                <w:rFonts w:eastAsia="Times New Roman" w:cs="Times New Roman"/>
                <w:b/>
                <w:bCs/>
                <w:color w:val="000000"/>
                <w:sz w:val="22"/>
              </w:rPr>
            </w:pPr>
            <w:r w:rsidRPr="005F240C">
              <w:rPr>
                <w:rFonts w:eastAsia="Times New Roman" w:cs="Times New Roman"/>
                <w:b/>
                <w:bCs/>
                <w:color w:val="000000"/>
                <w:sz w:val="22"/>
              </w:rPr>
              <w:t>Quick Ratio</w:t>
            </w:r>
          </w:p>
        </w:tc>
        <w:tc>
          <w:tcPr>
            <w:tcW w:w="1750"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763709A3" w14:textId="77777777" w:rsidR="005F240C" w:rsidRPr="005F240C" w:rsidRDefault="005F240C" w:rsidP="006F235A">
            <w:pPr>
              <w:spacing w:after="0"/>
              <w:jc w:val="left"/>
              <w:rPr>
                <w:rFonts w:eastAsia="Times New Roman" w:cs="Times New Roman"/>
                <w:color w:val="000000"/>
                <w:sz w:val="22"/>
              </w:rPr>
            </w:pPr>
            <w:r w:rsidRPr="005F240C">
              <w:rPr>
                <w:rFonts w:eastAsia="Times New Roman" w:cs="Times New Roman"/>
                <w:color w:val="000000"/>
                <w:sz w:val="22"/>
              </w:rPr>
              <w:t>(Current Assets − Inventory) / Current Liabilities</w:t>
            </w:r>
          </w:p>
        </w:tc>
        <w:tc>
          <w:tcPr>
            <w:tcW w:w="1854"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3879B6EA"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(8,369−2,840) /14,329</w:t>
            </w:r>
          </w:p>
        </w:tc>
        <w:tc>
          <w:tcPr>
            <w:tcW w:w="107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306AFCDC"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0.39</w:t>
            </w:r>
          </w:p>
        </w:tc>
        <w:tc>
          <w:tcPr>
            <w:tcW w:w="185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13735333"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(8,806−2,768) /13,820</w:t>
            </w:r>
          </w:p>
        </w:tc>
        <w:tc>
          <w:tcPr>
            <w:tcW w:w="107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4A4B85BF"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0.44</w:t>
            </w:r>
          </w:p>
        </w:tc>
      </w:tr>
      <w:tr w:rsidR="005F240C" w:rsidRPr="005F240C" w14:paraId="1B7EC861" w14:textId="77777777" w:rsidTr="005F240C">
        <w:trPr>
          <w:trHeight w:val="674"/>
        </w:trPr>
        <w:tc>
          <w:tcPr>
            <w:tcW w:w="2708" w:type="dxa"/>
            <w:tcBorders>
              <w:top w:val="single" w:sz="4" w:space="0" w:color="auto"/>
              <w:left w:val="single" w:sz="4" w:space="0" w:color="auto"/>
              <w:bottom w:val="single" w:sz="4" w:space="0" w:color="auto"/>
              <w:right w:val="single" w:sz="4" w:space="0" w:color="auto"/>
            </w:tcBorders>
            <w:vAlign w:val="center"/>
            <w:hideMark/>
          </w:tcPr>
          <w:p w14:paraId="735F3BD1" w14:textId="77777777" w:rsidR="005F240C" w:rsidRPr="005F240C" w:rsidRDefault="005F240C" w:rsidP="006F235A">
            <w:pPr>
              <w:spacing w:after="0"/>
              <w:jc w:val="center"/>
              <w:rPr>
                <w:rFonts w:eastAsia="Times New Roman" w:cs="Times New Roman"/>
                <w:b/>
                <w:bCs/>
                <w:color w:val="000000"/>
                <w:sz w:val="28"/>
                <w:szCs w:val="28"/>
              </w:rPr>
            </w:pPr>
            <w:r w:rsidRPr="005F240C">
              <w:rPr>
                <w:rFonts w:eastAsia="Times New Roman" w:cs="Times New Roman"/>
                <w:b/>
                <w:bCs/>
                <w:color w:val="000000"/>
                <w:sz w:val="28"/>
                <w:szCs w:val="28"/>
              </w:rPr>
              <w:t>Efficiency Ratios</w:t>
            </w:r>
          </w:p>
        </w:tc>
        <w:tc>
          <w:tcPr>
            <w:tcW w:w="1750" w:type="dxa"/>
            <w:tcBorders>
              <w:top w:val="single" w:sz="4" w:space="0" w:color="auto"/>
              <w:left w:val="single" w:sz="4" w:space="0" w:color="auto"/>
              <w:bottom w:val="single" w:sz="4" w:space="0" w:color="auto"/>
              <w:right w:val="single" w:sz="4" w:space="0" w:color="auto"/>
            </w:tcBorders>
            <w:vAlign w:val="center"/>
            <w:hideMark/>
          </w:tcPr>
          <w:p w14:paraId="2786B0DF" w14:textId="77777777" w:rsidR="005F240C" w:rsidRPr="005F240C" w:rsidRDefault="005F240C" w:rsidP="006F235A">
            <w:pPr>
              <w:spacing w:after="0"/>
              <w:jc w:val="center"/>
              <w:rPr>
                <w:rFonts w:eastAsia="Times New Roman" w:cs="Times New Roman"/>
                <w:b/>
                <w:bCs/>
                <w:color w:val="000000"/>
                <w:sz w:val="22"/>
              </w:rPr>
            </w:pPr>
            <w:r w:rsidRPr="005F240C">
              <w:rPr>
                <w:rFonts w:eastAsia="Times New Roman" w:cs="Times New Roman"/>
                <w:b/>
                <w:bCs/>
                <w:color w:val="000000"/>
                <w:sz w:val="22"/>
              </w:rPr>
              <w:t> </w:t>
            </w:r>
          </w:p>
        </w:tc>
        <w:tc>
          <w:tcPr>
            <w:tcW w:w="1854" w:type="dxa"/>
            <w:tcBorders>
              <w:top w:val="single" w:sz="4" w:space="0" w:color="auto"/>
              <w:left w:val="single" w:sz="4" w:space="0" w:color="auto"/>
              <w:bottom w:val="single" w:sz="4" w:space="0" w:color="auto"/>
              <w:right w:val="single" w:sz="4" w:space="0" w:color="auto"/>
            </w:tcBorders>
            <w:vAlign w:val="center"/>
            <w:hideMark/>
          </w:tcPr>
          <w:p w14:paraId="753C1CDF"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 </w:t>
            </w:r>
          </w:p>
        </w:tc>
        <w:tc>
          <w:tcPr>
            <w:tcW w:w="1075" w:type="dxa"/>
            <w:tcBorders>
              <w:top w:val="single" w:sz="4" w:space="0" w:color="8EA9DB"/>
              <w:left w:val="single" w:sz="4" w:space="0" w:color="auto"/>
              <w:bottom w:val="single" w:sz="4" w:space="0" w:color="auto"/>
              <w:right w:val="single" w:sz="4" w:space="0" w:color="auto"/>
            </w:tcBorders>
            <w:vAlign w:val="center"/>
            <w:hideMark/>
          </w:tcPr>
          <w:p w14:paraId="1E2C8A41"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FY2026</w:t>
            </w:r>
          </w:p>
        </w:tc>
        <w:tc>
          <w:tcPr>
            <w:tcW w:w="1855" w:type="dxa"/>
            <w:tcBorders>
              <w:top w:val="single" w:sz="4" w:space="0" w:color="auto"/>
              <w:left w:val="single" w:sz="4" w:space="0" w:color="auto"/>
              <w:bottom w:val="single" w:sz="4" w:space="0" w:color="auto"/>
              <w:right w:val="single" w:sz="4" w:space="0" w:color="auto"/>
            </w:tcBorders>
            <w:vAlign w:val="center"/>
            <w:hideMark/>
          </w:tcPr>
          <w:p w14:paraId="2DC0A12D"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 </w:t>
            </w:r>
          </w:p>
        </w:tc>
        <w:tc>
          <w:tcPr>
            <w:tcW w:w="1075" w:type="dxa"/>
            <w:tcBorders>
              <w:top w:val="single" w:sz="4" w:space="0" w:color="8EA9DB"/>
              <w:left w:val="single" w:sz="4" w:space="0" w:color="auto"/>
              <w:bottom w:val="single" w:sz="4" w:space="0" w:color="auto"/>
              <w:right w:val="single" w:sz="4" w:space="0" w:color="auto"/>
            </w:tcBorders>
            <w:vAlign w:val="center"/>
            <w:hideMark/>
          </w:tcPr>
          <w:p w14:paraId="51F412B7"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FY2025</w:t>
            </w:r>
          </w:p>
        </w:tc>
      </w:tr>
      <w:tr w:rsidR="005F240C" w:rsidRPr="005F240C" w14:paraId="7422F848" w14:textId="77777777" w:rsidTr="005F240C">
        <w:trPr>
          <w:trHeight w:val="831"/>
        </w:trPr>
        <w:tc>
          <w:tcPr>
            <w:tcW w:w="2708"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69D9F92B" w14:textId="77777777" w:rsidR="005F240C" w:rsidRPr="005F240C" w:rsidRDefault="005F240C" w:rsidP="006F235A">
            <w:pPr>
              <w:spacing w:after="0"/>
              <w:jc w:val="left"/>
              <w:rPr>
                <w:rFonts w:eastAsia="Times New Roman" w:cs="Times New Roman"/>
                <w:b/>
                <w:bCs/>
                <w:color w:val="000000"/>
                <w:sz w:val="22"/>
              </w:rPr>
            </w:pPr>
            <w:r w:rsidRPr="005F240C">
              <w:rPr>
                <w:rFonts w:eastAsia="Times New Roman" w:cs="Times New Roman"/>
                <w:b/>
                <w:bCs/>
                <w:color w:val="000000"/>
                <w:sz w:val="22"/>
              </w:rPr>
              <w:t>Inventory Turnover (times)</w:t>
            </w:r>
          </w:p>
        </w:tc>
        <w:tc>
          <w:tcPr>
            <w:tcW w:w="1750"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6A38CED8" w14:textId="77777777" w:rsidR="005F240C" w:rsidRPr="005F240C" w:rsidRDefault="005F240C" w:rsidP="006F235A">
            <w:pPr>
              <w:spacing w:after="0"/>
              <w:jc w:val="left"/>
              <w:rPr>
                <w:rFonts w:eastAsia="Times New Roman" w:cs="Times New Roman"/>
                <w:color w:val="000000"/>
                <w:sz w:val="22"/>
              </w:rPr>
            </w:pPr>
            <w:r w:rsidRPr="005F240C">
              <w:rPr>
                <w:rFonts w:eastAsia="Times New Roman" w:cs="Times New Roman"/>
                <w:color w:val="000000"/>
                <w:sz w:val="22"/>
              </w:rPr>
              <w:t>Cost of Sales / Average Inventory</w:t>
            </w:r>
          </w:p>
        </w:tc>
        <w:tc>
          <w:tcPr>
            <w:tcW w:w="1854"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206427B6"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68,174 / ((2,840 + 2,768)/2)</w:t>
            </w:r>
          </w:p>
        </w:tc>
        <w:tc>
          <w:tcPr>
            <w:tcW w:w="107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3D543288"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24.31</w:t>
            </w:r>
          </w:p>
        </w:tc>
        <w:tc>
          <w:tcPr>
            <w:tcW w:w="185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622354D6"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64,865 / 2,768</w:t>
            </w:r>
          </w:p>
        </w:tc>
        <w:tc>
          <w:tcPr>
            <w:tcW w:w="107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007A6FE3"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23.43</w:t>
            </w:r>
          </w:p>
        </w:tc>
      </w:tr>
      <w:tr w:rsidR="005F240C" w:rsidRPr="005F240C" w14:paraId="3C368858" w14:textId="77777777" w:rsidTr="005F240C">
        <w:trPr>
          <w:trHeight w:val="831"/>
        </w:trPr>
        <w:tc>
          <w:tcPr>
            <w:tcW w:w="2708" w:type="dxa"/>
            <w:tcBorders>
              <w:top w:val="single" w:sz="4" w:space="0" w:color="auto"/>
              <w:left w:val="single" w:sz="4" w:space="0" w:color="auto"/>
              <w:bottom w:val="single" w:sz="4" w:space="0" w:color="auto"/>
              <w:right w:val="single" w:sz="4" w:space="0" w:color="auto"/>
            </w:tcBorders>
            <w:vAlign w:val="center"/>
            <w:hideMark/>
          </w:tcPr>
          <w:p w14:paraId="7C9BD16C" w14:textId="77777777" w:rsidR="005F240C" w:rsidRPr="005F240C" w:rsidRDefault="005F240C" w:rsidP="006F235A">
            <w:pPr>
              <w:spacing w:after="0"/>
              <w:jc w:val="left"/>
              <w:rPr>
                <w:rFonts w:eastAsia="Times New Roman" w:cs="Times New Roman"/>
                <w:b/>
                <w:bCs/>
                <w:color w:val="000000"/>
                <w:sz w:val="22"/>
              </w:rPr>
            </w:pPr>
            <w:r w:rsidRPr="005F240C">
              <w:rPr>
                <w:rFonts w:eastAsia="Times New Roman" w:cs="Times New Roman"/>
                <w:b/>
                <w:bCs/>
                <w:color w:val="000000"/>
                <w:sz w:val="22"/>
              </w:rPr>
              <w:t>Receivable Days</w:t>
            </w:r>
          </w:p>
        </w:tc>
        <w:tc>
          <w:tcPr>
            <w:tcW w:w="1750" w:type="dxa"/>
            <w:tcBorders>
              <w:top w:val="single" w:sz="4" w:space="0" w:color="auto"/>
              <w:left w:val="single" w:sz="4" w:space="0" w:color="auto"/>
              <w:bottom w:val="single" w:sz="4" w:space="0" w:color="auto"/>
              <w:right w:val="single" w:sz="4" w:space="0" w:color="auto"/>
            </w:tcBorders>
            <w:vAlign w:val="center"/>
            <w:hideMark/>
          </w:tcPr>
          <w:p w14:paraId="00BE1DF0" w14:textId="77777777" w:rsidR="005F240C" w:rsidRPr="005F240C" w:rsidRDefault="005F240C" w:rsidP="006F235A">
            <w:pPr>
              <w:spacing w:after="0"/>
              <w:jc w:val="left"/>
              <w:rPr>
                <w:rFonts w:eastAsia="Times New Roman" w:cs="Times New Roman"/>
                <w:color w:val="000000"/>
                <w:sz w:val="22"/>
              </w:rPr>
            </w:pPr>
            <w:r w:rsidRPr="005F240C">
              <w:rPr>
                <w:rFonts w:eastAsia="Times New Roman" w:cs="Times New Roman"/>
                <w:color w:val="000000"/>
                <w:sz w:val="22"/>
              </w:rPr>
              <w:t>Trade Receivables / Revenue * 365</w:t>
            </w:r>
          </w:p>
        </w:tc>
        <w:tc>
          <w:tcPr>
            <w:tcW w:w="1854" w:type="dxa"/>
            <w:tcBorders>
              <w:top w:val="single" w:sz="4" w:space="0" w:color="auto"/>
              <w:left w:val="single" w:sz="4" w:space="0" w:color="auto"/>
              <w:bottom w:val="single" w:sz="4" w:space="0" w:color="auto"/>
              <w:right w:val="single" w:sz="4" w:space="0" w:color="auto"/>
            </w:tcBorders>
            <w:vAlign w:val="center"/>
            <w:hideMark/>
          </w:tcPr>
          <w:p w14:paraId="188F43DA"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1,755 / 73,712 * 365</w:t>
            </w:r>
          </w:p>
        </w:tc>
        <w:tc>
          <w:tcPr>
            <w:tcW w:w="1075" w:type="dxa"/>
            <w:tcBorders>
              <w:top w:val="single" w:sz="4" w:space="0" w:color="auto"/>
              <w:left w:val="single" w:sz="4" w:space="0" w:color="auto"/>
              <w:bottom w:val="single" w:sz="4" w:space="0" w:color="auto"/>
              <w:right w:val="single" w:sz="4" w:space="0" w:color="auto"/>
            </w:tcBorders>
            <w:vAlign w:val="center"/>
            <w:hideMark/>
          </w:tcPr>
          <w:p w14:paraId="4B2AB67F"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8.69</w:t>
            </w:r>
          </w:p>
        </w:tc>
        <w:tc>
          <w:tcPr>
            <w:tcW w:w="1855" w:type="dxa"/>
            <w:tcBorders>
              <w:top w:val="single" w:sz="4" w:space="0" w:color="auto"/>
              <w:left w:val="single" w:sz="4" w:space="0" w:color="auto"/>
              <w:bottom w:val="single" w:sz="4" w:space="0" w:color="auto"/>
              <w:right w:val="single" w:sz="4" w:space="0" w:color="auto"/>
            </w:tcBorders>
            <w:vAlign w:val="center"/>
            <w:hideMark/>
          </w:tcPr>
          <w:p w14:paraId="40A8033C"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1,692 / 69,916 * 365</w:t>
            </w:r>
          </w:p>
        </w:tc>
        <w:tc>
          <w:tcPr>
            <w:tcW w:w="1075" w:type="dxa"/>
            <w:tcBorders>
              <w:top w:val="single" w:sz="4" w:space="0" w:color="auto"/>
              <w:left w:val="single" w:sz="4" w:space="0" w:color="auto"/>
              <w:bottom w:val="single" w:sz="4" w:space="0" w:color="auto"/>
              <w:right w:val="single" w:sz="4" w:space="0" w:color="auto"/>
            </w:tcBorders>
            <w:vAlign w:val="center"/>
            <w:hideMark/>
          </w:tcPr>
          <w:p w14:paraId="0890F5E8"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8.83</w:t>
            </w:r>
          </w:p>
        </w:tc>
      </w:tr>
      <w:tr w:rsidR="005F240C" w:rsidRPr="005F240C" w14:paraId="09687354" w14:textId="77777777" w:rsidTr="005F240C">
        <w:trPr>
          <w:trHeight w:val="831"/>
        </w:trPr>
        <w:tc>
          <w:tcPr>
            <w:tcW w:w="2708"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13196140" w14:textId="77777777" w:rsidR="005F240C" w:rsidRPr="005F240C" w:rsidRDefault="005F240C" w:rsidP="006F235A">
            <w:pPr>
              <w:spacing w:after="0"/>
              <w:jc w:val="left"/>
              <w:rPr>
                <w:rFonts w:eastAsia="Times New Roman" w:cs="Times New Roman"/>
                <w:b/>
                <w:bCs/>
                <w:color w:val="000000"/>
                <w:sz w:val="22"/>
              </w:rPr>
            </w:pPr>
            <w:r w:rsidRPr="005F240C">
              <w:rPr>
                <w:rFonts w:eastAsia="Times New Roman" w:cs="Times New Roman"/>
                <w:b/>
                <w:bCs/>
                <w:color w:val="000000"/>
                <w:sz w:val="22"/>
              </w:rPr>
              <w:t>Payable Days</w:t>
            </w:r>
          </w:p>
        </w:tc>
        <w:tc>
          <w:tcPr>
            <w:tcW w:w="1750"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4FB4A074" w14:textId="77777777" w:rsidR="005F240C" w:rsidRPr="005F240C" w:rsidRDefault="005F240C" w:rsidP="006F235A">
            <w:pPr>
              <w:spacing w:after="0"/>
              <w:jc w:val="left"/>
              <w:rPr>
                <w:rFonts w:eastAsia="Times New Roman" w:cs="Times New Roman"/>
                <w:color w:val="000000"/>
                <w:sz w:val="22"/>
              </w:rPr>
            </w:pPr>
            <w:r w:rsidRPr="005F240C">
              <w:rPr>
                <w:rFonts w:eastAsia="Times New Roman" w:cs="Times New Roman"/>
                <w:color w:val="000000"/>
                <w:sz w:val="22"/>
              </w:rPr>
              <w:t>Trade Payables / Cost of Sales * 365</w:t>
            </w:r>
          </w:p>
        </w:tc>
        <w:tc>
          <w:tcPr>
            <w:tcW w:w="1854"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5F7C5190"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10,874 / 68,174 * 365</w:t>
            </w:r>
          </w:p>
        </w:tc>
        <w:tc>
          <w:tcPr>
            <w:tcW w:w="107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3F51EFD5"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58.22</w:t>
            </w:r>
          </w:p>
        </w:tc>
        <w:tc>
          <w:tcPr>
            <w:tcW w:w="185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456A9525"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10,452 / 64,865 * 365</w:t>
            </w:r>
          </w:p>
        </w:tc>
        <w:tc>
          <w:tcPr>
            <w:tcW w:w="107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24E89352"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58.81</w:t>
            </w:r>
          </w:p>
        </w:tc>
      </w:tr>
      <w:tr w:rsidR="005F240C" w:rsidRPr="005F240C" w14:paraId="78778F00" w14:textId="77777777" w:rsidTr="005F240C">
        <w:trPr>
          <w:trHeight w:val="554"/>
        </w:trPr>
        <w:tc>
          <w:tcPr>
            <w:tcW w:w="2708" w:type="dxa"/>
            <w:tcBorders>
              <w:top w:val="single" w:sz="4" w:space="0" w:color="auto"/>
              <w:left w:val="single" w:sz="4" w:space="0" w:color="auto"/>
              <w:bottom w:val="single" w:sz="4" w:space="0" w:color="auto"/>
              <w:right w:val="single" w:sz="4" w:space="0" w:color="auto"/>
            </w:tcBorders>
            <w:vAlign w:val="center"/>
            <w:hideMark/>
          </w:tcPr>
          <w:p w14:paraId="071D1C62" w14:textId="77777777" w:rsidR="005F240C" w:rsidRPr="005F240C" w:rsidRDefault="005F240C" w:rsidP="006F235A">
            <w:pPr>
              <w:spacing w:after="0"/>
              <w:jc w:val="left"/>
              <w:rPr>
                <w:rFonts w:eastAsia="Times New Roman" w:cs="Times New Roman"/>
                <w:b/>
                <w:bCs/>
                <w:color w:val="000000"/>
                <w:sz w:val="22"/>
              </w:rPr>
            </w:pPr>
            <w:r w:rsidRPr="005F240C">
              <w:rPr>
                <w:rFonts w:eastAsia="Times New Roman" w:cs="Times New Roman"/>
                <w:b/>
                <w:bCs/>
                <w:color w:val="000000"/>
                <w:sz w:val="22"/>
              </w:rPr>
              <w:t>Asset Turnover (times)</w:t>
            </w:r>
          </w:p>
        </w:tc>
        <w:tc>
          <w:tcPr>
            <w:tcW w:w="1750" w:type="dxa"/>
            <w:tcBorders>
              <w:top w:val="single" w:sz="4" w:space="0" w:color="auto"/>
              <w:left w:val="single" w:sz="4" w:space="0" w:color="auto"/>
              <w:bottom w:val="single" w:sz="4" w:space="0" w:color="auto"/>
              <w:right w:val="single" w:sz="4" w:space="0" w:color="auto"/>
            </w:tcBorders>
            <w:vAlign w:val="center"/>
            <w:hideMark/>
          </w:tcPr>
          <w:p w14:paraId="02D69E4B" w14:textId="77777777" w:rsidR="005F240C" w:rsidRPr="005F240C" w:rsidRDefault="005F240C" w:rsidP="006F235A">
            <w:pPr>
              <w:spacing w:after="0"/>
              <w:jc w:val="left"/>
              <w:rPr>
                <w:rFonts w:eastAsia="Times New Roman" w:cs="Times New Roman"/>
                <w:color w:val="000000"/>
                <w:sz w:val="22"/>
              </w:rPr>
            </w:pPr>
            <w:r w:rsidRPr="005F240C">
              <w:rPr>
                <w:rFonts w:eastAsia="Times New Roman" w:cs="Times New Roman"/>
                <w:color w:val="000000"/>
                <w:sz w:val="22"/>
              </w:rPr>
              <w:t>Revenue / Total Assets</w:t>
            </w:r>
          </w:p>
        </w:tc>
        <w:tc>
          <w:tcPr>
            <w:tcW w:w="1854" w:type="dxa"/>
            <w:tcBorders>
              <w:top w:val="single" w:sz="4" w:space="0" w:color="auto"/>
              <w:left w:val="single" w:sz="4" w:space="0" w:color="auto"/>
              <w:bottom w:val="single" w:sz="4" w:space="0" w:color="auto"/>
              <w:right w:val="single" w:sz="4" w:space="0" w:color="auto"/>
            </w:tcBorders>
            <w:vAlign w:val="center"/>
            <w:hideMark/>
          </w:tcPr>
          <w:p w14:paraId="7E8349AE"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73,712 / 39,474</w:t>
            </w:r>
          </w:p>
        </w:tc>
        <w:tc>
          <w:tcPr>
            <w:tcW w:w="1075" w:type="dxa"/>
            <w:tcBorders>
              <w:top w:val="single" w:sz="4" w:space="0" w:color="auto"/>
              <w:left w:val="single" w:sz="4" w:space="0" w:color="auto"/>
              <w:bottom w:val="single" w:sz="4" w:space="0" w:color="auto"/>
              <w:right w:val="single" w:sz="4" w:space="0" w:color="auto"/>
            </w:tcBorders>
            <w:vAlign w:val="center"/>
            <w:hideMark/>
          </w:tcPr>
          <w:p w14:paraId="0DAE9F63"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1.87</w:t>
            </w:r>
          </w:p>
        </w:tc>
        <w:tc>
          <w:tcPr>
            <w:tcW w:w="1855" w:type="dxa"/>
            <w:tcBorders>
              <w:top w:val="single" w:sz="4" w:space="0" w:color="auto"/>
              <w:left w:val="single" w:sz="4" w:space="0" w:color="auto"/>
              <w:bottom w:val="single" w:sz="4" w:space="0" w:color="auto"/>
              <w:right w:val="single" w:sz="4" w:space="0" w:color="auto"/>
            </w:tcBorders>
            <w:vAlign w:val="center"/>
            <w:hideMark/>
          </w:tcPr>
          <w:p w14:paraId="7F25573A"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69,916 / 38,890</w:t>
            </w:r>
          </w:p>
        </w:tc>
        <w:tc>
          <w:tcPr>
            <w:tcW w:w="1075" w:type="dxa"/>
            <w:tcBorders>
              <w:top w:val="single" w:sz="4" w:space="0" w:color="auto"/>
              <w:left w:val="single" w:sz="4" w:space="0" w:color="auto"/>
              <w:bottom w:val="single" w:sz="4" w:space="0" w:color="auto"/>
              <w:right w:val="single" w:sz="4" w:space="0" w:color="auto"/>
            </w:tcBorders>
            <w:vAlign w:val="center"/>
            <w:hideMark/>
          </w:tcPr>
          <w:p w14:paraId="56904A19"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1.80</w:t>
            </w:r>
          </w:p>
        </w:tc>
      </w:tr>
      <w:tr w:rsidR="005F240C" w:rsidRPr="005F240C" w14:paraId="01E1A40C" w14:textId="77777777" w:rsidTr="005F240C">
        <w:trPr>
          <w:trHeight w:val="614"/>
        </w:trPr>
        <w:tc>
          <w:tcPr>
            <w:tcW w:w="270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DB5DEC0" w14:textId="77777777" w:rsidR="005F240C" w:rsidRPr="005F240C" w:rsidRDefault="005F240C" w:rsidP="006F235A">
            <w:pPr>
              <w:spacing w:after="0"/>
              <w:jc w:val="left"/>
              <w:rPr>
                <w:rFonts w:eastAsia="Times New Roman" w:cs="Times New Roman"/>
                <w:b/>
                <w:bCs/>
                <w:color w:val="000000"/>
                <w:sz w:val="28"/>
                <w:szCs w:val="28"/>
              </w:rPr>
            </w:pPr>
            <w:r w:rsidRPr="005F240C">
              <w:rPr>
                <w:rFonts w:eastAsia="Times New Roman" w:cs="Times New Roman"/>
                <w:b/>
                <w:bCs/>
                <w:color w:val="000000"/>
                <w:sz w:val="28"/>
                <w:szCs w:val="28"/>
              </w:rPr>
              <w:t>Gearing / Solvency Ratios</w:t>
            </w:r>
          </w:p>
        </w:tc>
        <w:tc>
          <w:tcPr>
            <w:tcW w:w="1750"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652F2704" w14:textId="77777777" w:rsidR="005F240C" w:rsidRPr="005F240C" w:rsidRDefault="005F240C" w:rsidP="006F235A">
            <w:pPr>
              <w:spacing w:after="0"/>
              <w:jc w:val="center"/>
              <w:rPr>
                <w:rFonts w:eastAsia="Times New Roman" w:cs="Times New Roman"/>
                <w:b/>
                <w:bCs/>
                <w:color w:val="000000"/>
                <w:sz w:val="22"/>
              </w:rPr>
            </w:pPr>
            <w:r w:rsidRPr="005F240C">
              <w:rPr>
                <w:rFonts w:eastAsia="Times New Roman" w:cs="Times New Roman"/>
                <w:b/>
                <w:bCs/>
                <w:color w:val="000000"/>
                <w:sz w:val="22"/>
              </w:rPr>
              <w:t> </w:t>
            </w:r>
          </w:p>
        </w:tc>
        <w:tc>
          <w:tcPr>
            <w:tcW w:w="1854"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5CF8B84A"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 </w:t>
            </w:r>
          </w:p>
        </w:tc>
        <w:tc>
          <w:tcPr>
            <w:tcW w:w="1075" w:type="dxa"/>
            <w:tcBorders>
              <w:top w:val="single" w:sz="4" w:space="0" w:color="8EA9DB"/>
              <w:left w:val="single" w:sz="4" w:space="0" w:color="auto"/>
              <w:bottom w:val="single" w:sz="4" w:space="0" w:color="auto"/>
              <w:right w:val="single" w:sz="4" w:space="0" w:color="auto"/>
            </w:tcBorders>
            <w:shd w:val="clear" w:color="D9E1F2" w:fill="D9E1F2"/>
            <w:vAlign w:val="center"/>
            <w:hideMark/>
          </w:tcPr>
          <w:p w14:paraId="4CC2E80B"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FY2026</w:t>
            </w:r>
          </w:p>
        </w:tc>
        <w:tc>
          <w:tcPr>
            <w:tcW w:w="185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6C4CBCD1"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 </w:t>
            </w:r>
          </w:p>
        </w:tc>
        <w:tc>
          <w:tcPr>
            <w:tcW w:w="1075" w:type="dxa"/>
            <w:tcBorders>
              <w:top w:val="single" w:sz="4" w:space="0" w:color="8EA9DB"/>
              <w:left w:val="single" w:sz="4" w:space="0" w:color="auto"/>
              <w:bottom w:val="single" w:sz="4" w:space="0" w:color="auto"/>
              <w:right w:val="single" w:sz="4" w:space="0" w:color="auto"/>
            </w:tcBorders>
            <w:shd w:val="clear" w:color="D9E1F2" w:fill="D9E1F2"/>
            <w:vAlign w:val="center"/>
            <w:hideMark/>
          </w:tcPr>
          <w:p w14:paraId="56F4A16D"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FY2025</w:t>
            </w:r>
          </w:p>
        </w:tc>
      </w:tr>
      <w:tr w:rsidR="005F240C" w:rsidRPr="005F240C" w14:paraId="69B0817C" w14:textId="77777777" w:rsidTr="005F240C">
        <w:trPr>
          <w:trHeight w:val="831"/>
        </w:trPr>
        <w:tc>
          <w:tcPr>
            <w:tcW w:w="2708" w:type="dxa"/>
            <w:tcBorders>
              <w:top w:val="single" w:sz="4" w:space="0" w:color="auto"/>
              <w:left w:val="single" w:sz="4" w:space="0" w:color="auto"/>
              <w:bottom w:val="single" w:sz="4" w:space="0" w:color="auto"/>
              <w:right w:val="single" w:sz="4" w:space="0" w:color="auto"/>
            </w:tcBorders>
            <w:vAlign w:val="center"/>
            <w:hideMark/>
          </w:tcPr>
          <w:p w14:paraId="485F24D8" w14:textId="77777777" w:rsidR="005F240C" w:rsidRPr="005F240C" w:rsidRDefault="005F240C" w:rsidP="006F235A">
            <w:pPr>
              <w:spacing w:after="0"/>
              <w:jc w:val="left"/>
              <w:rPr>
                <w:rFonts w:eastAsia="Times New Roman" w:cs="Times New Roman"/>
                <w:b/>
                <w:bCs/>
                <w:color w:val="000000"/>
                <w:sz w:val="22"/>
              </w:rPr>
            </w:pPr>
            <w:r w:rsidRPr="005F240C">
              <w:rPr>
                <w:rFonts w:eastAsia="Times New Roman" w:cs="Times New Roman"/>
                <w:b/>
                <w:bCs/>
                <w:color w:val="000000"/>
                <w:sz w:val="22"/>
              </w:rPr>
              <w:t>Debt-to-Equity Ratio</w:t>
            </w:r>
          </w:p>
        </w:tc>
        <w:tc>
          <w:tcPr>
            <w:tcW w:w="1750" w:type="dxa"/>
            <w:tcBorders>
              <w:top w:val="single" w:sz="4" w:space="0" w:color="auto"/>
              <w:left w:val="single" w:sz="4" w:space="0" w:color="auto"/>
              <w:bottom w:val="single" w:sz="4" w:space="0" w:color="auto"/>
              <w:right w:val="single" w:sz="4" w:space="0" w:color="auto"/>
            </w:tcBorders>
            <w:vAlign w:val="center"/>
            <w:hideMark/>
          </w:tcPr>
          <w:p w14:paraId="05154D10" w14:textId="77777777" w:rsidR="005F240C" w:rsidRPr="005F240C" w:rsidRDefault="005F240C" w:rsidP="006F235A">
            <w:pPr>
              <w:spacing w:after="0"/>
              <w:jc w:val="left"/>
              <w:rPr>
                <w:rFonts w:eastAsia="Times New Roman" w:cs="Times New Roman"/>
                <w:color w:val="000000"/>
                <w:sz w:val="22"/>
              </w:rPr>
            </w:pPr>
            <w:r w:rsidRPr="005F240C">
              <w:rPr>
                <w:rFonts w:eastAsia="Times New Roman" w:cs="Times New Roman"/>
                <w:color w:val="000000"/>
                <w:sz w:val="22"/>
              </w:rPr>
              <w:t>Total Debt / Shareholders' Equity</w:t>
            </w:r>
          </w:p>
        </w:tc>
        <w:tc>
          <w:tcPr>
            <w:tcW w:w="1854" w:type="dxa"/>
            <w:tcBorders>
              <w:top w:val="single" w:sz="4" w:space="0" w:color="auto"/>
              <w:left w:val="single" w:sz="4" w:space="0" w:color="auto"/>
              <w:bottom w:val="single" w:sz="4" w:space="0" w:color="auto"/>
              <w:right w:val="single" w:sz="4" w:space="0" w:color="auto"/>
            </w:tcBorders>
            <w:vAlign w:val="center"/>
            <w:hideMark/>
          </w:tcPr>
          <w:p w14:paraId="1D3A1A15"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15,080 / 11,457</w:t>
            </w:r>
          </w:p>
        </w:tc>
        <w:tc>
          <w:tcPr>
            <w:tcW w:w="1075" w:type="dxa"/>
            <w:tcBorders>
              <w:top w:val="single" w:sz="4" w:space="0" w:color="auto"/>
              <w:left w:val="single" w:sz="4" w:space="0" w:color="auto"/>
              <w:bottom w:val="single" w:sz="4" w:space="0" w:color="auto"/>
              <w:right w:val="single" w:sz="4" w:space="0" w:color="auto"/>
            </w:tcBorders>
            <w:vAlign w:val="center"/>
            <w:hideMark/>
          </w:tcPr>
          <w:p w14:paraId="5907651B"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1.32</w:t>
            </w:r>
          </w:p>
        </w:tc>
        <w:tc>
          <w:tcPr>
            <w:tcW w:w="1855" w:type="dxa"/>
            <w:tcBorders>
              <w:top w:val="single" w:sz="4" w:space="0" w:color="auto"/>
              <w:left w:val="single" w:sz="4" w:space="0" w:color="auto"/>
              <w:bottom w:val="single" w:sz="4" w:space="0" w:color="auto"/>
              <w:right w:val="single" w:sz="4" w:space="0" w:color="auto"/>
            </w:tcBorders>
            <w:vAlign w:val="center"/>
            <w:hideMark/>
          </w:tcPr>
          <w:p w14:paraId="0BBE8F9C"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14,666 / 11,662</w:t>
            </w:r>
          </w:p>
        </w:tc>
        <w:tc>
          <w:tcPr>
            <w:tcW w:w="1075" w:type="dxa"/>
            <w:tcBorders>
              <w:top w:val="single" w:sz="4" w:space="0" w:color="auto"/>
              <w:left w:val="single" w:sz="4" w:space="0" w:color="auto"/>
              <w:bottom w:val="single" w:sz="4" w:space="0" w:color="auto"/>
              <w:right w:val="single" w:sz="4" w:space="0" w:color="auto"/>
            </w:tcBorders>
            <w:vAlign w:val="center"/>
            <w:hideMark/>
          </w:tcPr>
          <w:p w14:paraId="2897FC23"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1.26</w:t>
            </w:r>
          </w:p>
        </w:tc>
      </w:tr>
      <w:tr w:rsidR="005F240C" w:rsidRPr="005F240C" w14:paraId="548D5F1E" w14:textId="77777777" w:rsidTr="005F240C">
        <w:trPr>
          <w:trHeight w:val="554"/>
        </w:trPr>
        <w:tc>
          <w:tcPr>
            <w:tcW w:w="2708"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336469C9" w14:textId="77777777" w:rsidR="005F240C" w:rsidRPr="005F240C" w:rsidRDefault="005F240C" w:rsidP="006F235A">
            <w:pPr>
              <w:spacing w:after="0"/>
              <w:jc w:val="left"/>
              <w:rPr>
                <w:rFonts w:eastAsia="Times New Roman" w:cs="Times New Roman"/>
                <w:b/>
                <w:bCs/>
                <w:color w:val="000000"/>
                <w:sz w:val="22"/>
              </w:rPr>
            </w:pPr>
            <w:r w:rsidRPr="005F240C">
              <w:rPr>
                <w:rFonts w:eastAsia="Times New Roman" w:cs="Times New Roman"/>
                <w:b/>
                <w:bCs/>
                <w:color w:val="000000"/>
                <w:sz w:val="22"/>
              </w:rPr>
              <w:t>Debt Ratio</w:t>
            </w:r>
          </w:p>
        </w:tc>
        <w:tc>
          <w:tcPr>
            <w:tcW w:w="1750"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2E3B0189" w14:textId="77777777" w:rsidR="005F240C" w:rsidRPr="005F240C" w:rsidRDefault="005F240C" w:rsidP="006F235A">
            <w:pPr>
              <w:spacing w:after="0"/>
              <w:jc w:val="left"/>
              <w:rPr>
                <w:rFonts w:eastAsia="Times New Roman" w:cs="Times New Roman"/>
                <w:color w:val="000000"/>
                <w:sz w:val="22"/>
              </w:rPr>
            </w:pPr>
            <w:r w:rsidRPr="005F240C">
              <w:rPr>
                <w:rFonts w:eastAsia="Times New Roman" w:cs="Times New Roman"/>
                <w:color w:val="000000"/>
                <w:sz w:val="22"/>
              </w:rPr>
              <w:t>Total Liabilities / Total Assets</w:t>
            </w:r>
          </w:p>
        </w:tc>
        <w:tc>
          <w:tcPr>
            <w:tcW w:w="1854"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28B6C37B"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28,017 / 39,474</w:t>
            </w:r>
          </w:p>
        </w:tc>
        <w:tc>
          <w:tcPr>
            <w:tcW w:w="107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06760FF1"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70.98%</w:t>
            </w:r>
          </w:p>
        </w:tc>
        <w:tc>
          <w:tcPr>
            <w:tcW w:w="185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7A4E4440"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27,228 / 38,890</w:t>
            </w:r>
          </w:p>
        </w:tc>
        <w:tc>
          <w:tcPr>
            <w:tcW w:w="1075"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279D31D4"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70.01%</w:t>
            </w:r>
          </w:p>
        </w:tc>
      </w:tr>
      <w:tr w:rsidR="005F240C" w:rsidRPr="005F240C" w14:paraId="04303056" w14:textId="77777777" w:rsidTr="005F240C">
        <w:trPr>
          <w:trHeight w:val="554"/>
        </w:trPr>
        <w:tc>
          <w:tcPr>
            <w:tcW w:w="2708" w:type="dxa"/>
            <w:tcBorders>
              <w:top w:val="single" w:sz="4" w:space="0" w:color="auto"/>
              <w:left w:val="single" w:sz="4" w:space="0" w:color="auto"/>
              <w:bottom w:val="single" w:sz="4" w:space="0" w:color="auto"/>
              <w:right w:val="single" w:sz="4" w:space="0" w:color="auto"/>
            </w:tcBorders>
            <w:vAlign w:val="center"/>
            <w:hideMark/>
          </w:tcPr>
          <w:p w14:paraId="4E86D837" w14:textId="77777777" w:rsidR="005F240C" w:rsidRPr="005F240C" w:rsidRDefault="005F240C" w:rsidP="006F235A">
            <w:pPr>
              <w:spacing w:after="0"/>
              <w:jc w:val="left"/>
              <w:rPr>
                <w:rFonts w:eastAsia="Times New Roman" w:cs="Times New Roman"/>
                <w:b/>
                <w:bCs/>
                <w:color w:val="000000"/>
                <w:sz w:val="22"/>
              </w:rPr>
            </w:pPr>
            <w:r w:rsidRPr="005F240C">
              <w:rPr>
                <w:rFonts w:eastAsia="Times New Roman" w:cs="Times New Roman"/>
                <w:b/>
                <w:bCs/>
                <w:color w:val="000000"/>
                <w:sz w:val="22"/>
              </w:rPr>
              <w:t>Interest Coverage Ratio</w:t>
            </w:r>
          </w:p>
        </w:tc>
        <w:tc>
          <w:tcPr>
            <w:tcW w:w="1750" w:type="dxa"/>
            <w:tcBorders>
              <w:top w:val="single" w:sz="4" w:space="0" w:color="auto"/>
              <w:left w:val="single" w:sz="4" w:space="0" w:color="auto"/>
              <w:bottom w:val="single" w:sz="4" w:space="0" w:color="auto"/>
              <w:right w:val="single" w:sz="4" w:space="0" w:color="auto"/>
            </w:tcBorders>
            <w:vAlign w:val="center"/>
            <w:hideMark/>
          </w:tcPr>
          <w:p w14:paraId="2621996A" w14:textId="77777777" w:rsidR="005F240C" w:rsidRPr="005F240C" w:rsidRDefault="005F240C" w:rsidP="006F235A">
            <w:pPr>
              <w:spacing w:after="0"/>
              <w:jc w:val="left"/>
              <w:rPr>
                <w:rFonts w:eastAsia="Times New Roman" w:cs="Times New Roman"/>
                <w:color w:val="000000"/>
                <w:sz w:val="22"/>
              </w:rPr>
            </w:pPr>
            <w:r w:rsidRPr="005F240C">
              <w:rPr>
                <w:rFonts w:eastAsia="Times New Roman" w:cs="Times New Roman"/>
                <w:color w:val="000000"/>
                <w:sz w:val="22"/>
              </w:rPr>
              <w:t>Operating Profit / Finance Costs</w:t>
            </w:r>
          </w:p>
        </w:tc>
        <w:tc>
          <w:tcPr>
            <w:tcW w:w="1854" w:type="dxa"/>
            <w:tcBorders>
              <w:top w:val="single" w:sz="4" w:space="0" w:color="auto"/>
              <w:left w:val="single" w:sz="4" w:space="0" w:color="auto"/>
              <w:bottom w:val="single" w:sz="4" w:space="0" w:color="auto"/>
              <w:right w:val="single" w:sz="4" w:space="0" w:color="auto"/>
            </w:tcBorders>
            <w:vAlign w:val="center"/>
            <w:hideMark/>
          </w:tcPr>
          <w:p w14:paraId="72072C68"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2,985 / 595</w:t>
            </w:r>
          </w:p>
        </w:tc>
        <w:tc>
          <w:tcPr>
            <w:tcW w:w="1075" w:type="dxa"/>
            <w:tcBorders>
              <w:top w:val="single" w:sz="4" w:space="0" w:color="auto"/>
              <w:left w:val="single" w:sz="4" w:space="0" w:color="auto"/>
              <w:bottom w:val="single" w:sz="4" w:space="0" w:color="auto"/>
              <w:right w:val="single" w:sz="4" w:space="0" w:color="auto"/>
            </w:tcBorders>
            <w:vAlign w:val="center"/>
            <w:hideMark/>
          </w:tcPr>
          <w:p w14:paraId="183F74C4"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5.02</w:t>
            </w:r>
          </w:p>
        </w:tc>
        <w:tc>
          <w:tcPr>
            <w:tcW w:w="1855" w:type="dxa"/>
            <w:tcBorders>
              <w:top w:val="single" w:sz="4" w:space="0" w:color="auto"/>
              <w:left w:val="single" w:sz="4" w:space="0" w:color="auto"/>
              <w:bottom w:val="single" w:sz="4" w:space="0" w:color="auto"/>
              <w:right w:val="single" w:sz="4" w:space="0" w:color="auto"/>
            </w:tcBorders>
            <w:vAlign w:val="center"/>
            <w:hideMark/>
          </w:tcPr>
          <w:p w14:paraId="556F34BB" w14:textId="77777777" w:rsidR="005F240C" w:rsidRPr="005F240C" w:rsidRDefault="005F240C" w:rsidP="006F235A">
            <w:pPr>
              <w:spacing w:after="0"/>
              <w:jc w:val="right"/>
              <w:rPr>
                <w:rFonts w:eastAsia="Times New Roman" w:cs="Times New Roman"/>
                <w:color w:val="000000"/>
                <w:sz w:val="22"/>
              </w:rPr>
            </w:pPr>
            <w:r w:rsidRPr="005F240C">
              <w:rPr>
                <w:rFonts w:eastAsia="Times New Roman" w:cs="Times New Roman"/>
                <w:color w:val="000000"/>
                <w:sz w:val="22"/>
              </w:rPr>
              <w:t>2,711 / 618</w:t>
            </w:r>
          </w:p>
        </w:tc>
        <w:tc>
          <w:tcPr>
            <w:tcW w:w="1075" w:type="dxa"/>
            <w:tcBorders>
              <w:top w:val="single" w:sz="4" w:space="0" w:color="auto"/>
              <w:left w:val="single" w:sz="4" w:space="0" w:color="auto"/>
              <w:bottom w:val="single" w:sz="4" w:space="0" w:color="auto"/>
              <w:right w:val="single" w:sz="4" w:space="0" w:color="auto"/>
            </w:tcBorders>
            <w:vAlign w:val="center"/>
            <w:hideMark/>
          </w:tcPr>
          <w:p w14:paraId="2646C63F" w14:textId="77777777" w:rsidR="005F240C" w:rsidRPr="005F240C" w:rsidRDefault="005F240C" w:rsidP="006F235A">
            <w:pPr>
              <w:spacing w:after="0"/>
              <w:jc w:val="right"/>
              <w:rPr>
                <w:rFonts w:eastAsia="Times New Roman" w:cs="Times New Roman"/>
                <w:b/>
                <w:bCs/>
                <w:color w:val="000000"/>
                <w:sz w:val="22"/>
              </w:rPr>
            </w:pPr>
            <w:r w:rsidRPr="005F240C">
              <w:rPr>
                <w:rFonts w:eastAsia="Times New Roman" w:cs="Times New Roman"/>
                <w:b/>
                <w:bCs/>
                <w:color w:val="000000"/>
                <w:sz w:val="22"/>
              </w:rPr>
              <w:t>4.39</w:t>
            </w:r>
          </w:p>
        </w:tc>
      </w:tr>
    </w:tbl>
    <w:p w14:paraId="241C3C1B" w14:textId="55FE691E" w:rsidR="005F240C" w:rsidRPr="005F240C" w:rsidRDefault="005F240C" w:rsidP="006F235A">
      <w:pPr>
        <w:jc w:val="center"/>
        <w:rPr>
          <w:b/>
          <w:bCs/>
        </w:rPr>
      </w:pPr>
      <w:r>
        <w:rPr>
          <w:b/>
          <w:bCs/>
        </w:rPr>
        <w:t>(</w:t>
      </w:r>
      <w:r>
        <w:t>Source: self-created</w:t>
      </w:r>
      <w:r>
        <w:rPr>
          <w:b/>
          <w:bCs/>
        </w:rPr>
        <w:t>)</w:t>
      </w:r>
    </w:p>
    <w:p w14:paraId="3DA7F357" w14:textId="77777777" w:rsidR="00474782" w:rsidRDefault="00474782" w:rsidP="006F235A">
      <w:pPr>
        <w:jc w:val="left"/>
      </w:pPr>
      <w:r>
        <w:br w:type="page"/>
      </w:r>
    </w:p>
    <w:p w14:paraId="4C7706DF" w14:textId="77777777" w:rsidR="00890D8A" w:rsidRDefault="00890D8A" w:rsidP="006F235A"/>
    <w:sectPr w:rsidR="00890D8A" w:rsidSect="000E638A">
      <w:footerReference w:type="default" r:id="rId14"/>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E0C0CB" w14:textId="77777777" w:rsidR="002C6440" w:rsidRDefault="002C6440" w:rsidP="000E638A">
      <w:pPr>
        <w:spacing w:after="0" w:line="240" w:lineRule="auto"/>
      </w:pPr>
      <w:r>
        <w:separator/>
      </w:r>
    </w:p>
  </w:endnote>
  <w:endnote w:type="continuationSeparator" w:id="0">
    <w:p w14:paraId="012DCA3B" w14:textId="77777777" w:rsidR="002C6440" w:rsidRDefault="002C6440" w:rsidP="000E63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4081616"/>
      <w:docPartObj>
        <w:docPartGallery w:val="Page Numbers (Bottom of Page)"/>
        <w:docPartUnique/>
      </w:docPartObj>
    </w:sdtPr>
    <w:sdtEndPr>
      <w:rPr>
        <w:noProof/>
      </w:rPr>
    </w:sdtEndPr>
    <w:sdtContent>
      <w:p w14:paraId="399452B9" w14:textId="5FD0A73B" w:rsidR="000E638A" w:rsidRDefault="000E63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B3EB75" w14:textId="77777777" w:rsidR="000E638A" w:rsidRDefault="000E63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8BE1B" w14:textId="77777777" w:rsidR="002C6440" w:rsidRDefault="002C6440" w:rsidP="000E638A">
      <w:pPr>
        <w:spacing w:after="0" w:line="240" w:lineRule="auto"/>
      </w:pPr>
      <w:r>
        <w:separator/>
      </w:r>
    </w:p>
  </w:footnote>
  <w:footnote w:type="continuationSeparator" w:id="0">
    <w:p w14:paraId="6B551414" w14:textId="77777777" w:rsidR="002C6440" w:rsidRDefault="002C6440" w:rsidP="000E63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782"/>
    <w:rsid w:val="000053D4"/>
    <w:rsid w:val="0005482F"/>
    <w:rsid w:val="000B1DFB"/>
    <w:rsid w:val="000E192C"/>
    <w:rsid w:val="000E638A"/>
    <w:rsid w:val="00110BF6"/>
    <w:rsid w:val="00181085"/>
    <w:rsid w:val="001F0553"/>
    <w:rsid w:val="002B1E6F"/>
    <w:rsid w:val="002C6440"/>
    <w:rsid w:val="00321FD4"/>
    <w:rsid w:val="00474782"/>
    <w:rsid w:val="005738C9"/>
    <w:rsid w:val="005E7B67"/>
    <w:rsid w:val="005F240C"/>
    <w:rsid w:val="006F235A"/>
    <w:rsid w:val="00822631"/>
    <w:rsid w:val="00890D8A"/>
    <w:rsid w:val="008C223F"/>
    <w:rsid w:val="00953C24"/>
    <w:rsid w:val="009D0D20"/>
    <w:rsid w:val="009E53FD"/>
    <w:rsid w:val="00A61693"/>
    <w:rsid w:val="00AF4C7A"/>
    <w:rsid w:val="00BC3459"/>
    <w:rsid w:val="00C06538"/>
    <w:rsid w:val="00CF03F1"/>
    <w:rsid w:val="00D26C8E"/>
    <w:rsid w:val="00D5744E"/>
    <w:rsid w:val="00E1491E"/>
    <w:rsid w:val="00E94CA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43443"/>
  <w15:chartTrackingRefBased/>
  <w15:docId w15:val="{B83120A6-2509-4D11-9C30-E321AEEC0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4C7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10BF6"/>
    <w:pPr>
      <w:keepNext/>
      <w:keepLines/>
      <w:spacing w:after="240"/>
      <w:outlineLvl w:val="0"/>
    </w:pPr>
    <w:rPr>
      <w:rFonts w:eastAsia="Arial" w:cs="Arial"/>
      <w:b/>
      <w:sz w:val="28"/>
      <w:szCs w:val="28"/>
      <w:lang w:val="en"/>
    </w:rPr>
  </w:style>
  <w:style w:type="paragraph" w:styleId="Heading2">
    <w:name w:val="heading 2"/>
    <w:basedOn w:val="Normal"/>
    <w:next w:val="Normal"/>
    <w:link w:val="Heading2Char"/>
    <w:autoRedefine/>
    <w:uiPriority w:val="9"/>
    <w:unhideWhenUsed/>
    <w:qFormat/>
    <w:rsid w:val="00D26C8E"/>
    <w:pPr>
      <w:keepNext/>
      <w:keepLines/>
      <w:spacing w:before="360" w:after="120"/>
      <w:outlineLvl w:val="1"/>
    </w:pPr>
    <w:rPr>
      <w:rFonts w:eastAsia="Arial" w:cs="Arial"/>
      <w:b/>
      <w:sz w:val="26"/>
      <w:szCs w:val="32"/>
      <w:lang w:val="en"/>
    </w:rPr>
  </w:style>
  <w:style w:type="paragraph" w:styleId="Heading3">
    <w:name w:val="heading 3"/>
    <w:basedOn w:val="Normal"/>
    <w:next w:val="Normal"/>
    <w:link w:val="Heading3Char"/>
    <w:autoRedefine/>
    <w:qFormat/>
    <w:rsid w:val="00953C24"/>
    <w:pPr>
      <w:keepNext/>
      <w:keepLines/>
      <w:spacing w:before="320" w:after="80"/>
      <w:outlineLvl w:val="2"/>
    </w:pPr>
    <w:rPr>
      <w:rFonts w:eastAsia="Arial" w:cs="Arial"/>
      <w:b/>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BF6"/>
    <w:rPr>
      <w:rFonts w:ascii="Times New Roman" w:eastAsia="Arial" w:hAnsi="Times New Roman" w:cs="Arial"/>
      <w:b/>
      <w:sz w:val="28"/>
      <w:szCs w:val="28"/>
      <w:lang w:val="en"/>
    </w:rPr>
  </w:style>
  <w:style w:type="character" w:customStyle="1" w:styleId="Heading2Char">
    <w:name w:val="Heading 2 Char"/>
    <w:basedOn w:val="DefaultParagraphFont"/>
    <w:link w:val="Heading2"/>
    <w:uiPriority w:val="9"/>
    <w:rsid w:val="00D26C8E"/>
    <w:rPr>
      <w:rFonts w:ascii="Times New Roman" w:eastAsia="Arial" w:hAnsi="Times New Roman" w:cs="Arial"/>
      <w:b/>
      <w:sz w:val="26"/>
      <w:szCs w:val="32"/>
      <w:lang w:val="en"/>
    </w:rPr>
  </w:style>
  <w:style w:type="character" w:customStyle="1" w:styleId="Heading3Char">
    <w:name w:val="Heading 3 Char"/>
    <w:basedOn w:val="DefaultParagraphFont"/>
    <w:link w:val="Heading3"/>
    <w:rsid w:val="00953C24"/>
    <w:rPr>
      <w:rFonts w:ascii="Times New Roman" w:eastAsia="Arial" w:hAnsi="Times New Roman" w:cs="Arial"/>
      <w:b/>
      <w:sz w:val="24"/>
      <w:szCs w:val="28"/>
    </w:rPr>
  </w:style>
  <w:style w:type="character" w:customStyle="1" w:styleId="cursor-pointer">
    <w:name w:val="cursor-pointer"/>
    <w:basedOn w:val="DefaultParagraphFont"/>
    <w:rsid w:val="00E1491E"/>
  </w:style>
  <w:style w:type="paragraph" w:styleId="NormalWeb">
    <w:name w:val="Normal (Web)"/>
    <w:basedOn w:val="Normal"/>
    <w:uiPriority w:val="99"/>
    <w:semiHidden/>
    <w:unhideWhenUsed/>
    <w:rsid w:val="00A61693"/>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5E7B6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E7B67"/>
    <w:pPr>
      <w:spacing w:after="100"/>
    </w:pPr>
  </w:style>
  <w:style w:type="paragraph" w:styleId="TOC2">
    <w:name w:val="toc 2"/>
    <w:basedOn w:val="Normal"/>
    <w:next w:val="Normal"/>
    <w:autoRedefine/>
    <w:uiPriority w:val="39"/>
    <w:unhideWhenUsed/>
    <w:rsid w:val="005E7B67"/>
    <w:pPr>
      <w:spacing w:after="100"/>
      <w:ind w:left="240"/>
    </w:pPr>
  </w:style>
  <w:style w:type="character" w:styleId="Hyperlink">
    <w:name w:val="Hyperlink"/>
    <w:basedOn w:val="DefaultParagraphFont"/>
    <w:uiPriority w:val="99"/>
    <w:unhideWhenUsed/>
    <w:rsid w:val="005E7B67"/>
    <w:rPr>
      <w:color w:val="0000FF" w:themeColor="hyperlink"/>
      <w:u w:val="single"/>
    </w:rPr>
  </w:style>
  <w:style w:type="paragraph" w:styleId="Header">
    <w:name w:val="header"/>
    <w:basedOn w:val="Normal"/>
    <w:link w:val="HeaderChar"/>
    <w:uiPriority w:val="99"/>
    <w:unhideWhenUsed/>
    <w:rsid w:val="000E63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638A"/>
    <w:rPr>
      <w:rFonts w:ascii="Times New Roman" w:hAnsi="Times New Roman"/>
      <w:sz w:val="24"/>
    </w:rPr>
  </w:style>
  <w:style w:type="paragraph" w:styleId="Footer">
    <w:name w:val="footer"/>
    <w:basedOn w:val="Normal"/>
    <w:link w:val="FooterChar"/>
    <w:uiPriority w:val="99"/>
    <w:unhideWhenUsed/>
    <w:rsid w:val="000E63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638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0664570">
      <w:bodyDiv w:val="1"/>
      <w:marLeft w:val="0"/>
      <w:marRight w:val="0"/>
      <w:marTop w:val="0"/>
      <w:marBottom w:val="0"/>
      <w:divBdr>
        <w:top w:val="none" w:sz="0" w:space="0" w:color="auto"/>
        <w:left w:val="none" w:sz="0" w:space="0" w:color="auto"/>
        <w:bottom w:val="none" w:sz="0" w:space="0" w:color="auto"/>
        <w:right w:val="none" w:sz="0" w:space="0" w:color="auto"/>
      </w:divBdr>
    </w:div>
    <w:div w:id="1517965588">
      <w:bodyDiv w:val="1"/>
      <w:marLeft w:val="0"/>
      <w:marRight w:val="0"/>
      <w:marTop w:val="0"/>
      <w:marBottom w:val="0"/>
      <w:divBdr>
        <w:top w:val="none" w:sz="0" w:space="0" w:color="auto"/>
        <w:left w:val="none" w:sz="0" w:space="0" w:color="auto"/>
        <w:bottom w:val="none" w:sz="0" w:space="0" w:color="auto"/>
        <w:right w:val="none" w:sz="0" w:space="0" w:color="auto"/>
      </w:divBdr>
    </w:div>
    <w:div w:id="1887133612">
      <w:bodyDiv w:val="1"/>
      <w:marLeft w:val="0"/>
      <w:marRight w:val="0"/>
      <w:marTop w:val="0"/>
      <w:marBottom w:val="0"/>
      <w:divBdr>
        <w:top w:val="none" w:sz="0" w:space="0" w:color="auto"/>
        <w:left w:val="none" w:sz="0" w:space="0" w:color="auto"/>
        <w:bottom w:val="none" w:sz="0" w:space="0" w:color="auto"/>
        <w:right w:val="none" w:sz="0" w:space="0" w:color="auto"/>
      </w:divBdr>
      <w:divsChild>
        <w:div w:id="9582168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chart" Target="charts/chart4.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chart" Target="charts/chart3.xm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chart" Target="charts/chart2.xm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chart" Target="charts/chart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oter" Target="footer1.xml" /></Relationships>
</file>

<file path=word/charts/_rels/chart1.xml.rels><?xml version="1.0" encoding="UTF-8" standalone="yes"?>
<Relationships xmlns="http://schemas.openxmlformats.org/package/2006/relationships"><Relationship Id="rId3" Type="http://schemas.openxmlformats.org/officeDocument/2006/relationships/oleObject" Target="file:///C:\Users\Punam\OneDrive\Documents\Rittik%20DMG%202025\July%202026\12.07.2026\Excel.xlsx" TargetMode="External"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file:///C:\Users\Punam\OneDrive\Documents\Rittik%20DMG%202025\July%202026\12.07.2026\Excel.xlsx" TargetMode="External"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oleObject" Target="file:///C:\Users\Punam\OneDrive\Documents\Rittik%20DMG%202025\July%202026\12.07.2026\Excel.xlsx" TargetMode="External"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oleObject" Target="file:///C:\Users\Punam\OneDrive\Documents\Rittik%20DMG%202025\July%202026\12.07.2026\Excel.xlsx" TargetMode="External" /><Relationship Id="rId2" Type="http://schemas.microsoft.com/office/2011/relationships/chartColorStyle" Target="colors4.xml" /><Relationship Id="rId1" Type="http://schemas.microsoft.com/office/2011/relationships/chartStyle" Target="style4.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Profitability</a:t>
            </a:r>
            <a:r>
              <a:rPr lang="en-US" baseline="0"/>
              <a:t> ratios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'Ratio analysis'!$D$2:$D$3</c:f>
              <c:strCache>
                <c:ptCount val="2"/>
                <c:pt idx="0">
                  <c:v>FY2026</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analysis'!$A$4:$A$8</c:f>
              <c:strCache>
                <c:ptCount val="5"/>
                <c:pt idx="0">
                  <c:v>Gross Profit Margin</c:v>
                </c:pt>
                <c:pt idx="1">
                  <c:v>Operating Profit Margin</c:v>
                </c:pt>
                <c:pt idx="2">
                  <c:v>Net Profit Margin</c:v>
                </c:pt>
                <c:pt idx="3">
                  <c:v>Return on Assets (ROA)</c:v>
                </c:pt>
                <c:pt idx="4">
                  <c:v>Return on Equity (ROE)</c:v>
                </c:pt>
              </c:strCache>
              <c:extLst/>
            </c:strRef>
          </c:cat>
          <c:val>
            <c:numRef>
              <c:f>'Ratio analysis'!$D$4:$D$8</c:f>
              <c:numCache>
                <c:formatCode>0.00%</c:formatCode>
                <c:ptCount val="5"/>
                <c:pt idx="0">
                  <c:v>7.5130236596483616E-2</c:v>
                </c:pt>
                <c:pt idx="1">
                  <c:v>4.0495441719123074E-2</c:v>
                </c:pt>
                <c:pt idx="2">
                  <c:v>4.0495441719123074E-2</c:v>
                </c:pt>
                <c:pt idx="3">
                  <c:v>7.5619395044839638E-2</c:v>
                </c:pt>
                <c:pt idx="4">
                  <c:v>0.26053940822204763</c:v>
                </c:pt>
              </c:numCache>
            </c:numRef>
          </c:val>
          <c:extLst>
            <c:ext xmlns:c16="http://schemas.microsoft.com/office/drawing/2014/chart" uri="{C3380CC4-5D6E-409C-BE32-E72D297353CC}">
              <c16:uniqueId val="{00000000-091A-44C1-A159-F9AABF4E7719}"/>
            </c:ext>
          </c:extLst>
        </c:ser>
        <c:ser>
          <c:idx val="2"/>
          <c:order val="2"/>
          <c:tx>
            <c:strRef>
              <c:f>'Ratio analysis'!$F$2:$F$3</c:f>
              <c:strCache>
                <c:ptCount val="2"/>
                <c:pt idx="0">
                  <c:v>FY2025</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analysis'!$A$4:$A$8</c:f>
              <c:strCache>
                <c:ptCount val="5"/>
                <c:pt idx="0">
                  <c:v>Gross Profit Margin</c:v>
                </c:pt>
                <c:pt idx="1">
                  <c:v>Operating Profit Margin</c:v>
                </c:pt>
                <c:pt idx="2">
                  <c:v>Net Profit Margin</c:v>
                </c:pt>
                <c:pt idx="3">
                  <c:v>Return on Assets (ROA)</c:v>
                </c:pt>
                <c:pt idx="4">
                  <c:v>Return on Equity (ROE)</c:v>
                </c:pt>
              </c:strCache>
              <c:extLst/>
            </c:strRef>
          </c:cat>
          <c:val>
            <c:numRef>
              <c:f>'Ratio analysis'!$F$4:$F$8</c:f>
              <c:numCache>
                <c:formatCode>0.00%</c:formatCode>
                <c:ptCount val="5"/>
                <c:pt idx="0">
                  <c:v>7.2243835459694497E-2</c:v>
                </c:pt>
                <c:pt idx="1">
                  <c:v>3.8775101550431949E-2</c:v>
                </c:pt>
                <c:pt idx="2">
                  <c:v>3.9275702271296987E-2</c:v>
                </c:pt>
                <c:pt idx="3">
                  <c:v>7.0609411159681154E-2</c:v>
                </c:pt>
                <c:pt idx="4">
                  <c:v>0.23546561481735551</c:v>
                </c:pt>
              </c:numCache>
            </c:numRef>
          </c:val>
          <c:extLst>
            <c:ext xmlns:c16="http://schemas.microsoft.com/office/drawing/2014/chart" uri="{C3380CC4-5D6E-409C-BE32-E72D297353CC}">
              <c16:uniqueId val="{00000001-091A-44C1-A159-F9AABF4E7719}"/>
            </c:ext>
          </c:extLst>
        </c:ser>
        <c:dLbls>
          <c:showLegendKey val="0"/>
          <c:showVal val="1"/>
          <c:showCatName val="0"/>
          <c:showSerName val="0"/>
          <c:showPercent val="0"/>
          <c:showBubbleSize val="0"/>
        </c:dLbls>
        <c:gapWidth val="150"/>
        <c:shape val="box"/>
        <c:axId val="236893695"/>
        <c:axId val="590196095"/>
        <c:axId val="0"/>
        <c:extLst>
          <c:ext xmlns:c15="http://schemas.microsoft.com/office/drawing/2012/chart" uri="{02D57815-91ED-43cb-92C2-25804820EDAC}">
            <c15:filteredBarSeries>
              <c15:ser>
                <c:idx val="1"/>
                <c:order val="1"/>
                <c:tx>
                  <c:strRef>
                    <c:extLst>
                      <c:ext uri="{02D57815-91ED-43cb-92C2-25804820EDAC}">
                        <c15:formulaRef>
                          <c15:sqref>'Ratio analysis'!$E$2:$E$3</c15:sqref>
                        </c15:formulaRef>
                      </c:ext>
                    </c:extLst>
                    <c:strCache>
                      <c:ptCount val="2"/>
                      <c:pt idx="0">
                        <c:v>FY2025 Calculation</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'Ratio analysis'!$A$4:$A$8</c15:sqref>
                        </c15:formulaRef>
                      </c:ext>
                    </c:extLst>
                    <c:strCache>
                      <c:ptCount val="5"/>
                      <c:pt idx="0">
                        <c:v>Gross Profit Margin</c:v>
                      </c:pt>
                      <c:pt idx="1">
                        <c:v>Operating Profit Margin</c:v>
                      </c:pt>
                      <c:pt idx="2">
                        <c:v>Net Profit Margin</c:v>
                      </c:pt>
                      <c:pt idx="3">
                        <c:v>Return on Assets (ROA)</c:v>
                      </c:pt>
                      <c:pt idx="4">
                        <c:v>Return on Equity (ROE)</c:v>
                      </c:pt>
                    </c:strCache>
                  </c:strRef>
                </c:cat>
                <c:val>
                  <c:numRef>
                    <c:extLst>
                      <c:ext uri="{02D57815-91ED-43cb-92C2-25804820EDAC}">
                        <c15:formulaRef>
                          <c15:sqref>'Ratio analysis'!$E$4:$E$8</c15:sqref>
                        </c15:formulaRef>
                      </c:ext>
                    </c:extLst>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2-091A-44C1-A159-F9AABF4E7719}"/>
                  </c:ext>
                </c:extLst>
              </c15:ser>
            </c15:filteredBarSeries>
          </c:ext>
        </c:extLst>
      </c:bar3DChart>
      <c:catAx>
        <c:axId val="23689369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196095"/>
        <c:crosses val="autoZero"/>
        <c:auto val="1"/>
        <c:lblAlgn val="ctr"/>
        <c:lblOffset val="100"/>
        <c:noMultiLvlLbl val="0"/>
      </c:catAx>
      <c:valAx>
        <c:axId val="590196095"/>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68936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Liquidity Ratios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analysis'!$D$9</c:f>
              <c:strCache>
                <c:ptCount val="1"/>
                <c:pt idx="0">
                  <c:v>FY2026</c:v>
                </c:pt>
              </c:strCache>
            </c:strRef>
          </c:tx>
          <c:spPr>
            <a:ln w="22225" cap="rnd">
              <a:solidFill>
                <a:schemeClr val="accent2">
                  <a:shade val="65000"/>
                </a:schemeClr>
              </a:solidFill>
              <a:round/>
            </a:ln>
            <a:effectLst/>
          </c:spPr>
          <c:marker>
            <c:symbol val="diamond"/>
            <c:size val="6"/>
            <c:spPr>
              <a:solidFill>
                <a:schemeClr val="accent2">
                  <a:shade val="65000"/>
                </a:schemeClr>
              </a:solidFill>
              <a:ln w="9525">
                <a:solidFill>
                  <a:schemeClr val="accent2">
                    <a:shade val="65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 analysis'!$A$10:$A$11</c:f>
              <c:strCache>
                <c:ptCount val="2"/>
                <c:pt idx="0">
                  <c:v>Current Ratio</c:v>
                </c:pt>
                <c:pt idx="1">
                  <c:v>Quick Ratio</c:v>
                </c:pt>
              </c:strCache>
              <c:extLst/>
            </c:strRef>
          </c:cat>
          <c:val>
            <c:numRef>
              <c:f>'Ratio analysis'!$D$10:$D$11</c:f>
              <c:numCache>
                <c:formatCode>0.00</c:formatCode>
                <c:ptCount val="2"/>
                <c:pt idx="0">
                  <c:v>0.58406029729918352</c:v>
                </c:pt>
                <c:pt idx="1">
                  <c:v>0.38586084164980111</c:v>
                </c:pt>
              </c:numCache>
            </c:numRef>
          </c:val>
          <c:smooth val="0"/>
          <c:extLst>
            <c:ext xmlns:c16="http://schemas.microsoft.com/office/drawing/2014/chart" uri="{C3380CC4-5D6E-409C-BE32-E72D297353CC}">
              <c16:uniqueId val="{00000000-A053-4186-AB0D-BB4256383D1A}"/>
            </c:ext>
          </c:extLst>
        </c:ser>
        <c:ser>
          <c:idx val="2"/>
          <c:order val="2"/>
          <c:tx>
            <c:strRef>
              <c:f>'Ratio analysis'!$F$9</c:f>
              <c:strCache>
                <c:ptCount val="1"/>
                <c:pt idx="0">
                  <c:v>FY2025</c:v>
                </c:pt>
              </c:strCache>
            </c:strRef>
          </c:tx>
          <c:spPr>
            <a:ln w="22225" cap="rnd">
              <a:solidFill>
                <a:schemeClr val="accent2">
                  <a:tint val="65000"/>
                </a:schemeClr>
              </a:solidFill>
              <a:round/>
            </a:ln>
            <a:effectLst/>
          </c:spPr>
          <c:marker>
            <c:symbol val="triangle"/>
            <c:size val="6"/>
            <c:spPr>
              <a:solidFill>
                <a:schemeClr val="accent2">
                  <a:tint val="65000"/>
                </a:schemeClr>
              </a:solidFill>
              <a:ln w="9525">
                <a:solidFill>
                  <a:schemeClr val="accent2">
                    <a:tint val="65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 analysis'!$A$10:$A$11</c:f>
              <c:strCache>
                <c:ptCount val="2"/>
                <c:pt idx="0">
                  <c:v>Current Ratio</c:v>
                </c:pt>
                <c:pt idx="1">
                  <c:v>Quick Ratio</c:v>
                </c:pt>
              </c:strCache>
              <c:extLst/>
            </c:strRef>
          </c:cat>
          <c:val>
            <c:numRef>
              <c:f>'Ratio analysis'!$F$10:$F$11</c:f>
              <c:numCache>
                <c:formatCode>0.00</c:formatCode>
                <c:ptCount val="2"/>
                <c:pt idx="0">
                  <c:v>0.637192474674385</c:v>
                </c:pt>
                <c:pt idx="1">
                  <c:v>0.43690303907380607</c:v>
                </c:pt>
              </c:numCache>
            </c:numRef>
          </c:val>
          <c:smooth val="0"/>
          <c:extLst>
            <c:ext xmlns:c16="http://schemas.microsoft.com/office/drawing/2014/chart" uri="{C3380CC4-5D6E-409C-BE32-E72D297353CC}">
              <c16:uniqueId val="{00000001-A053-4186-AB0D-BB4256383D1A}"/>
            </c:ext>
          </c:extLst>
        </c:ser>
        <c:dLbls>
          <c:dLblPos val="t"/>
          <c:showLegendKey val="0"/>
          <c:showVal val="1"/>
          <c:showCatName val="0"/>
          <c:showSerName val="0"/>
          <c:showPercent val="0"/>
          <c:showBubbleSize val="0"/>
        </c:dLbls>
        <c:marker val="1"/>
        <c:smooth val="0"/>
        <c:axId val="590022655"/>
        <c:axId val="590026399"/>
        <c:extLst>
          <c:ext xmlns:c15="http://schemas.microsoft.com/office/drawing/2012/chart" uri="{02D57815-91ED-43cb-92C2-25804820EDAC}">
            <c15:filteredLineSeries>
              <c15:ser>
                <c:idx val="1"/>
                <c:order val="1"/>
                <c:tx>
                  <c:strRef>
                    <c:extLst>
                      <c:ext uri="{02D57815-91ED-43cb-92C2-25804820EDAC}">
                        <c15:formulaRef>
                          <c15:sqref>'Ratio analysis'!$E$9</c15:sqref>
                        </c15:formulaRef>
                      </c:ext>
                    </c:extLst>
                    <c:strCache>
                      <c:ptCount val="1"/>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strRef>
                    <c:extLst>
                      <c:ext uri="{02D57815-91ED-43cb-92C2-25804820EDAC}">
                        <c15:formulaRef>
                          <c15:sqref>'Ratio analysis'!$A$10:$A$11</c15:sqref>
                        </c15:formulaRef>
                      </c:ext>
                    </c:extLst>
                    <c:strCache>
                      <c:ptCount val="2"/>
                      <c:pt idx="0">
                        <c:v>Current Ratio</c:v>
                      </c:pt>
                      <c:pt idx="1">
                        <c:v>Quick Ratio</c:v>
                      </c:pt>
                    </c:strCache>
                  </c:strRef>
                </c:cat>
                <c:val>
                  <c:numRef>
                    <c:extLst>
                      <c:ext uri="{02D57815-91ED-43cb-92C2-25804820EDAC}">
                        <c15:formulaRef>
                          <c15:sqref>'Ratio analysis'!$E$10:$E$11</c15:sqref>
                        </c15:formulaRef>
                      </c:ext>
                    </c:extLst>
                    <c:numCache>
                      <c:formatCode>General</c:formatCode>
                      <c:ptCount val="2"/>
                      <c:pt idx="0">
                        <c:v>0</c:v>
                      </c:pt>
                      <c:pt idx="1">
                        <c:v>0</c:v>
                      </c:pt>
                    </c:numCache>
                  </c:numRef>
                </c:val>
                <c:smooth val="0"/>
                <c:extLst>
                  <c:ext xmlns:c16="http://schemas.microsoft.com/office/drawing/2014/chart" uri="{C3380CC4-5D6E-409C-BE32-E72D297353CC}">
                    <c16:uniqueId val="{00000002-A053-4186-AB0D-BB4256383D1A}"/>
                  </c:ext>
                </c:extLst>
              </c15:ser>
            </c15:filteredLineSeries>
          </c:ext>
        </c:extLst>
      </c:lineChart>
      <c:catAx>
        <c:axId val="590022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90026399"/>
        <c:crosses val="autoZero"/>
        <c:auto val="1"/>
        <c:lblAlgn val="ctr"/>
        <c:lblOffset val="100"/>
        <c:noMultiLvlLbl val="0"/>
      </c:catAx>
      <c:valAx>
        <c:axId val="590026399"/>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02265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Efficiency Ratios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 analysis'!$D$12</c:f>
              <c:strCache>
                <c:ptCount val="1"/>
                <c:pt idx="0">
                  <c:v>FY2026</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 analysis'!$A$13:$A$16</c:f>
              <c:strCache>
                <c:ptCount val="4"/>
                <c:pt idx="0">
                  <c:v>Inventory Turnover (times)</c:v>
                </c:pt>
                <c:pt idx="1">
                  <c:v>Receivable Days</c:v>
                </c:pt>
                <c:pt idx="2">
                  <c:v>Payable Days</c:v>
                </c:pt>
                <c:pt idx="3">
                  <c:v>Asset Turnover (times)</c:v>
                </c:pt>
              </c:strCache>
              <c:extLst/>
            </c:strRef>
          </c:cat>
          <c:val>
            <c:numRef>
              <c:f>'Ratio analysis'!$D$13:$D$16</c:f>
              <c:numCache>
                <c:formatCode>0.00</c:formatCode>
                <c:ptCount val="4"/>
                <c:pt idx="0">
                  <c:v>24.313124108416549</c:v>
                </c:pt>
                <c:pt idx="1">
                  <c:v>8.6902403950510081</c:v>
                </c:pt>
                <c:pt idx="2">
                  <c:v>58.218822424971393</c:v>
                </c:pt>
                <c:pt idx="3">
                  <c:v>1.8673557278208441</c:v>
                </c:pt>
              </c:numCache>
            </c:numRef>
          </c:val>
          <c:extLst>
            <c:ext xmlns:c16="http://schemas.microsoft.com/office/drawing/2014/chart" uri="{C3380CC4-5D6E-409C-BE32-E72D297353CC}">
              <c16:uniqueId val="{00000000-C192-4B40-9C96-2E7F1585C2B2}"/>
            </c:ext>
          </c:extLst>
        </c:ser>
        <c:ser>
          <c:idx val="2"/>
          <c:order val="2"/>
          <c:tx>
            <c:strRef>
              <c:f>'Ratio analysis'!$F$12</c:f>
              <c:strCache>
                <c:ptCount val="1"/>
                <c:pt idx="0">
                  <c:v>FY2025</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 analysis'!$A$13:$A$16</c:f>
              <c:strCache>
                <c:ptCount val="4"/>
                <c:pt idx="0">
                  <c:v>Inventory Turnover (times)</c:v>
                </c:pt>
                <c:pt idx="1">
                  <c:v>Receivable Days</c:v>
                </c:pt>
                <c:pt idx="2">
                  <c:v>Payable Days</c:v>
                </c:pt>
                <c:pt idx="3">
                  <c:v>Asset Turnover (times)</c:v>
                </c:pt>
              </c:strCache>
              <c:extLst/>
            </c:strRef>
          </c:cat>
          <c:val>
            <c:numRef>
              <c:f>'Ratio analysis'!$F$13:$F$16</c:f>
              <c:numCache>
                <c:formatCode>0.00</c:formatCode>
                <c:ptCount val="4"/>
                <c:pt idx="0">
                  <c:v>23.433887283236995</c:v>
                </c:pt>
                <c:pt idx="1">
                  <c:v>8.8331712340522905</c:v>
                </c:pt>
                <c:pt idx="2">
                  <c:v>58.814152470515687</c:v>
                </c:pt>
                <c:pt idx="3">
                  <c:v>1.7977886346104397</c:v>
                </c:pt>
              </c:numCache>
            </c:numRef>
          </c:val>
          <c:extLst>
            <c:ext xmlns:c16="http://schemas.microsoft.com/office/drawing/2014/chart" uri="{C3380CC4-5D6E-409C-BE32-E72D297353CC}">
              <c16:uniqueId val="{00000001-C192-4B40-9C96-2E7F1585C2B2}"/>
            </c:ext>
          </c:extLst>
        </c:ser>
        <c:dLbls>
          <c:dLblPos val="inEnd"/>
          <c:showLegendKey val="0"/>
          <c:showVal val="1"/>
          <c:showCatName val="0"/>
          <c:showSerName val="0"/>
          <c:showPercent val="0"/>
          <c:showBubbleSize val="0"/>
        </c:dLbls>
        <c:gapWidth val="65"/>
        <c:axId val="597774383"/>
        <c:axId val="597777295"/>
        <c:extLst>
          <c:ext xmlns:c15="http://schemas.microsoft.com/office/drawing/2012/chart" uri="{02D57815-91ED-43cb-92C2-25804820EDAC}">
            <c15:filteredBarSeries>
              <c15:ser>
                <c:idx val="1"/>
                <c:order val="1"/>
                <c:tx>
                  <c:strRef>
                    <c:extLst>
                      <c:ext uri="{02D57815-91ED-43cb-92C2-25804820EDAC}">
                        <c15:formulaRef>
                          <c15:sqref>'Ratio analysis'!$E$12</c15:sqref>
                        </c15:formulaRef>
                      </c:ext>
                    </c:extLst>
                    <c:strCache>
                      <c:ptCount val="1"/>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'Ratio analysis'!$A$13:$A$16</c15:sqref>
                        </c15:formulaRef>
                      </c:ext>
                    </c:extLst>
                    <c:strCache>
                      <c:ptCount val="4"/>
                      <c:pt idx="0">
                        <c:v>Inventory Turnover (times)</c:v>
                      </c:pt>
                      <c:pt idx="1">
                        <c:v>Receivable Days</c:v>
                      </c:pt>
                      <c:pt idx="2">
                        <c:v>Payable Days</c:v>
                      </c:pt>
                      <c:pt idx="3">
                        <c:v>Asset Turnover (times)</c:v>
                      </c:pt>
                    </c:strCache>
                  </c:strRef>
                </c:cat>
                <c:val>
                  <c:numRef>
                    <c:extLst>
                      <c:ext uri="{02D57815-91ED-43cb-92C2-25804820EDAC}">
                        <c15:formulaRef>
                          <c15:sqref>'Ratio analysis'!$E$13:$E$16</c15:sqref>
                        </c15:formulaRef>
                      </c:ext>
                    </c:extLst>
                    <c:numCache>
                      <c:formatCode>General</c:formatCode>
                      <c:ptCount val="4"/>
                      <c:pt idx="0">
                        <c:v>0</c:v>
                      </c:pt>
                      <c:pt idx="1">
                        <c:v>0</c:v>
                      </c:pt>
                      <c:pt idx="2">
                        <c:v>0</c:v>
                      </c:pt>
                      <c:pt idx="3">
                        <c:v>0</c:v>
                      </c:pt>
                    </c:numCache>
                  </c:numRef>
                </c:val>
                <c:extLst>
                  <c:ext xmlns:c16="http://schemas.microsoft.com/office/drawing/2014/chart" uri="{C3380CC4-5D6E-409C-BE32-E72D297353CC}">
                    <c16:uniqueId val="{00000002-C192-4B40-9C96-2E7F1585C2B2}"/>
                  </c:ext>
                </c:extLst>
              </c15:ser>
            </c15:filteredBarSeries>
          </c:ext>
        </c:extLst>
      </c:barChart>
      <c:catAx>
        <c:axId val="597774383"/>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97777295"/>
        <c:crosses val="autoZero"/>
        <c:auto val="1"/>
        <c:lblAlgn val="ctr"/>
        <c:lblOffset val="100"/>
        <c:noMultiLvlLbl val="0"/>
      </c:catAx>
      <c:valAx>
        <c:axId val="597777295"/>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97774383"/>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baseline="0">
                <a:solidFill>
                  <a:schemeClr val="bg1"/>
                </a:solidFill>
                <a:latin typeface="+mn-lt"/>
                <a:ea typeface="+mn-ea"/>
                <a:cs typeface="+mn-cs"/>
              </a:defRPr>
            </a:pPr>
            <a:r>
              <a:rPr lang="en-US" sz="1600">
                <a:solidFill>
                  <a:schemeClr val="bg1"/>
                </a:solidFill>
              </a:rPr>
              <a:t>Gearing / Solvency Ratios</a:t>
            </a:r>
          </a:p>
        </c:rich>
      </c:tx>
      <c:overlay val="0"/>
      <c:spPr>
        <a:noFill/>
        <a:ln>
          <a:noFill/>
        </a:ln>
        <a:effectLst/>
      </c:spPr>
      <c:txPr>
        <a:bodyPr rot="0" spcFirstLastPara="1" vertOverflow="ellipsis" vert="horz" wrap="square" anchor="ctr" anchorCtr="1"/>
        <a:lstStyle/>
        <a:p>
          <a:pPr>
            <a:defRPr sz="1600" b="1" i="0" u="none" strike="noStrike" kern="1200" cap="none" baseline="0">
              <a:solidFill>
                <a:schemeClr val="bg1"/>
              </a:solidFill>
              <a:latin typeface="+mn-lt"/>
              <a:ea typeface="+mn-ea"/>
              <a:cs typeface="+mn-cs"/>
            </a:defRPr>
          </a:pPr>
          <a:endParaRPr lang="en-US"/>
        </a:p>
      </c:txPr>
    </c:title>
    <c:autoTitleDeleted val="0"/>
    <c:plotArea>
      <c:layout/>
      <c:lineChart>
        <c:grouping val="standard"/>
        <c:varyColors val="0"/>
        <c:ser>
          <c:idx val="0"/>
          <c:order val="0"/>
          <c:tx>
            <c:strRef>
              <c:f>'Ratio analysis'!$A$18:$C$18</c:f>
              <c:strCache>
                <c:ptCount val="3"/>
                <c:pt idx="0">
                  <c:v>Debt-to-Equity Ratio</c:v>
                </c:pt>
                <c:pt idx="1">
                  <c:v>Total Debt / Shareholders' Equity</c:v>
                </c:pt>
                <c:pt idx="2">
                  <c:v>15,080 / 11,457</c:v>
                </c:pt>
              </c:strCache>
            </c:strRef>
          </c:tx>
          <c:spPr>
            <a:ln w="22225" cap="rnd">
              <a:solidFill>
                <a:schemeClr val="accent1"/>
              </a:solidFill>
            </a:ln>
            <a:effectLst>
              <a:glow rad="139700">
                <a:schemeClr val="accent1">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('Ratio analysis'!$D$17,'Ratio analysis'!$F$17)</c:f>
              <c:strCache>
                <c:ptCount val="2"/>
                <c:pt idx="0">
                  <c:v>FY2026</c:v>
                </c:pt>
                <c:pt idx="1">
                  <c:v>FY2025</c:v>
                </c:pt>
              </c:strCache>
              <c:extLst/>
            </c:strRef>
          </c:cat>
          <c:val>
            <c:numRef>
              <c:f>('Ratio analysis'!$D$18,'Ratio analysis'!$F$18)</c:f>
              <c:numCache>
                <c:formatCode>0.00</c:formatCode>
                <c:ptCount val="2"/>
                <c:pt idx="0">
                  <c:v>1.3162258881033428</c:v>
                </c:pt>
                <c:pt idx="1">
                  <c:v>1.2575887497856286</c:v>
                </c:pt>
              </c:numCache>
              <c:extLst/>
            </c:numRef>
          </c:val>
          <c:smooth val="0"/>
          <c:extLst>
            <c:ext xmlns:c16="http://schemas.microsoft.com/office/drawing/2014/chart" uri="{C3380CC4-5D6E-409C-BE32-E72D297353CC}">
              <c16:uniqueId val="{00000000-AC61-4DD3-80DB-7DEBF412841A}"/>
            </c:ext>
          </c:extLst>
        </c:ser>
        <c:ser>
          <c:idx val="1"/>
          <c:order val="1"/>
          <c:tx>
            <c:strRef>
              <c:f>'Ratio analysis'!$A$19:$C$19</c:f>
              <c:strCache>
                <c:ptCount val="3"/>
                <c:pt idx="0">
                  <c:v>Debt Ratio</c:v>
                </c:pt>
                <c:pt idx="1">
                  <c:v>Total Liabilities / Total Assets</c:v>
                </c:pt>
                <c:pt idx="2">
                  <c:v>28,017 / 39,474</c:v>
                </c:pt>
              </c:strCache>
            </c:strRef>
          </c:tx>
          <c:spPr>
            <a:ln w="22225" cap="rnd">
              <a:solidFill>
                <a:schemeClr val="accent2"/>
              </a:solidFill>
            </a:ln>
            <a:effectLst>
              <a:glow rad="139700">
                <a:schemeClr val="accent2">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('Ratio analysis'!$D$17,'Ratio analysis'!$F$17)</c:f>
              <c:strCache>
                <c:ptCount val="2"/>
                <c:pt idx="0">
                  <c:v>FY2026</c:v>
                </c:pt>
                <c:pt idx="1">
                  <c:v>FY2025</c:v>
                </c:pt>
              </c:strCache>
              <c:extLst/>
            </c:strRef>
          </c:cat>
          <c:val>
            <c:numRef>
              <c:f>('Ratio analysis'!$D$19,'Ratio analysis'!$F$19)</c:f>
              <c:numCache>
                <c:formatCode>0.00%</c:formatCode>
                <c:ptCount val="2"/>
                <c:pt idx="0">
                  <c:v>0.70975832193342459</c:v>
                </c:pt>
                <c:pt idx="1">
                  <c:v>0.70012856775520704</c:v>
                </c:pt>
              </c:numCache>
              <c:extLst/>
            </c:numRef>
          </c:val>
          <c:smooth val="0"/>
          <c:extLst>
            <c:ext xmlns:c16="http://schemas.microsoft.com/office/drawing/2014/chart" uri="{C3380CC4-5D6E-409C-BE32-E72D297353CC}">
              <c16:uniqueId val="{00000001-AC61-4DD3-80DB-7DEBF412841A}"/>
            </c:ext>
          </c:extLst>
        </c:ser>
        <c:ser>
          <c:idx val="2"/>
          <c:order val="2"/>
          <c:tx>
            <c:strRef>
              <c:f>'Ratio analysis'!$A$20:$C$20</c:f>
              <c:strCache>
                <c:ptCount val="3"/>
                <c:pt idx="0">
                  <c:v>Interest Coverage Ratio</c:v>
                </c:pt>
                <c:pt idx="1">
                  <c:v>Operating Profit / Finance Costs</c:v>
                </c:pt>
                <c:pt idx="2">
                  <c:v>2,985 / 595</c:v>
                </c:pt>
              </c:strCache>
            </c:strRef>
          </c:tx>
          <c:spPr>
            <a:ln w="22225" cap="rnd">
              <a:solidFill>
                <a:schemeClr val="accent3"/>
              </a:solidFill>
            </a:ln>
            <a:effectLst>
              <a:glow rad="139700">
                <a:schemeClr val="accent3">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('Ratio analysis'!$D$17,'Ratio analysis'!$F$17)</c:f>
              <c:strCache>
                <c:ptCount val="2"/>
                <c:pt idx="0">
                  <c:v>FY2026</c:v>
                </c:pt>
                <c:pt idx="1">
                  <c:v>FY2025</c:v>
                </c:pt>
              </c:strCache>
              <c:extLst/>
            </c:strRef>
          </c:cat>
          <c:val>
            <c:numRef>
              <c:f>('Ratio analysis'!$D$20,'Ratio analysis'!$F$20)</c:f>
              <c:numCache>
                <c:formatCode>0.00</c:formatCode>
                <c:ptCount val="2"/>
                <c:pt idx="0">
                  <c:v>5.0168067226890756</c:v>
                </c:pt>
                <c:pt idx="1">
                  <c:v>4.3867313915857604</c:v>
                </c:pt>
              </c:numCache>
              <c:extLst/>
            </c:numRef>
          </c:val>
          <c:smooth val="0"/>
          <c:extLst>
            <c:ext xmlns:c16="http://schemas.microsoft.com/office/drawing/2014/chart" uri="{C3380CC4-5D6E-409C-BE32-E72D297353CC}">
              <c16:uniqueId val="{00000002-AC61-4DD3-80DB-7DEBF412841A}"/>
            </c:ext>
          </c:extLst>
        </c:ser>
        <c:dLbls>
          <c:dLblPos val="t"/>
          <c:showLegendKey val="0"/>
          <c:showVal val="1"/>
          <c:showCatName val="0"/>
          <c:showSerName val="0"/>
          <c:showPercent val="0"/>
          <c:showBubbleSize val="0"/>
        </c:dLbls>
        <c:smooth val="0"/>
        <c:axId val="984626319"/>
        <c:axId val="984622159"/>
      </c:lineChart>
      <c:catAx>
        <c:axId val="984626319"/>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84622159"/>
        <c:crosses val="autoZero"/>
        <c:auto val="1"/>
        <c:lblAlgn val="ctr"/>
        <c:lblOffset val="100"/>
        <c:noMultiLvlLbl val="0"/>
      </c:catAx>
      <c:valAx>
        <c:axId val="984622159"/>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84626319"/>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5">
  <a:schemeClr val="accent2"/>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AC3CD56-1012-446C-A06C-F46731353F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2387</Words>
  <Characters>13607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Laris Ruset</cp:lastModifiedBy>
  <cp:revision>2</cp:revision>
  <dcterms:created xsi:type="dcterms:W3CDTF">2026-07-13T21:19:00Z</dcterms:created>
  <dcterms:modified xsi:type="dcterms:W3CDTF">2026-07-13T21:19:00Z</dcterms:modified>
</cp:coreProperties>
</file>