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571EE" w14:textId="77777777" w:rsidR="002D5B3F" w:rsidRDefault="009F5CB2"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394B8EB9" wp14:editId="22AF2527">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10854E18"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14:paraId="6511A9FC"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4730BBD" wp14:editId="7C9635D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4B8EB9"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10854E18"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14:paraId="6511A9FC" w14:textId="77777777"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74730BBD" wp14:editId="7C9635D6">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1A24F3">
        <w:rPr>
          <w:noProof/>
        </w:rPr>
        <w:drawing>
          <wp:inline distT="0" distB="0" distL="0" distR="0" wp14:anchorId="343109C2" wp14:editId="585020F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9C0A59A"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40F4D7" w14:textId="77777777" w:rsidTr="00A55876">
        <w:tc>
          <w:tcPr>
            <w:tcW w:w="10670" w:type="dxa"/>
            <w:shd w:val="clear" w:color="auto" w:fill="C0C0C0"/>
          </w:tcPr>
          <w:p w14:paraId="1E9E05C0" w14:textId="77777777" w:rsidR="00BA6B2C" w:rsidRPr="00BA6B2C" w:rsidRDefault="0088296F" w:rsidP="00681FA9">
            <w:pPr>
              <w:jc w:val="center"/>
              <w:rPr>
                <w:rFonts w:ascii="Arial" w:hAnsi="Arial" w:cs="Arial"/>
                <w:b/>
                <w:noProof/>
                <w:sz w:val="36"/>
                <w:szCs w:val="36"/>
              </w:rPr>
            </w:pPr>
            <w:r>
              <w:rPr>
                <w:rFonts w:ascii="Arial" w:hAnsi="Arial" w:cs="Arial"/>
                <w:b/>
                <w:noProof/>
                <w:sz w:val="36"/>
                <w:szCs w:val="36"/>
              </w:rPr>
              <w:t>ASSIGNMENT DETAILS</w:t>
            </w:r>
            <w:r w:rsidR="00BA6B2C" w:rsidRPr="00BA6B2C">
              <w:rPr>
                <w:rFonts w:ascii="Arial" w:hAnsi="Arial" w:cs="Arial"/>
                <w:b/>
                <w:noProof/>
                <w:sz w:val="36"/>
                <w:szCs w:val="36"/>
              </w:rPr>
              <w:t xml:space="preserve"> AND FEEDBACK</w:t>
            </w:r>
          </w:p>
          <w:p w14:paraId="2F4F5371" w14:textId="77777777" w:rsidR="00681FA9" w:rsidRPr="009F5CB2" w:rsidRDefault="00681FA9" w:rsidP="00681FA9">
            <w:pPr>
              <w:jc w:val="center"/>
              <w:rPr>
                <w:rFonts w:ascii="Arial" w:hAnsi="Arial" w:cs="Arial"/>
              </w:rPr>
            </w:pPr>
            <w:r w:rsidRPr="009F5CB2">
              <w:rPr>
                <w:rFonts w:ascii="Arial" w:hAnsi="Arial" w:cs="Arial"/>
                <w:b/>
                <w:noProof/>
                <w:sz w:val="24"/>
                <w:szCs w:val="24"/>
              </w:rPr>
              <w:t>S</w:t>
            </w:r>
            <w:r w:rsidR="00BA6B2C">
              <w:rPr>
                <w:rFonts w:ascii="Arial" w:hAnsi="Arial" w:cs="Arial"/>
                <w:b/>
                <w:noProof/>
                <w:sz w:val="24"/>
                <w:szCs w:val="24"/>
              </w:rPr>
              <w:t>OUTH WEST WALES CENTRE FOR TEACHER EDUCATION</w:t>
            </w:r>
          </w:p>
        </w:tc>
      </w:tr>
    </w:tbl>
    <w:p w14:paraId="03FD86F8" w14:textId="77777777" w:rsidR="003A3CE5" w:rsidRPr="00BA6B2C" w:rsidRDefault="00BA6B2C" w:rsidP="002D5B3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2AE13FB5" w14:textId="77777777" w:rsidTr="001A24F3">
        <w:tc>
          <w:tcPr>
            <w:tcW w:w="2093" w:type="dxa"/>
            <w:shd w:val="pct15" w:color="auto" w:fill="auto"/>
          </w:tcPr>
          <w:p w14:paraId="302F87AD"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2A74B870" w14:textId="11437D6E" w:rsidR="003B3F9D" w:rsidRPr="00C1361B" w:rsidRDefault="0017512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C11815">
              <w:rPr>
                <w:rFonts w:ascii="Calibri" w:hAnsi="Calibri" w:cs="Arial"/>
                <w:b/>
                <w:sz w:val="22"/>
                <w:szCs w:val="22"/>
              </w:rPr>
              <w:t>Rhodri Mann</w:t>
            </w:r>
          </w:p>
        </w:tc>
        <w:tc>
          <w:tcPr>
            <w:tcW w:w="2613" w:type="dxa"/>
            <w:shd w:val="clear" w:color="auto" w:fill="D9D9D9"/>
          </w:tcPr>
          <w:p w14:paraId="5AD46A31"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1FABAE9" w14:textId="2AA6F1DF" w:rsidR="003B3F9D" w:rsidRPr="00C1361B" w:rsidRDefault="00A33DBF" w:rsidP="001E57C1">
            <w:pPr>
              <w:spacing w:before="120" w:after="120"/>
              <w:jc w:val="both"/>
              <w:rPr>
                <w:rFonts w:ascii="Calibri" w:hAnsi="Calibri" w:cs="Arial"/>
                <w:b/>
                <w:sz w:val="22"/>
                <w:szCs w:val="22"/>
              </w:rPr>
            </w:pPr>
            <w:r>
              <w:rPr>
                <w:rFonts w:ascii="Calibri" w:hAnsi="Calibri" w:cs="Arial"/>
                <w:b/>
                <w:sz w:val="22"/>
                <w:szCs w:val="22"/>
              </w:rPr>
              <w:t>1705713</w:t>
            </w:r>
          </w:p>
        </w:tc>
      </w:tr>
      <w:tr w:rsidR="00DB116D" w:rsidRPr="00C1361B" w14:paraId="65B98E61" w14:textId="77777777" w:rsidTr="001A24F3">
        <w:tc>
          <w:tcPr>
            <w:tcW w:w="2093" w:type="dxa"/>
            <w:shd w:val="pct15" w:color="auto" w:fill="auto"/>
          </w:tcPr>
          <w:p w14:paraId="1E55CC0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r w:rsidR="00BA6B2C">
              <w:rPr>
                <w:rFonts w:ascii="Calibri" w:hAnsi="Calibri" w:cs="Arial"/>
                <w:b/>
                <w:sz w:val="22"/>
                <w:szCs w:val="22"/>
              </w:rPr>
              <w:t xml:space="preserve"> *</w:t>
            </w:r>
          </w:p>
        </w:tc>
        <w:tc>
          <w:tcPr>
            <w:tcW w:w="8505" w:type="dxa"/>
            <w:gridSpan w:val="3"/>
          </w:tcPr>
          <w:p w14:paraId="5C814178" w14:textId="6C12B008" w:rsidR="00DB116D" w:rsidRPr="008566E5" w:rsidRDefault="007423C5" w:rsidP="00B53B62">
            <w:pPr>
              <w:spacing w:before="120" w:after="120"/>
              <w:jc w:val="both"/>
              <w:rPr>
                <w:rFonts w:ascii="Calibri" w:hAnsi="Calibri" w:cs="Arial"/>
                <w:b/>
                <w:sz w:val="22"/>
                <w:szCs w:val="22"/>
              </w:rPr>
            </w:pPr>
            <w:r>
              <w:rPr>
                <w:rFonts w:ascii="Calibri" w:hAnsi="Calibri" w:cs="Arial"/>
                <w:b/>
                <w:sz w:val="22"/>
                <w:szCs w:val="22"/>
              </w:rPr>
              <w:t xml:space="preserve">Secondary </w:t>
            </w:r>
            <w:r w:rsidR="00B53B62">
              <w:rPr>
                <w:rFonts w:ascii="Calibri" w:hAnsi="Calibri" w:cs="Arial"/>
                <w:b/>
                <w:sz w:val="22"/>
                <w:szCs w:val="22"/>
              </w:rPr>
              <w:t>Post</w:t>
            </w:r>
            <w:r>
              <w:rPr>
                <w:rFonts w:ascii="Calibri" w:hAnsi="Calibri" w:cs="Arial"/>
                <w:b/>
                <w:sz w:val="22"/>
                <w:szCs w:val="22"/>
              </w:rPr>
              <w:t xml:space="preserve"> Graduate Certificate in Education</w:t>
            </w:r>
          </w:p>
        </w:tc>
      </w:tr>
      <w:tr w:rsidR="00FB5CF8" w:rsidRPr="00C1361B" w14:paraId="2D85E5DF" w14:textId="77777777" w:rsidTr="001A24F3">
        <w:tc>
          <w:tcPr>
            <w:tcW w:w="2093" w:type="dxa"/>
            <w:shd w:val="pct15" w:color="auto" w:fill="auto"/>
          </w:tcPr>
          <w:p w14:paraId="1A980DC3" w14:textId="77777777"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r w:rsidR="00BA6B2C">
              <w:rPr>
                <w:rFonts w:ascii="Calibri" w:hAnsi="Calibri" w:cs="Arial"/>
                <w:b/>
                <w:sz w:val="22"/>
                <w:szCs w:val="22"/>
              </w:rPr>
              <w:t xml:space="preserve"> *</w:t>
            </w:r>
          </w:p>
        </w:tc>
        <w:tc>
          <w:tcPr>
            <w:tcW w:w="3781" w:type="dxa"/>
            <w:shd w:val="clear" w:color="auto" w:fill="auto"/>
          </w:tcPr>
          <w:p w14:paraId="5654A23E" w14:textId="157ED01D" w:rsidR="00FB5CF8" w:rsidRPr="00C1361B" w:rsidRDefault="007866E5" w:rsidP="00EA6801">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14:paraId="07E10B67" w14:textId="77777777" w:rsidR="00FB5CF8"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Level (</w:t>
            </w:r>
            <w:r w:rsidR="00FB5CF8" w:rsidRPr="00C1361B">
              <w:rPr>
                <w:rFonts w:ascii="Calibri" w:hAnsi="Calibri" w:cs="Arial"/>
                <w:b/>
                <w:sz w:val="22"/>
                <w:szCs w:val="22"/>
              </w:rPr>
              <w:t>6</w:t>
            </w:r>
            <w:r>
              <w:rPr>
                <w:rFonts w:ascii="Calibri" w:hAnsi="Calibri" w:cs="Arial"/>
                <w:b/>
                <w:sz w:val="22"/>
                <w:szCs w:val="22"/>
              </w:rPr>
              <w:t xml:space="preserve"> or 7</w:t>
            </w:r>
            <w:r w:rsidR="00FB5CF8"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5F7F30F4" w14:textId="19CC5626" w:rsidR="00FB5CF8" w:rsidRPr="00C1361B" w:rsidRDefault="007423C5" w:rsidP="007866E5">
            <w:pPr>
              <w:spacing w:before="120" w:after="120"/>
              <w:jc w:val="both"/>
              <w:rPr>
                <w:rFonts w:ascii="Calibri" w:hAnsi="Calibri" w:cs="Arial"/>
                <w:b/>
                <w:sz w:val="22"/>
                <w:szCs w:val="22"/>
              </w:rPr>
            </w:pPr>
            <w:r>
              <w:rPr>
                <w:rFonts w:ascii="Calibri" w:hAnsi="Calibri" w:cs="Arial"/>
                <w:b/>
                <w:sz w:val="22"/>
                <w:szCs w:val="22"/>
              </w:rPr>
              <w:t xml:space="preserve">Level </w:t>
            </w:r>
            <w:r w:rsidR="0072314A">
              <w:rPr>
                <w:rFonts w:ascii="Calibri" w:hAnsi="Calibri" w:cs="Arial"/>
                <w:b/>
                <w:sz w:val="22"/>
                <w:szCs w:val="22"/>
              </w:rPr>
              <w:t>6</w:t>
            </w:r>
          </w:p>
        </w:tc>
      </w:tr>
      <w:tr w:rsidR="00B84B5B" w:rsidRPr="00C1361B" w14:paraId="79A265BB" w14:textId="77777777" w:rsidTr="001A24F3">
        <w:tc>
          <w:tcPr>
            <w:tcW w:w="2093" w:type="dxa"/>
            <w:shd w:val="pct15" w:color="auto" w:fill="auto"/>
          </w:tcPr>
          <w:p w14:paraId="04D05EB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r w:rsidR="00BA6B2C">
              <w:rPr>
                <w:rFonts w:ascii="Calibri" w:hAnsi="Calibri" w:cs="Arial"/>
                <w:b/>
                <w:sz w:val="22"/>
                <w:szCs w:val="22"/>
              </w:rPr>
              <w:t xml:space="preserve"> *</w:t>
            </w:r>
          </w:p>
        </w:tc>
        <w:tc>
          <w:tcPr>
            <w:tcW w:w="3781" w:type="dxa"/>
          </w:tcPr>
          <w:p w14:paraId="48CDC5D4" w14:textId="32179CFE" w:rsidR="00B84B5B" w:rsidRPr="00C1361B" w:rsidRDefault="0072314A" w:rsidP="00152E9D">
            <w:pPr>
              <w:spacing w:before="120" w:after="120"/>
              <w:jc w:val="both"/>
              <w:rPr>
                <w:rFonts w:ascii="Calibri" w:hAnsi="Calibri" w:cs="Arial"/>
                <w:b/>
                <w:sz w:val="22"/>
                <w:szCs w:val="22"/>
              </w:rPr>
            </w:pPr>
            <w:r w:rsidRPr="0072314A">
              <w:rPr>
                <w:rFonts w:ascii="Calibri" w:hAnsi="Calibri" w:cs="Arial"/>
                <w:b/>
                <w:sz w:val="22"/>
                <w:szCs w:val="22"/>
              </w:rPr>
              <w:t>ECSP6004</w:t>
            </w:r>
          </w:p>
        </w:tc>
        <w:tc>
          <w:tcPr>
            <w:tcW w:w="2613" w:type="dxa"/>
            <w:shd w:val="clear" w:color="auto" w:fill="D9D9D9"/>
          </w:tcPr>
          <w:p w14:paraId="192B36D3" w14:textId="77777777"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29E30A34" w14:textId="77777777"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r w:rsidR="00BA6B2C">
              <w:rPr>
                <w:rFonts w:ascii="Calibri" w:hAnsi="Calibri" w:cs="Arial"/>
                <w:b/>
                <w:sz w:val="22"/>
                <w:szCs w:val="22"/>
              </w:rPr>
              <w:t xml:space="preserve"> *</w:t>
            </w:r>
          </w:p>
        </w:tc>
        <w:tc>
          <w:tcPr>
            <w:tcW w:w="2111" w:type="dxa"/>
          </w:tcPr>
          <w:p w14:paraId="060B46A9" w14:textId="29A14BCA" w:rsidR="00B84B5B" w:rsidRPr="00C1361B" w:rsidRDefault="007423C5"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14:paraId="4F3D72FF" w14:textId="77777777" w:rsidTr="00BA6B2C">
        <w:tc>
          <w:tcPr>
            <w:tcW w:w="2093" w:type="dxa"/>
            <w:shd w:val="pct15" w:color="auto" w:fill="auto"/>
          </w:tcPr>
          <w:p w14:paraId="6625BACE" w14:textId="77777777" w:rsidR="00BA6B2C" w:rsidRPr="00C1361B" w:rsidRDefault="00BA6B2C" w:rsidP="00E51AAC">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507C650D" w14:textId="510BBF2B" w:rsidR="00BA6B2C" w:rsidRPr="00C1361B" w:rsidRDefault="00E3293C" w:rsidP="00E51AAC">
            <w:pPr>
              <w:spacing w:before="120" w:after="120"/>
              <w:jc w:val="both"/>
              <w:rPr>
                <w:rFonts w:ascii="Calibri" w:hAnsi="Calibri" w:cs="Arial"/>
                <w:b/>
                <w:sz w:val="22"/>
                <w:szCs w:val="22"/>
              </w:rPr>
            </w:pPr>
            <w:r>
              <w:rPr>
                <w:rFonts w:ascii="Calibri" w:hAnsi="Calibri" w:cs="Arial"/>
                <w:b/>
                <w:sz w:val="22"/>
                <w:szCs w:val="22"/>
              </w:rPr>
              <w:t>Jan Barnes</w:t>
            </w:r>
          </w:p>
        </w:tc>
      </w:tr>
      <w:tr w:rsidR="00DB116D" w:rsidRPr="00C1361B" w14:paraId="690C1982" w14:textId="77777777" w:rsidTr="001A24F3">
        <w:tc>
          <w:tcPr>
            <w:tcW w:w="2093" w:type="dxa"/>
            <w:shd w:val="pct15" w:color="auto" w:fill="auto"/>
          </w:tcPr>
          <w:p w14:paraId="0371813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r w:rsidR="00BA6B2C">
              <w:rPr>
                <w:rFonts w:ascii="Calibri" w:hAnsi="Calibri" w:cs="Arial"/>
                <w:b/>
                <w:sz w:val="22"/>
                <w:szCs w:val="22"/>
              </w:rPr>
              <w:t>*</w:t>
            </w:r>
          </w:p>
        </w:tc>
        <w:tc>
          <w:tcPr>
            <w:tcW w:w="3781" w:type="dxa"/>
          </w:tcPr>
          <w:p w14:paraId="3477205B" w14:textId="4EE1ABF9" w:rsidR="00DB116D" w:rsidRPr="00F67644" w:rsidRDefault="00BC0EEA" w:rsidP="00BC0EEA">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14:paraId="592102D2"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6276223B" w14:textId="0BA4BD3F" w:rsidR="00DB116D" w:rsidRPr="00C1361B" w:rsidRDefault="007423C5"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14:paraId="21437509" w14:textId="77777777" w:rsidTr="001A24F3">
        <w:tc>
          <w:tcPr>
            <w:tcW w:w="2093" w:type="dxa"/>
            <w:shd w:val="pct15" w:color="auto" w:fill="auto"/>
          </w:tcPr>
          <w:p w14:paraId="103B7588" w14:textId="77777777" w:rsidR="00B84B5B" w:rsidRPr="00C1361B" w:rsidRDefault="00BA6B2C" w:rsidP="00E51AAC">
            <w:pPr>
              <w:spacing w:before="120" w:after="120"/>
              <w:jc w:val="both"/>
              <w:rPr>
                <w:rFonts w:ascii="Calibri" w:hAnsi="Calibri" w:cs="Arial"/>
                <w:b/>
                <w:sz w:val="22"/>
                <w:szCs w:val="22"/>
              </w:rPr>
            </w:pPr>
            <w:r>
              <w:rPr>
                <w:rFonts w:ascii="Calibri" w:hAnsi="Calibri" w:cs="Arial"/>
                <w:b/>
                <w:sz w:val="22"/>
                <w:szCs w:val="22"/>
              </w:rPr>
              <w:t>Start date</w:t>
            </w:r>
            <w:r w:rsidR="00B84B5B"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5418AC0F" w14:textId="7F0680C3" w:rsidR="00B84B5B" w:rsidRPr="00C1361B" w:rsidRDefault="00C11815" w:rsidP="005F0579">
            <w:pPr>
              <w:spacing w:before="120" w:after="120"/>
              <w:jc w:val="both"/>
              <w:rPr>
                <w:rFonts w:ascii="Calibri" w:hAnsi="Calibri" w:cs="Arial"/>
                <w:b/>
                <w:sz w:val="22"/>
                <w:szCs w:val="22"/>
              </w:rPr>
            </w:pPr>
            <w:r>
              <w:rPr>
                <w:rFonts w:ascii="Calibri" w:hAnsi="Calibri" w:cs="Arial"/>
                <w:b/>
                <w:sz w:val="22"/>
                <w:szCs w:val="22"/>
              </w:rPr>
              <w:t>02/02/18</w:t>
            </w:r>
          </w:p>
        </w:tc>
        <w:tc>
          <w:tcPr>
            <w:tcW w:w="2613" w:type="dxa"/>
            <w:shd w:val="pct15" w:color="auto" w:fill="auto"/>
          </w:tcPr>
          <w:p w14:paraId="518DAA7E"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sidR="00B84B5B" w:rsidRPr="00C1361B">
              <w:rPr>
                <w:rFonts w:ascii="Calibri" w:hAnsi="Calibri" w:cs="Arial"/>
                <w:b/>
                <w:sz w:val="22"/>
                <w:szCs w:val="22"/>
              </w:rPr>
              <w:t>:</w:t>
            </w:r>
            <w:r w:rsidR="00BA6B2C">
              <w:rPr>
                <w:rFonts w:ascii="Calibri" w:hAnsi="Calibri" w:cs="Arial"/>
                <w:b/>
                <w:sz w:val="22"/>
                <w:szCs w:val="22"/>
              </w:rPr>
              <w:t>*</w:t>
            </w:r>
            <w:proofErr w:type="gramEnd"/>
          </w:p>
        </w:tc>
        <w:tc>
          <w:tcPr>
            <w:tcW w:w="2111" w:type="dxa"/>
          </w:tcPr>
          <w:p w14:paraId="42D284F5" w14:textId="04BBE341" w:rsidR="00B84B5B" w:rsidRPr="00C1361B" w:rsidRDefault="00BC0EEA" w:rsidP="005F0579">
            <w:pPr>
              <w:spacing w:before="120" w:after="120"/>
              <w:jc w:val="both"/>
              <w:rPr>
                <w:rFonts w:ascii="Calibri" w:hAnsi="Calibri" w:cs="Arial"/>
                <w:b/>
                <w:sz w:val="22"/>
                <w:szCs w:val="22"/>
              </w:rPr>
            </w:pPr>
            <w:r>
              <w:rPr>
                <w:rFonts w:ascii="Calibri" w:hAnsi="Calibri" w:cs="Arial"/>
                <w:b/>
                <w:sz w:val="22"/>
                <w:szCs w:val="22"/>
              </w:rPr>
              <w:t>1</w:t>
            </w:r>
            <w:r w:rsidR="00E3293C">
              <w:rPr>
                <w:rFonts w:ascii="Calibri" w:hAnsi="Calibri" w:cs="Arial"/>
                <w:b/>
                <w:sz w:val="22"/>
                <w:szCs w:val="22"/>
              </w:rPr>
              <w:t>4</w:t>
            </w:r>
            <w:r w:rsidRPr="007866E5">
              <w:rPr>
                <w:rFonts w:ascii="Calibri" w:hAnsi="Calibri" w:cs="Arial"/>
                <w:b/>
                <w:sz w:val="22"/>
                <w:szCs w:val="22"/>
                <w:vertAlign w:val="superscript"/>
              </w:rPr>
              <w:t>th</w:t>
            </w:r>
            <w:r w:rsidR="00E3293C">
              <w:rPr>
                <w:rFonts w:ascii="Calibri" w:hAnsi="Calibri" w:cs="Arial"/>
                <w:b/>
                <w:sz w:val="22"/>
                <w:szCs w:val="22"/>
              </w:rPr>
              <w:t xml:space="preserve"> May 2018</w:t>
            </w:r>
            <w:r>
              <w:rPr>
                <w:rFonts w:ascii="Calibri" w:hAnsi="Calibri" w:cs="Arial"/>
                <w:b/>
                <w:sz w:val="22"/>
                <w:szCs w:val="22"/>
              </w:rPr>
              <w:t xml:space="preserve"> –full submission</w:t>
            </w:r>
          </w:p>
        </w:tc>
      </w:tr>
      <w:tr w:rsidR="00152E9D" w:rsidRPr="00C1361B" w14:paraId="2269790A" w14:textId="77777777" w:rsidTr="00152E9D">
        <w:tc>
          <w:tcPr>
            <w:tcW w:w="2093" w:type="dxa"/>
            <w:shd w:val="pct15" w:color="auto" w:fill="auto"/>
          </w:tcPr>
          <w:p w14:paraId="33ED9F6E" w14:textId="58D4DABE" w:rsidR="00152E9D" w:rsidRPr="00C1361B" w:rsidRDefault="00152E9D"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r w:rsidR="00BA6B2C">
              <w:rPr>
                <w:rFonts w:ascii="Calibri" w:hAnsi="Calibri" w:cs="Arial"/>
                <w:b/>
                <w:sz w:val="22"/>
                <w:szCs w:val="22"/>
              </w:rPr>
              <w:t>*</w:t>
            </w:r>
          </w:p>
        </w:tc>
        <w:tc>
          <w:tcPr>
            <w:tcW w:w="8505" w:type="dxa"/>
            <w:gridSpan w:val="3"/>
            <w:shd w:val="clear" w:color="auto" w:fill="auto"/>
          </w:tcPr>
          <w:p w14:paraId="3E0A0B8A" w14:textId="77D589BB" w:rsidR="007866E5" w:rsidRPr="00C1361B" w:rsidRDefault="00BC0EEA" w:rsidP="005F0579">
            <w:pPr>
              <w:spacing w:before="120" w:after="120"/>
              <w:jc w:val="both"/>
              <w:rPr>
                <w:rFonts w:ascii="Calibri" w:hAnsi="Calibri" w:cs="Arial"/>
                <w:b/>
                <w:sz w:val="22"/>
                <w:szCs w:val="22"/>
              </w:rPr>
            </w:pPr>
            <w:r>
              <w:rPr>
                <w:rFonts w:ascii="Calibri" w:hAnsi="Calibri" w:cs="Arial"/>
                <w:b/>
                <w:sz w:val="22"/>
                <w:szCs w:val="22"/>
              </w:rPr>
              <w:t>1</w:t>
            </w:r>
            <w:r w:rsidR="00E3293C">
              <w:rPr>
                <w:rFonts w:ascii="Calibri" w:hAnsi="Calibri" w:cs="Arial"/>
                <w:b/>
                <w:sz w:val="22"/>
                <w:szCs w:val="22"/>
              </w:rPr>
              <w:t>1</w:t>
            </w:r>
            <w:r w:rsidRPr="00BC0EEA">
              <w:rPr>
                <w:rFonts w:ascii="Calibri" w:hAnsi="Calibri" w:cs="Arial"/>
                <w:b/>
                <w:sz w:val="22"/>
                <w:szCs w:val="22"/>
                <w:vertAlign w:val="superscript"/>
              </w:rPr>
              <w:t>th</w:t>
            </w:r>
            <w:r>
              <w:rPr>
                <w:rFonts w:ascii="Calibri" w:hAnsi="Calibri" w:cs="Arial"/>
                <w:b/>
                <w:sz w:val="22"/>
                <w:szCs w:val="22"/>
              </w:rPr>
              <w:t xml:space="preserve"> June 201</w:t>
            </w:r>
            <w:r w:rsidR="00E3293C">
              <w:rPr>
                <w:rFonts w:ascii="Calibri" w:hAnsi="Calibri" w:cs="Arial"/>
                <w:b/>
                <w:sz w:val="22"/>
                <w:szCs w:val="22"/>
              </w:rPr>
              <w:t>8</w:t>
            </w:r>
          </w:p>
        </w:tc>
      </w:tr>
    </w:tbl>
    <w:p w14:paraId="4355282F" w14:textId="694E0065"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108D345A" w14:textId="77777777">
        <w:trPr>
          <w:trHeight w:val="421"/>
        </w:trPr>
        <w:tc>
          <w:tcPr>
            <w:tcW w:w="1809" w:type="dxa"/>
            <w:tcBorders>
              <w:top w:val="single" w:sz="6" w:space="0" w:color="auto"/>
            </w:tcBorders>
            <w:shd w:val="clear" w:color="auto" w:fill="D9D9D9"/>
          </w:tcPr>
          <w:p w14:paraId="34F36BB7"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97820BF"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3B6C95">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4FF598C" w14:textId="77777777" w:rsidTr="00BA1176">
        <w:trPr>
          <w:trHeight w:val="666"/>
        </w:trPr>
        <w:tc>
          <w:tcPr>
            <w:tcW w:w="1809" w:type="dxa"/>
            <w:tcBorders>
              <w:top w:val="single" w:sz="6" w:space="0" w:color="auto"/>
            </w:tcBorders>
            <w:shd w:val="clear" w:color="auto" w:fill="D9D9D9"/>
          </w:tcPr>
          <w:p w14:paraId="141E2901" w14:textId="77777777"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6417C9B4" w14:textId="77777777" w:rsidR="0022746E" w:rsidRPr="00152E9D" w:rsidRDefault="0022746E" w:rsidP="0022746E">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FA1DD06" w14:textId="77777777" w:rsidR="0022746E" w:rsidRPr="0022746E" w:rsidRDefault="0022746E" w:rsidP="0022746E">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Late submission of the electronic version of the assignment wi</w:t>
            </w:r>
            <w:r w:rsidR="00BA6B2C">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sidR="00BA6B2C">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7FA918D3"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52A5B5A" w14:textId="0E9ADC24" w:rsidR="00FB5CF8" w:rsidRPr="00C1361B" w:rsidRDefault="00C11815" w:rsidP="00FB5CF8">
            <w:pPr>
              <w:rPr>
                <w:rFonts w:ascii="Calibri" w:hAnsi="Calibri" w:cs="Arial"/>
                <w:b/>
              </w:rPr>
            </w:pPr>
            <w:r>
              <w:rPr>
                <w:rFonts w:ascii="Calibri" w:hAnsi="Calibri" w:cs="Arial"/>
                <w:b/>
              </w:rPr>
              <w:t>14/05/18</w:t>
            </w:r>
          </w:p>
        </w:tc>
      </w:tr>
    </w:tbl>
    <w:p w14:paraId="231B1F23"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6891BFCE" w14:textId="77777777" w:rsidTr="00152E9D">
        <w:trPr>
          <w:trHeight w:val="386"/>
        </w:trPr>
        <w:tc>
          <w:tcPr>
            <w:tcW w:w="9464" w:type="dxa"/>
            <w:vMerge w:val="restart"/>
            <w:shd w:val="pct15" w:color="auto" w:fill="auto"/>
          </w:tcPr>
          <w:p w14:paraId="62863BEF" w14:textId="77777777" w:rsidR="00BA1176" w:rsidRPr="00BA1176" w:rsidRDefault="00BA6B2C" w:rsidP="0022746E">
            <w:pPr>
              <w:spacing w:before="120" w:after="120"/>
              <w:jc w:val="both"/>
              <w:rPr>
                <w:rFonts w:ascii="Calibri" w:hAnsi="Calibri" w:cs="Calibri"/>
                <w:b/>
                <w:sz w:val="18"/>
                <w:szCs w:val="18"/>
              </w:rPr>
            </w:pPr>
            <w:r>
              <w:rPr>
                <w:rFonts w:ascii="Calibri" w:hAnsi="Calibri" w:cs="Arial"/>
                <w:sz w:val="18"/>
                <w:szCs w:val="18"/>
              </w:rPr>
              <w:t>Module lead</w:t>
            </w:r>
            <w:r w:rsidR="00152E9D" w:rsidRPr="00BA1176">
              <w:rPr>
                <w:rFonts w:ascii="Calibri" w:hAnsi="Calibri" w:cs="Arial"/>
                <w:sz w:val="18"/>
                <w:szCs w:val="18"/>
              </w:rPr>
              <w:t xml:space="preserve"> to</w:t>
            </w:r>
            <w:r w:rsidR="003B6C95">
              <w:rPr>
                <w:rFonts w:ascii="Calibri" w:hAnsi="Calibri" w:cs="Arial"/>
                <w:sz w:val="18"/>
                <w:szCs w:val="18"/>
              </w:rPr>
              <w:t xml:space="preserve"> </w:t>
            </w:r>
            <w:r w:rsidR="00152E9D" w:rsidRPr="00BA1176">
              <w:rPr>
                <w:rFonts w:ascii="Calibri" w:hAnsi="Calibri" w:cs="Arial"/>
                <w:sz w:val="18"/>
                <w:szCs w:val="18"/>
              </w:rPr>
              <w:t>t</w:t>
            </w:r>
            <w:r w:rsidR="00152E9D">
              <w:rPr>
                <w:rFonts w:ascii="Calibri" w:hAnsi="Calibri" w:cs="Arial"/>
                <w:sz w:val="18"/>
                <w:szCs w:val="18"/>
              </w:rPr>
              <w:t>ick to indicate if a hard copy</w:t>
            </w:r>
            <w:r w:rsidR="00152E9D" w:rsidRPr="00BA1176">
              <w:rPr>
                <w:rFonts w:ascii="Calibri" w:hAnsi="Calibri" w:cs="Arial"/>
                <w:sz w:val="18"/>
                <w:szCs w:val="18"/>
              </w:rPr>
              <w:t xml:space="preserve"> version of the assignment must be</w:t>
            </w:r>
            <w:r w:rsidR="00152E9D">
              <w:rPr>
                <w:rFonts w:ascii="Calibri" w:hAnsi="Calibri" w:cs="Arial"/>
                <w:sz w:val="18"/>
                <w:szCs w:val="18"/>
              </w:rPr>
              <w:t xml:space="preserve"> submitted.</w:t>
            </w:r>
            <w:r>
              <w:rPr>
                <w:rFonts w:ascii="Calibri" w:hAnsi="Calibri" w:cs="Arial"/>
                <w:sz w:val="18"/>
                <w:szCs w:val="18"/>
              </w:rPr>
              <w:t>*</w:t>
            </w:r>
          </w:p>
        </w:tc>
        <w:tc>
          <w:tcPr>
            <w:tcW w:w="567" w:type="dxa"/>
            <w:shd w:val="pct15" w:color="auto" w:fill="auto"/>
          </w:tcPr>
          <w:p w14:paraId="52B61ED5"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2FC9B782" w14:textId="77777777" w:rsidR="00BA1176" w:rsidRPr="00BF30FF" w:rsidRDefault="00BA1176" w:rsidP="00B81AD3">
            <w:pPr>
              <w:spacing w:before="120" w:after="120"/>
              <w:jc w:val="both"/>
              <w:rPr>
                <w:rFonts w:ascii="Calibri" w:hAnsi="Calibri" w:cs="Calibri"/>
                <w:b/>
              </w:rPr>
            </w:pPr>
          </w:p>
        </w:tc>
      </w:tr>
      <w:tr w:rsidR="00BA1176" w:rsidRPr="00BF30FF" w14:paraId="2E5F7482" w14:textId="77777777" w:rsidTr="00152E9D">
        <w:trPr>
          <w:trHeight w:val="408"/>
        </w:trPr>
        <w:tc>
          <w:tcPr>
            <w:tcW w:w="9464" w:type="dxa"/>
            <w:vMerge/>
            <w:shd w:val="pct15" w:color="auto" w:fill="auto"/>
          </w:tcPr>
          <w:p w14:paraId="3A7829E9"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EECB4F3"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9E697EE" w14:textId="44D97981" w:rsidR="00BA1176" w:rsidRPr="00BF30FF" w:rsidRDefault="007423C5" w:rsidP="00B81AD3">
            <w:pPr>
              <w:spacing w:before="120" w:after="120"/>
              <w:jc w:val="both"/>
              <w:rPr>
                <w:rFonts w:ascii="Calibri" w:hAnsi="Calibri" w:cs="Calibri"/>
                <w:b/>
              </w:rPr>
            </w:pPr>
            <w:r>
              <w:rPr>
                <w:rFonts w:ascii="Calibri" w:hAnsi="Calibri" w:cs="Calibri"/>
                <w:b/>
              </w:rPr>
              <w:t>√</w:t>
            </w:r>
          </w:p>
        </w:tc>
      </w:tr>
    </w:tbl>
    <w:p w14:paraId="1F055A0C" w14:textId="77777777" w:rsidR="0028204E" w:rsidRDefault="0028204E" w:rsidP="00DB116D">
      <w:pPr>
        <w:rPr>
          <w:sz w:val="32"/>
        </w:rPr>
      </w:pPr>
    </w:p>
    <w:p w14:paraId="2B5C4864" w14:textId="77777777" w:rsidR="00152E9D" w:rsidRDefault="00152E9D" w:rsidP="00DB116D">
      <w:pPr>
        <w:rPr>
          <w:rFonts w:ascii="Calibri" w:hAnsi="Calibri" w:cs="Calibri"/>
          <w:b/>
        </w:rPr>
      </w:pPr>
    </w:p>
    <w:p w14:paraId="0E51E97E" w14:textId="6199B261" w:rsidR="00BA6B2C" w:rsidRDefault="00BA6B2C" w:rsidP="00DB116D">
      <w:pPr>
        <w:rPr>
          <w:rFonts w:ascii="Calibri" w:hAnsi="Calibri" w:cs="Calibri"/>
          <w:b/>
        </w:rPr>
      </w:pPr>
    </w:p>
    <w:p w14:paraId="605D202F" w14:textId="6FA888F5" w:rsidR="00A33DBF" w:rsidRDefault="00A33DBF" w:rsidP="00DB116D">
      <w:pPr>
        <w:rPr>
          <w:rFonts w:ascii="Calibri" w:hAnsi="Calibri" w:cs="Calibri"/>
          <w:b/>
        </w:rPr>
      </w:pPr>
    </w:p>
    <w:p w14:paraId="2F9B0FB3" w14:textId="6AB600B2" w:rsidR="00A33DBF" w:rsidRDefault="00A33DBF" w:rsidP="00DB116D">
      <w:pPr>
        <w:rPr>
          <w:rFonts w:ascii="Calibri" w:hAnsi="Calibri" w:cs="Calibri"/>
          <w:b/>
        </w:rPr>
      </w:pPr>
    </w:p>
    <w:p w14:paraId="63458F1E" w14:textId="7E9065A9" w:rsidR="00A33DBF" w:rsidRDefault="00A33DBF" w:rsidP="00DB116D">
      <w:pPr>
        <w:rPr>
          <w:rFonts w:ascii="Calibri" w:hAnsi="Calibri" w:cs="Calibri"/>
          <w:b/>
        </w:rPr>
      </w:pPr>
    </w:p>
    <w:p w14:paraId="0498F697" w14:textId="7B38AB6F" w:rsidR="00A33DBF" w:rsidRDefault="00A33DBF" w:rsidP="00DB116D">
      <w:pPr>
        <w:rPr>
          <w:rFonts w:ascii="Calibri" w:hAnsi="Calibri" w:cs="Calibri"/>
          <w:b/>
        </w:rPr>
      </w:pPr>
    </w:p>
    <w:p w14:paraId="4815C473" w14:textId="061E44D3" w:rsidR="00A33DBF" w:rsidRDefault="00A33DBF" w:rsidP="00DB116D">
      <w:pPr>
        <w:rPr>
          <w:rFonts w:ascii="Calibri" w:hAnsi="Calibri" w:cs="Calibri"/>
          <w:b/>
        </w:rPr>
      </w:pPr>
    </w:p>
    <w:p w14:paraId="52430C59" w14:textId="713D86EC" w:rsidR="00A33DBF" w:rsidRDefault="00A33DBF" w:rsidP="00DB116D">
      <w:pPr>
        <w:rPr>
          <w:rFonts w:ascii="Calibri" w:hAnsi="Calibri" w:cs="Calibri"/>
          <w:b/>
        </w:rPr>
      </w:pPr>
    </w:p>
    <w:p w14:paraId="606E0EB5" w14:textId="79372312" w:rsidR="00A33DBF" w:rsidRDefault="00A33DBF" w:rsidP="00DB116D">
      <w:pPr>
        <w:rPr>
          <w:rFonts w:ascii="Calibri" w:hAnsi="Calibri" w:cs="Calibri"/>
          <w:b/>
        </w:rPr>
      </w:pPr>
    </w:p>
    <w:p w14:paraId="53496A44" w14:textId="427E8EF1" w:rsidR="00A33DBF" w:rsidRDefault="00A33DBF" w:rsidP="00DB116D">
      <w:pPr>
        <w:rPr>
          <w:rFonts w:ascii="Calibri" w:hAnsi="Calibri" w:cs="Calibri"/>
          <w:b/>
        </w:rPr>
      </w:pPr>
    </w:p>
    <w:p w14:paraId="6101AFAB" w14:textId="4B160D5C" w:rsidR="00A33DBF" w:rsidRDefault="00A33DBF" w:rsidP="00A33DBF">
      <w:pPr>
        <w:spacing w:line="360" w:lineRule="auto"/>
        <w:jc w:val="both"/>
      </w:pPr>
      <w:r w:rsidRPr="007E05A3">
        <w:t xml:space="preserve">The intention of providing guidance to students through scaffolding is to allow students to develop their understanding of a topic and be confident in addressing the topic either through verbal or written means. The use of scaffolding within education is to allow students to enhance their prior Knowledge to understand and maintain new information. This allows students to accomplish a higher standard of work to what the student couldn’t have accomplished alone (Olson and Pratt, 2000). This investigation provided me with the opportunity to guide students at School X with various </w:t>
      </w:r>
      <w:r>
        <w:t>s</w:t>
      </w:r>
      <w:r w:rsidRPr="007E05A3">
        <w:t>caffolding techniques to improve their understanding of the topic in question in terms of enhancing their literacy and numeracy skills.</w:t>
      </w:r>
      <w:r>
        <w:t xml:space="preserve"> It is important that students don’t disengage with the subject in relation to their ability to complete activities, for example students may disengage with the subject as the activity is too difficult and students may not understand the topic in question. Therefore, scaffolding is implemented within a lesson to guide students and improve their understanding of the topic in question. In relation to this research, an investigation and intervention has been carried out at School X with key stage 3 classes to identify if various scaffolding techniques can be used to improve students understanding and thus develop their numeracy and literacy skills.</w:t>
      </w:r>
    </w:p>
    <w:p w14:paraId="280B596A" w14:textId="77777777" w:rsidR="00A33DBF" w:rsidRDefault="00A33DBF" w:rsidP="00A33DBF">
      <w:pPr>
        <w:spacing w:line="360" w:lineRule="auto"/>
        <w:jc w:val="both"/>
      </w:pPr>
    </w:p>
    <w:p w14:paraId="18BD2D1B" w14:textId="56720CED" w:rsidR="00A33DBF" w:rsidRDefault="00A33DBF" w:rsidP="00A33DBF">
      <w:pPr>
        <w:spacing w:line="360" w:lineRule="auto"/>
        <w:jc w:val="both"/>
      </w:pPr>
      <w:r w:rsidRPr="00146641">
        <w:t xml:space="preserve">School X is considered to be a “green” category school located in South Wales and currently has 790 pupils whereby 19.4% of students currently receive free school meals (My local school, 2017). In addition, the school was given a rating of “good” during the school inspection whereby there is a high level of support and guidance for students whereby the 502 students at key stage 3 are considered to be ‘above expectations’. Furthermore, the inspection report suggests that the achievement gap between boys and girls needs to be reduced at key stage three with the implementation of extended writing and numeracy skills across the curriculum (Estyn, 2014). During my teaching experiences at School X, it can now be evident especially in Geography, that students are now completing literacy and numeracy assessments in relation to a topic that has been covered in previous lessons. This allowed me to take the opportunity to implement and introduce various scaffolding approaches for students during these literacy and numeracy assessments. My intervention consisted of 250 pupils separated into nine key stage 3 classes whereby 37 of these students have additional learning needs (ALN) and are currently on individual educational programmes (IEPs). The approach to the intervention was to provide scaffolding for whole class improvement whereby the class as a whole, received the same scaffolding techniques, however, this still can be assessed individually. </w:t>
      </w:r>
      <w:r>
        <w:t>These scaffolding techniques were given to students were during the numeracy and literacy assessment.</w:t>
      </w:r>
      <w:r w:rsidRPr="00146641">
        <w:t xml:space="preserve"> </w:t>
      </w:r>
    </w:p>
    <w:p w14:paraId="7066BCA2" w14:textId="77777777" w:rsidR="00A33DBF" w:rsidRDefault="00A33DBF" w:rsidP="00A33DBF">
      <w:pPr>
        <w:spacing w:line="360" w:lineRule="auto"/>
        <w:jc w:val="both"/>
      </w:pPr>
    </w:p>
    <w:p w14:paraId="2C78338F" w14:textId="77777777" w:rsidR="00A33DBF" w:rsidRDefault="00A33DBF" w:rsidP="00A33DBF">
      <w:pPr>
        <w:spacing w:line="360" w:lineRule="auto"/>
        <w:jc w:val="both"/>
      </w:pPr>
      <w:r>
        <w:t xml:space="preserve">The nature of scaffolding within education was first identified by Wood, Burner and Ross (1976) as a way to support and guide children whilst learning. Within the classroom, scaffolding is the assistance that the teacher gives to students to provide appropriate assistance to complete a task and develop their understanding of a new topic. With this scaffolding in place, when a new activity is introduced, students should be able to complete that task alone. Therefore, scaffolding refers to the teacher supporting pupils with the necessary assistance to allow them to complete a task they would not </w:t>
      </w:r>
      <w:proofErr w:type="spellStart"/>
      <w:r>
        <w:t>mange</w:t>
      </w:r>
      <w:proofErr w:type="spellEnd"/>
      <w:r>
        <w:t xml:space="preserve"> to complete on their own (Hammond and Gibbons, 2001). Burner (1978) gave a true definition of scaffolding whereby it is the required steps to reduce the amount of freedom a student has by carrying out a particular task that allows the student concentrate on a skill that they consider to be difficult. This term was built on by Mercer (1994) whereby scaffolding is a form of cognitive support where the teacher already understands the students’ mental functions and produces guidance that will not only support the student but challenge and extend their understanding of the topic in question. However, it can evident that there are implications with scaffolding techniques within education in terms of the amount of support and challenge given by the teacher. </w:t>
      </w:r>
      <w:proofErr w:type="spellStart"/>
      <w:r>
        <w:t>Mariani</w:t>
      </w:r>
      <w:proofErr w:type="spellEnd"/>
      <w:r>
        <w:t xml:space="preserve"> (1997) examined the potential issues that relate to the amount of cognitive support that is given by the teacher. He identified that students can become frustrated and confused when a task is given which is considered to be of a high challenge whereby there is little support given to the students. This means that students will not be capable of completing such work and reach the standards and success that the teacher is expecting. In addition, if work has been set and is considered to be low challenging and has little or no support, the students are unlikely to be motivated enough to complete the task therefore minimal learning will be done and students will express their little interest in the work through misbehaviour. Furthermore, if the lesson is taught with a low challenge but there is high support given to the students, the learners will enjoy the lesson but will not be pushed enough to further develop their understanding of the topic. Therefore, it is suggested that the teacher </w:t>
      </w:r>
      <w:r>
        <w:lastRenderedPageBreak/>
        <w:t>needs to incorporate challenges in the lesson which are difficult but provide essential support to allow students to be pushed beyond their capabilities (Hammond and Gibbons, 2001). This teacher interaction with the students will affect their achievement and allow the students to succeed in a task that has a controlled complexity, meaning that this cognitive support will be beneficial for the students learning and well-being whereby the students’ effort of the task will relate to their attention and effort in the classroom. This can be in relation to the scaffolding which has been implemented by the teacher (</w:t>
      </w:r>
      <w:proofErr w:type="spellStart"/>
      <w:r>
        <w:t>Mattanah</w:t>
      </w:r>
      <w:proofErr w:type="spellEnd"/>
      <w:r>
        <w:t xml:space="preserve"> et al, 2005; Fredricks et al, 2004). </w:t>
      </w:r>
    </w:p>
    <w:p w14:paraId="1A5ECB1F" w14:textId="305F7934" w:rsidR="00A33DBF" w:rsidRDefault="00A33DBF" w:rsidP="00A33DBF">
      <w:pPr>
        <w:spacing w:line="360" w:lineRule="auto"/>
        <w:jc w:val="both"/>
      </w:pPr>
      <w:r>
        <w:t>This theory was expanded on which suggested that if the control of work between the teacher and the student is too high it is assumed that the result of the student understanding the topic will be obvious. Therefore, the student will not be challenged enough and won’t have an active role of obtaining the information, meaning connections may not be made. Furthermore, if the scaffolding which has been put in place relates to prior knowledge, this may hinder students to adapt and interpret new information and thus disengage the student from the activity. (</w:t>
      </w:r>
      <w:proofErr w:type="spellStart"/>
      <w:r>
        <w:t>Wittwer</w:t>
      </w:r>
      <w:proofErr w:type="spellEnd"/>
      <w:r>
        <w:t xml:space="preserve"> and </w:t>
      </w:r>
      <w:proofErr w:type="spellStart"/>
      <w:r>
        <w:t>Renkl</w:t>
      </w:r>
      <w:proofErr w:type="spellEnd"/>
      <w:r>
        <w:t>, 2008). In addition, further research suggests that if the level of scaffolding is considered to be low for the student and minimal help is given, students cannot develop their knowledge as they are unable to make a relation to prior knowledge. It is thought that the ‘cognitive load of processing information is too high’ for the student and the teacher has not met the needs of the learner (</w:t>
      </w:r>
      <w:proofErr w:type="spellStart"/>
      <w:r>
        <w:t>Wittwer</w:t>
      </w:r>
      <w:proofErr w:type="spellEnd"/>
      <w:r>
        <w:t xml:space="preserve"> </w:t>
      </w:r>
      <w:r w:rsidRPr="004D5696">
        <w:rPr>
          <w:i/>
        </w:rPr>
        <w:t>et al,</w:t>
      </w:r>
      <w:r>
        <w:t xml:space="preserve"> 2010). </w:t>
      </w:r>
    </w:p>
    <w:p w14:paraId="59B99E86" w14:textId="77777777" w:rsidR="00A33DBF" w:rsidRDefault="00A33DBF" w:rsidP="00A33DBF">
      <w:pPr>
        <w:spacing w:line="360" w:lineRule="auto"/>
        <w:jc w:val="both"/>
      </w:pPr>
    </w:p>
    <w:p w14:paraId="41A31364" w14:textId="41036454" w:rsidR="00A33DBF" w:rsidRDefault="00A33DBF" w:rsidP="00A33DBF">
      <w:pPr>
        <w:spacing w:line="360" w:lineRule="auto"/>
        <w:jc w:val="both"/>
      </w:pPr>
      <w:r w:rsidRPr="00D365DC">
        <w:t>However, if the resources used fit the students understanding, the student will have the correct amount of scaffolding to actively deepen their understanding with the information given. Thus, the student can make relations to the new information with aid of prior knowledge from previous work. If the scaffolding used meets the needs of the learner, they will be able to achieve a deeper understanding of the new aspect which is being addressed (</w:t>
      </w:r>
      <w:proofErr w:type="spellStart"/>
      <w:r w:rsidRPr="00D365DC">
        <w:t>Wittwer</w:t>
      </w:r>
      <w:proofErr w:type="spellEnd"/>
      <w:r w:rsidRPr="00D365DC">
        <w:t xml:space="preserve"> </w:t>
      </w:r>
      <w:r w:rsidRPr="004D5696">
        <w:rPr>
          <w:i/>
        </w:rPr>
        <w:t>et al</w:t>
      </w:r>
      <w:r w:rsidRPr="00D365DC">
        <w:t xml:space="preserve">, 2010). On the other hand, a recent study was carried out by Van de Pol </w:t>
      </w:r>
      <w:r w:rsidRPr="004D5696">
        <w:rPr>
          <w:i/>
        </w:rPr>
        <w:t>et al</w:t>
      </w:r>
      <w:r w:rsidRPr="00D365DC">
        <w:t xml:space="preserve"> (2015) which stated that the use of teacher support through scaffolding is assumed to be effective as there is little evidence that exist of scaffolding within teaching in a classroom. The intervention that was carried out showed that in most cases, low contingent scaffolding support was resulted in student achievement being more successful than to a high level of scaffolding. It was suggested that if high level support was given the time students work on the task in hand was much shorter meaning the student may not have deepened their understanding. Van de Pol </w:t>
      </w:r>
      <w:r w:rsidRPr="004D5696">
        <w:rPr>
          <w:i/>
        </w:rPr>
        <w:t>et al</w:t>
      </w:r>
      <w:r w:rsidRPr="00D365DC">
        <w:t xml:space="preserve"> (2010) concluded that the scaffolding given can aid students to develop their understanding but the effectiveness can be dependent on a number of factors such as the working time and the amount of effort the student may give in a task. This study was in relation to group work whereby the use of scaffolding may not be as effective as scaffolding given to an individual. This will be accounted for in my own intervention whereby a lesson will involve group work where the scaffolding given will be based on the ability of the group. </w:t>
      </w:r>
    </w:p>
    <w:p w14:paraId="3A2CC8B3" w14:textId="77777777" w:rsidR="00A33DBF" w:rsidRDefault="00A33DBF" w:rsidP="00A33DBF">
      <w:pPr>
        <w:spacing w:line="360" w:lineRule="auto"/>
        <w:jc w:val="both"/>
      </w:pPr>
    </w:p>
    <w:p w14:paraId="282BC6D6" w14:textId="631C613A" w:rsidR="00A33DBF" w:rsidRDefault="00A33DBF" w:rsidP="00A33DBF">
      <w:pPr>
        <w:spacing w:line="360" w:lineRule="auto"/>
        <w:jc w:val="both"/>
      </w:pPr>
      <w:r w:rsidRPr="00D365DC">
        <w:t xml:space="preserve">Furthermore, the majority of research in relation the cognitive support is mainly based on parent scaffolding were the outcomes for scaffolding on a one to one basis is a lot more successful. In addition to the research carried out by Van de Pol </w:t>
      </w:r>
      <w:r w:rsidRPr="004D5696">
        <w:rPr>
          <w:i/>
        </w:rPr>
        <w:t>et al</w:t>
      </w:r>
      <w:r w:rsidRPr="00D365DC">
        <w:t xml:space="preserve"> (2010), a study was carried out to compare parent scaffolding and teacher scaffolding. Davis and Miyake </w:t>
      </w:r>
      <w:r>
        <w:t>(</w:t>
      </w:r>
      <w:r w:rsidRPr="00D365DC">
        <w:t>2004</w:t>
      </w:r>
      <w:r>
        <w:t>)</w:t>
      </w:r>
      <w:r w:rsidRPr="00D365DC">
        <w:t xml:space="preserve"> concluded that there is a clear difference in the effectiveness of parent scaffolding to teacher scaffolding. The research identified that the parent will have a better understanding of their child and provide scaffolding in an appropriate manner whereas the teacher will have a less understanding of their students and therefore need to adapt their scaffolding approaches. In addition, the environment to which the scaffolding is given is another factor to address as within a classroom (e.g. 30 pupils), the teacher will have a shorter timeframe to address students as individuals and provide the appropriate scaffolding that the learner needs.</w:t>
      </w:r>
      <w:r>
        <w:t xml:space="preserve"> </w:t>
      </w:r>
    </w:p>
    <w:p w14:paraId="52CAE4FB" w14:textId="77777777" w:rsidR="00A33DBF" w:rsidRDefault="00A33DBF" w:rsidP="00A33DBF">
      <w:pPr>
        <w:spacing w:line="360" w:lineRule="auto"/>
        <w:jc w:val="both"/>
      </w:pPr>
    </w:p>
    <w:p w14:paraId="3277BB9C" w14:textId="4CBF5523" w:rsidR="00A33DBF" w:rsidRDefault="00A33DBF" w:rsidP="00A33DBF">
      <w:pPr>
        <w:spacing w:line="360" w:lineRule="auto"/>
        <w:jc w:val="both"/>
      </w:pPr>
      <w:r>
        <w:t xml:space="preserve">There has been a strong focus of research that is based on work within small groups in the classroom. However, the role of the teacher in these activities has not been addressed as much whereas the focus has addressed on how students react and contribute to group work (Webb, 2009). One such intervention focused on how the teacher can use questioning to initiate discussions for a group which is of high standard. This allowed the research to focus more on how the teacher contributes to the lesson as little consideration has been made on how the teacher can provide scaffolding to students which can allow for a deeper understanding of the topic. It is suggested that the scaffolding used in the lesson needs to target the quality of the support to meet the learners needs rather that the type of support whereby the type of support could not suit the learner (Mercer and Littleton, 2007). To allow the teacher to provide </w:t>
      </w:r>
      <w:r>
        <w:lastRenderedPageBreak/>
        <w:t>the high quality of support for small groups, the teacher needs to assess the students understanding of the topic beforehand and then set appropriate scaffolding for each group. Therefore, to determine the effectiveness of the scaffolding, the teacher needs to evaluate the students understanding of the topic before setting support for each group which will meet their needs. Furthermore, it is suggested that it is important that the teacher gives enough working time as an individual and not as a group as if the work given has been scaffolded, group work may take longer. It is important to allow the student to process information and develop their understanding of the topic as an individual and not within a group. This will allow the teacher to assess the student as an individual and evaluate their understanding (Chiu, 2004; Duffy and Cunningham, 1996)</w:t>
      </w:r>
      <w:r w:rsidRPr="00313E66">
        <w:t xml:space="preserve">. </w:t>
      </w:r>
    </w:p>
    <w:p w14:paraId="63320564" w14:textId="77777777" w:rsidR="00A33DBF" w:rsidRDefault="00A33DBF" w:rsidP="00A33DBF">
      <w:pPr>
        <w:spacing w:line="360" w:lineRule="auto"/>
        <w:jc w:val="both"/>
      </w:pPr>
    </w:p>
    <w:p w14:paraId="36652E88" w14:textId="1105B9D4" w:rsidR="00A33DBF" w:rsidRDefault="00A33DBF" w:rsidP="00A33DBF">
      <w:pPr>
        <w:spacing w:line="360" w:lineRule="auto"/>
        <w:jc w:val="both"/>
      </w:pPr>
      <w:r w:rsidRPr="00313E66">
        <w:t xml:space="preserve">There is a wide range of research studies that closely link to individual learners receiving appropriate scaffolding as it is considered that the student will develop their knowledge more on the task if the attention is focused on the individual. Moreover, students who have been put into small groups may lose their focus on the task in hand and then become easily distracted. This means that the teacher may not be able to identify if the scaffolding which has been put in place is effective or not in relation to the learners understanding and task effort. Therefore, is it essential that the teacher understands when to implement the scaffolding techniques when there is poor understanding from the student and know when to reduce the amount of scaffolding when the student has a more developed understanding (Cohen, 1994; Blatchford </w:t>
      </w:r>
      <w:r w:rsidRPr="004D5696">
        <w:rPr>
          <w:i/>
        </w:rPr>
        <w:t>et al,</w:t>
      </w:r>
      <w:r w:rsidRPr="00313E66">
        <w:t xml:space="preserve"> 2007; Van de Pol and </w:t>
      </w:r>
      <w:proofErr w:type="spellStart"/>
      <w:r w:rsidRPr="00313E66">
        <w:t>Elbers</w:t>
      </w:r>
      <w:proofErr w:type="spellEnd"/>
      <w:r w:rsidRPr="00313E66">
        <w:t xml:space="preserve"> 2013). </w:t>
      </w:r>
    </w:p>
    <w:p w14:paraId="23B6AE18" w14:textId="77777777" w:rsidR="00A33DBF" w:rsidRDefault="00A33DBF" w:rsidP="00A33DBF">
      <w:pPr>
        <w:spacing w:line="360" w:lineRule="auto"/>
        <w:jc w:val="both"/>
      </w:pPr>
    </w:p>
    <w:p w14:paraId="62B6EF98" w14:textId="32418B69" w:rsidR="00A33DBF" w:rsidRDefault="00A33DBF" w:rsidP="00A33DBF">
      <w:pPr>
        <w:spacing w:line="360" w:lineRule="auto"/>
        <w:jc w:val="both"/>
      </w:pPr>
      <w:r w:rsidRPr="00313E66">
        <w:t>The approach to how the teacher can provide essential and appropriate scaffolding to the learner can originate from the Zone of Proximal Development (ZPD) as proposed by Vygotsky (1978) to be the main focus point for scaffolding.</w:t>
      </w:r>
      <w:r>
        <w:t xml:space="preserve"> He defined that the zone of proximal development is the area between the learner successfully completing work independently and where the learner needs to develop their understanding with aid from a peer such as a teacher. This guidance from the teacher should be specific to the leaner and address the understanding through written and social means. However, research studies have approached the theory in different ways whereby the research activities have had different outcomes as they have interpreted the theory in alternate ways (Miller, 1993). The term scaffolding is based from Vygotsky’ theory of the zone of proximal development as scaffolding can reduce the distance of what the learner can understand themselves and what is needed to succeed and develop that understanding further. This is why the scaffolding which is out in place closely relates to the leaners zone of proximal development. Therefore, scaffolding can be defined as the teacher’s role to provide appropriate support to the learner to help them develop their knowledge through various support structures to guide them to a higher level. Thus, aiding the student through the zone of proximal development with an appropriate amount of assistance to the task by which the learner may not have been able to complete as an individual (Chang, Sung and Chen, 2002; Raymond, 2000). It is also stressed that the importance of a student to develop their understanding and expand their knowledge of a topic should not be solely achieved in isolation but instead allow the student to socially interact with other class members and the teacher as leaners especially in primary and secondary education develop their intelligence through a social setting. This scaffolding instruction will guide and aid the student to develop their understanding more efficiently as this social interaction may be coming from an individual with a better understanding of the topic (e.g. teacher) (Bransford, Brown and Cocking, 2000). The zone of proximal development area allows the teacher to identify what the student can achieve as an individual and what can be achieved with assistance from the teacher. The teacher can identify if the student is in the zone of proximal development when the topic or aspect addressed within a lesson is above the current level and skills of the students. This not only helps the teacher to identify that the student needs support but it also inclines the student to go beyond their expected level and improve their knowledgeable skills (Jaramillo, 1996).</w:t>
      </w:r>
    </w:p>
    <w:p w14:paraId="178E19EE" w14:textId="77777777" w:rsidR="00A33DBF" w:rsidRDefault="00A33DBF" w:rsidP="00A33DBF">
      <w:pPr>
        <w:spacing w:line="360" w:lineRule="auto"/>
        <w:jc w:val="both"/>
      </w:pPr>
    </w:p>
    <w:p w14:paraId="1F129268" w14:textId="418590AF" w:rsidR="00A33DBF" w:rsidRDefault="00A33DBF" w:rsidP="00A33DBF">
      <w:pPr>
        <w:spacing w:line="360" w:lineRule="auto"/>
        <w:jc w:val="both"/>
      </w:pPr>
      <w:r>
        <w:t xml:space="preserve">The process of scaffolding can involve a variety of processes and ideas to which the need of the learner is met to allow them to succeed and go beyond their expectations. The use of scaffolding engages the learner more in the subject whereby the learner is not forced to listen to the information given to them but instead increase their knowledge through prompts from the teacher. This scaffolding given by the teacher can be considered to be efficient through the work being more structured and precise where the structure meets the needs of the learner and any faults have been reduced. This means that there is an increased amount of time </w:t>
      </w:r>
      <w:r>
        <w:lastRenderedPageBreak/>
        <w:t>spent on the activity. In addition, the use of scaffolding creates momentum where the learner ‘spend less time searching and more time discovering’ whereby the feedback given to the student will be positive and therefore motivate the student more to learn. This can be in relation to students with a low self-esteem or additional learning needs (McKenzie, 1999).</w:t>
      </w:r>
    </w:p>
    <w:p w14:paraId="3C0C5F84" w14:textId="77777777" w:rsidR="00A33DBF" w:rsidRDefault="00A33DBF" w:rsidP="00A33DBF">
      <w:pPr>
        <w:spacing w:line="360" w:lineRule="auto"/>
        <w:jc w:val="both"/>
      </w:pPr>
    </w:p>
    <w:p w14:paraId="268760BF" w14:textId="41B931E8" w:rsidR="00A33DBF" w:rsidRDefault="00A33DBF" w:rsidP="00A33DBF">
      <w:pPr>
        <w:spacing w:line="360" w:lineRule="auto"/>
        <w:jc w:val="both"/>
      </w:pPr>
      <w:r>
        <w:t xml:space="preserve"> In relation with students with additional learning needs, the importance of scaffolding plays a big role as students with additional learning needs may becoming easily disconnected with subject and may feel defeated. This could follow onto the student no longer participating in the subject and refusing to complete work during that lesson. On the other hand, the use of scaffolding has its drawbacks as scaffolding is best suited to an individual and it is incredibly time consuming for the teacher to address each individual with a scaffolding approach to meet their needs. In addition, in relation to individual scaffolding, the teacher needs to implement the correct scaffolding techniques for the learner and that during the task, the work will be more student-led meaning potential mistakes will be made during the process of the activity. The teacher will need to have support in place if this mistake is to arise (Van Der </w:t>
      </w:r>
      <w:proofErr w:type="spellStart"/>
      <w:r>
        <w:t>Stuyf</w:t>
      </w:r>
      <w:proofErr w:type="spellEnd"/>
      <w:r>
        <w:t xml:space="preserve">, 2002). </w:t>
      </w:r>
    </w:p>
    <w:p w14:paraId="78BC5AC8" w14:textId="77777777" w:rsidR="00A33DBF" w:rsidRDefault="00A33DBF" w:rsidP="00A33DBF">
      <w:pPr>
        <w:spacing w:line="360" w:lineRule="auto"/>
        <w:jc w:val="both"/>
      </w:pPr>
    </w:p>
    <w:p w14:paraId="3297455F" w14:textId="6CF3B220" w:rsidR="00A33DBF" w:rsidRDefault="00A33DBF" w:rsidP="00A33DBF">
      <w:pPr>
        <w:spacing w:line="360" w:lineRule="auto"/>
        <w:jc w:val="both"/>
      </w:pPr>
      <w:r>
        <w:t>Therefore, the use of scaffolding within a classroom environment has provide myself with the opportunity to address the learning needs of students in each class and provide alternative approaches to each lesson through providing students with appropriate guidance to enhance and develop their understanding of the topic and improve and increase their level of literacy and numeracy skills in relation to the literacy and Numeracy Framework at School X.</w:t>
      </w:r>
    </w:p>
    <w:p w14:paraId="5C055F0C" w14:textId="77777777" w:rsidR="00A33DBF" w:rsidRDefault="00A33DBF" w:rsidP="00A33DBF">
      <w:pPr>
        <w:spacing w:line="360" w:lineRule="auto"/>
        <w:jc w:val="both"/>
      </w:pPr>
    </w:p>
    <w:p w14:paraId="704D1A03" w14:textId="551C3F14" w:rsidR="00A33DBF" w:rsidRDefault="00A33DBF" w:rsidP="00A33DBF">
      <w:pPr>
        <w:spacing w:line="360" w:lineRule="auto"/>
        <w:jc w:val="both"/>
      </w:pPr>
      <w:r>
        <w:t>Since the recommendations mentioned in the Estyn 2014 report say that extended writing and the use if numeracy skills should be enhanced within the curriculum. These recommendations have been approached through Assessment for Learning (</w:t>
      </w:r>
      <w:proofErr w:type="spellStart"/>
      <w:r>
        <w:t>AfL</w:t>
      </w:r>
      <w:proofErr w:type="spellEnd"/>
      <w:r>
        <w:t>) whereby departments are creating resources and assessments in relation to numeracy and literacy. For example, within the Geography department, at the end of each topic (e.g. development, Antarctica) students are required to complete an assessment through a number of lessons. However, these assessments are incorporated within the lessons whereby the students don’t feel like they are being assessed. In particular the literacy assessments will be over a number of lessons whereby students develop and broaden their knowledge through gaining information which will then be used in a piece of extended writing (e.g. letter to the Indian Government) which then will be assessed and recorded by the teacher as a Level (3-7).  It is evident during my placement at School X that scaffolding is available to students in relation to the numeracy and literacy assessments, however, this scaffolding is not forced onto students whereby the students can choose if they require the scaffolding or not. However, this scaffolding is strongly focused on students that are on Individual Educational Programmes (IEPs),</w:t>
      </w:r>
    </w:p>
    <w:p w14:paraId="37ACB570" w14:textId="77777777" w:rsidR="00A33DBF" w:rsidRDefault="00A33DBF" w:rsidP="00A33DBF">
      <w:pPr>
        <w:spacing w:line="360" w:lineRule="auto"/>
        <w:jc w:val="both"/>
      </w:pPr>
    </w:p>
    <w:p w14:paraId="58EBD063" w14:textId="77B954FD" w:rsidR="00A33DBF" w:rsidRDefault="00A33DBF" w:rsidP="00A33DBF">
      <w:pPr>
        <w:spacing w:line="360" w:lineRule="auto"/>
        <w:jc w:val="both"/>
      </w:pPr>
      <w:r>
        <w:t xml:space="preserve">When these assessments are given to the students, level descriptors are given before the main piece of extended writing is set and success criteria is given for both he literacy and numeracy assessment. The success criteria will identify the key part of the assessment and what it is addressing whereby the success criteria closely links to the school’s literacy and numeracy framework. For example, the success criteria of the numeracy assessments will show different strands of the numeracy framework to allow both students and teachers understand and identify which part of the framework is being addressed (e.g. the use of scale to determine a distance from one city to another). In some cases, to reduce teacher workload, the numeracy assessment will be peer assessed by the students as the answers to the numeracy assessment are set and strict in relation to the teachers mark scheme. </w:t>
      </w:r>
    </w:p>
    <w:p w14:paraId="1BFE5CCE" w14:textId="77777777" w:rsidR="00A33DBF" w:rsidRDefault="00A33DBF" w:rsidP="00A33DBF">
      <w:pPr>
        <w:spacing w:line="360" w:lineRule="auto"/>
        <w:jc w:val="both"/>
      </w:pPr>
    </w:p>
    <w:p w14:paraId="69A643FF" w14:textId="083B1E16" w:rsidR="00A33DBF" w:rsidRDefault="00A33DBF" w:rsidP="00A33DBF">
      <w:pPr>
        <w:spacing w:line="360" w:lineRule="auto"/>
        <w:jc w:val="both"/>
      </w:pPr>
      <w:r>
        <w:t xml:space="preserve">The vison of School X is to actively involve students through a variety skill so that every student can succeed in relation to their different needs and abilities. The learning within the school should be enjoyable for all students by giving students high expectations which will include challenges and appropriate support to guide them to achieve their full potential and provide a sense of responsibility within their school and the wider community. Furthermore, staff members need to maintain a professional manner providing and developing motivation, commitment and skills throughout the school’s vision. This is achieved with departments </w:t>
      </w:r>
      <w:r>
        <w:lastRenderedPageBreak/>
        <w:t xml:space="preserve">being closely linked together and sharing various professional resources that will aid each other to promote students understanding of work. </w:t>
      </w:r>
    </w:p>
    <w:p w14:paraId="5EFDDDE6" w14:textId="77777777" w:rsidR="00A33DBF" w:rsidRDefault="00A33DBF" w:rsidP="00A33DBF">
      <w:pPr>
        <w:spacing w:line="360" w:lineRule="auto"/>
        <w:jc w:val="both"/>
      </w:pPr>
    </w:p>
    <w:p w14:paraId="2A8B8C44" w14:textId="4C36AB54" w:rsidR="00A33DBF" w:rsidRDefault="00A33DBF" w:rsidP="00A33DBF">
      <w:pPr>
        <w:spacing w:line="360" w:lineRule="auto"/>
        <w:jc w:val="both"/>
      </w:pPr>
      <w:r>
        <w:t>Within the curriculum, there is a diverse range of learning opportunities whereby work can be differentiated to the needs of the learner. It allows students to address a topic on a local, national and worldwide perspective which fulfil the requirements mentioned in the National Curriculum. Even though School X is not Donaldson influenced, the curriculum strongly focuses students to develop their literacy, numeracy skills and become digitally competent in relation to today’s society through not only working as an individual but to work with others to share thoughts and opinions on work within the lesson. Therefore, School X promotes a strong relationship between the teacher and the student to allow the student to reach their expectations with guidance to aid them in their journey in education.</w:t>
      </w:r>
    </w:p>
    <w:p w14:paraId="68578922" w14:textId="77777777" w:rsidR="00A33DBF" w:rsidRDefault="00A33DBF" w:rsidP="00A33DBF">
      <w:pPr>
        <w:spacing w:line="360" w:lineRule="auto"/>
        <w:jc w:val="both"/>
      </w:pPr>
    </w:p>
    <w:p w14:paraId="4690E57E" w14:textId="0134D278" w:rsidR="00A33DBF" w:rsidRDefault="00A33DBF" w:rsidP="00A33DBF">
      <w:pPr>
        <w:spacing w:line="360" w:lineRule="auto"/>
        <w:jc w:val="both"/>
      </w:pPr>
      <w:r>
        <w:t xml:space="preserve">The intervention that is taking place at School X closely relates to the theory mentioned by Chiu (2004) and whereby scaffolding should not be put in place until there is a clear identification of the students understanding and progress of the topic which is being addressed. Therefore, it was decided that observations should be used to initially identify the students’ needs to enhance their understanding and learning. When the learners’ needs have been identified and agreed, the following lesson will use scaffolding techniques which will be implemented to promote whole class improvement. </w:t>
      </w:r>
    </w:p>
    <w:p w14:paraId="627AF565" w14:textId="77777777" w:rsidR="00A33DBF" w:rsidRDefault="00A33DBF" w:rsidP="00A33DBF">
      <w:pPr>
        <w:spacing w:line="360" w:lineRule="auto"/>
        <w:jc w:val="both"/>
      </w:pPr>
    </w:p>
    <w:p w14:paraId="3FC0F5FB" w14:textId="22251F8D" w:rsidR="00A33DBF" w:rsidRDefault="00A33DBF" w:rsidP="00A33DBF">
      <w:pPr>
        <w:spacing w:line="360" w:lineRule="auto"/>
        <w:jc w:val="both"/>
      </w:pPr>
      <w:r>
        <w:t xml:space="preserve">The use of observations allows the teacher to collect data which is appropriate and up to date in relation to the topics taught and if used the correct way, the teacher will be able to gain an integrated understanding of what scaffolding needs to be put in place which will be specific for the learners needs. In addition, the use of observation within the intervention allows the teacher to understanding the students more without them noticing that they are being observed whereby the students’ behaviour and approaches to the activities are natural and potentially give no bias (Bryman and Bell, 2011; DeWalt and DeWalt, 2011). The use of observation will provide the teacher with data on how the students interact and approach the topic in question. In addition, it will allow the teacher to check the progress of students when a task is carried out. This will allow the teacher to develop their understanding on the pace by which the student completes the task and if there are any obstacles in the way which may hinder the student from completing the task (Schmuck, 1997). Furthermore, observations within the lesson will allow the teacher to develop various ways to approach the topic in question as different students may need different forms of scaffolding therefore, questions and resources have been created and given to the student to facilitate their understanding. This allows the teacher to receive a better understanding of the requirements for each student to guide them to achieve a high level and outcome in the activity (Bernard, 1994). </w:t>
      </w:r>
    </w:p>
    <w:p w14:paraId="05382CD5" w14:textId="77777777" w:rsidR="00A33DBF" w:rsidRDefault="00A33DBF" w:rsidP="00A33DBF">
      <w:pPr>
        <w:spacing w:line="360" w:lineRule="auto"/>
        <w:jc w:val="both"/>
      </w:pPr>
    </w:p>
    <w:p w14:paraId="68A9648A" w14:textId="571C9B3A" w:rsidR="00A33DBF" w:rsidRDefault="00A33DBF" w:rsidP="00A33DBF">
      <w:pPr>
        <w:spacing w:line="360" w:lineRule="auto"/>
        <w:jc w:val="both"/>
      </w:pPr>
      <w:r>
        <w:t xml:space="preserve">The following intervention is being implemented within the literacy and numeracy assessment for key stage three classes and will follow this procedure. One class will be taught a lesson which will follow normal activities set in place by myself and my subject mentor </w:t>
      </w:r>
      <w:proofErr w:type="spellStart"/>
      <w:r>
        <w:t>were</w:t>
      </w:r>
      <w:proofErr w:type="spellEnd"/>
      <w:r>
        <w:t xml:space="preserve"> there is no scaffolding in place. The only scaffolding used will be through questioning to initiate class discussion. No scaffolding will be used to meet the needs of the individual student. Following on, the same context of the lesson will be taught to another key stage three class whereby scaffolding support will be put in place for learners that require it as each class is of mixed ability whereby only one class has all students on an individual educational programme (IEP).  When this scaffolding has been put into place, further observations will occur to identify if the scaffolding support used has been beneficial for the students. For example, one lesson will involve decision making through group work whereby students need to justify why their chosen solution to the problem is the best in terms of it being sustainable and appropriate. Students will have to justify and explain why the other two solutions aren’t as sustainable and appropriate through group discussion whereby any information gained is noted down. When this activity is completed, the groups will then feedback to the class through questioning by the teacher and note down their information on the solution they addressed. This lesson will not have any scaffolding in place where when the lesson is repeated again to a different mixed ability class, scaffolding will be put to use for each group. Each group is chosen by the teacher whereby any student that is on an individual educational plan (IEP) will be placed with students with a high attainment level and better </w:t>
      </w:r>
      <w:r>
        <w:lastRenderedPageBreak/>
        <w:t>understanding of the task in hand. The scaffolding given by the teacher will relate to each problem which is being addressed in the topic whereby key words will be given to each group to guide them in group discussion and successfully explain why some solutions aren’t as sustainable and appropriate than others. The assumption is that these key words will deepen students understanding and provide more precise explanations in the literacy assessment which will be completed in future lessons Mercer and Littleton (2007). The class which received no scaffolding will still be assessed as the lessons which follow will have scaffolding in place to improve the students understanding for whole class improvement.</w:t>
      </w:r>
    </w:p>
    <w:p w14:paraId="7F7BF495" w14:textId="77777777" w:rsidR="00A33DBF" w:rsidRDefault="00A33DBF" w:rsidP="00A33DBF">
      <w:pPr>
        <w:spacing w:line="360" w:lineRule="auto"/>
        <w:jc w:val="both"/>
      </w:pPr>
    </w:p>
    <w:p w14:paraId="59B5EB0A" w14:textId="77777777" w:rsidR="00A33DBF" w:rsidRDefault="00A33DBF" w:rsidP="00A33DBF">
      <w:pPr>
        <w:spacing w:line="360" w:lineRule="auto"/>
        <w:jc w:val="both"/>
      </w:pPr>
      <w:r>
        <w:t xml:space="preserve"> The literacy assessment will be marked by the teacher and recorded in relation to pupil’s targets however, before the extended piece of writing take place, students will do a first draft of their work in relation to the information and knowledge gained from previous lesson. This first draft will be peer-assessed amongst classmates and in relation to the level descriptors given to students. Students will peer assess each other’s work and provide comments on the first draft which relate to the positives of the piece of work (what went well) and the possible improvements that can be made to that work (even better if). The use of peer assessment allows for more student involvement within the topic and allow students to use their own knowledge to help other students in the class. This will allow students to improve their judgemental skills and provide more relevant feedback as the assessment is marked by their class companions as students will feel more responsible and thus mark their peers work in relation to the teachers’ expectations. The only disadvantage with peer assessment work is that students may feel unequipped to carry out the task and that potential friendships within the class may give bias marking as students will be using the comments made by their peers to complete and develop the final draft (</w:t>
      </w:r>
      <w:proofErr w:type="spellStart"/>
      <w:r>
        <w:t>Falchikov</w:t>
      </w:r>
      <w:proofErr w:type="spellEnd"/>
      <w:r>
        <w:t xml:space="preserve"> and Goldfinch, 2000). Throughout the numeracy assessment, peer assessment will be used in segments where only a certain part of the numeracy assessment will be peer marked. This will allow the teacher to identify any problem in relation to student understanding where scaffolding can be put into place for the remaining parts of the numeracy assessment. These questions are set and the teacher mark scheme will be used to provide students with the answers (e.g. scale, finding bearings and grid referencing will have fixed answers).  </w:t>
      </w:r>
    </w:p>
    <w:p w14:paraId="4582F17A" w14:textId="5162E347" w:rsidR="00A33DBF" w:rsidRDefault="00A33DBF" w:rsidP="00A33DBF">
      <w:pPr>
        <w:spacing w:line="360" w:lineRule="auto"/>
        <w:jc w:val="both"/>
      </w:pPr>
      <w:r>
        <w:t xml:space="preserve">   </w:t>
      </w:r>
    </w:p>
    <w:p w14:paraId="4B76AC03" w14:textId="3306CD14" w:rsidR="00A33DBF" w:rsidRDefault="00A33DBF" w:rsidP="00A33DBF">
      <w:pPr>
        <w:spacing w:line="360" w:lineRule="auto"/>
        <w:jc w:val="both"/>
      </w:pPr>
      <w:r>
        <w:t>Before in intervention was implemented, myself and my subject mentor observed a year 9 class by which they were further ahead in the syllabus than to other classes. The lessons which were taught were observed by my subject mentor whereby feedback was given in relation to possible scaffolding techniques which can be used to support other year 9 classes. This allowed me to critically evaluate the lesson and then adapt the following lessons to meet the needs of the learner for whole class improvement. This processes of identifying the students understanding of the topic first before implementing different scaffolding approaches for student was suggest by Chiu (2004) and Mercer and Littleton (2007) as it is key to notice the needs of the learner first before implementing any scaffolding strategy as there may be cases where the scaffolding support given may not be useful for the learner and thus will not provide any additional help to deepen their understanding of the topic in question.</w:t>
      </w:r>
    </w:p>
    <w:p w14:paraId="26F64811" w14:textId="77777777" w:rsidR="00A33DBF" w:rsidRDefault="00A33DBF" w:rsidP="00A33DBF">
      <w:pPr>
        <w:spacing w:line="360" w:lineRule="auto"/>
        <w:jc w:val="both"/>
      </w:pPr>
    </w:p>
    <w:p w14:paraId="22B1CF00" w14:textId="513778CF" w:rsidR="00A33DBF" w:rsidRDefault="00A33DBF" w:rsidP="00A33DBF">
      <w:pPr>
        <w:spacing w:line="360" w:lineRule="auto"/>
        <w:jc w:val="both"/>
      </w:pPr>
      <w:r>
        <w:t xml:space="preserve">A lesson carried out for a year 9 class addressed the problem of a particular area by which development was needed. Students in this lesson needed to use their decision-making skills and evaluate each possible solution to the problem to identify if it was a sustainable and appropriate way for that problem. Firstly, the students had to complete the decision making as individuals whereby five problems were given and three potential solutions for each problem was given. Students needed to evaluate which solution best suited the problem and justify why the other solutions aren’t as sustainable and appropriate in terms of development (the problems are in relation to a village in India that requires development). Once the student completed that task, students were required to add up their score (10 being more sustainable, 30 being least sustainable) to allow students to identify if the solution they choose to the problem was the best one. Many students did achieve a perfect score in relation to the possible solutions but in some cases, students became confused over some aspects of the solution and needed an explanation to clarify what the solution means. To overcome this problem, scaffolding support was used for students who found it difficult to identify what the solution is about. This support was done through the use of picture prompts whereby the pictures provided a visual representation of the solutions. This allowed students to identify if that solution was the correct one to implement in relation to the problem to develop the area in question. Once the </w:t>
      </w:r>
      <w:r>
        <w:lastRenderedPageBreak/>
        <w:t xml:space="preserve">decision making was completed as an individual, students were placed into groups of 5 whereby each group focused on one of the problems and discussed as a group the best solution for that problem in terms it being appropriate and sustainable for the village. In relation to the other solutions, students were required to justify why the other solutions aren’t as sustainable or appropriate and address how these issues may affect the village in a social, economic and environmental way. This activity was completed to a good standard, however in relation to feedback from the teacher, it was suggested that they use key words in relation to the topic should be used. Therefore, when this lesson was repeated with another class, each group was given key words in relation to their problem and solutions. The outcome of using this scaffolding support resulted in students addressing and discussing the solution in a greater depth meaning that more students gave a better task effort. This completed the activity to a high standard by which when students discussed their solutions to the problem to other groups, these groups were able to takes notes which explained the best solution and justified why the other two solutions won’t be as sustainable for the village in question. These notes taken during class discussion included questioning by the teacher which allowed students to deepen their understanding of the topic and extend their answers using connectives (e.g. therefore, as a result). This class discussion and note taking was key as the work shared by the groups will be used in relation to the assessed piece of extended writing which is to write a letter to expresses their concerns of the problems and provide potential solutions. This lesson was also observed by my senior mentor and the feedback given to me allowed me to further address this activity for another class. It was thought that the groups should only have three students. The reason for this is because there are only three solutions to the problem given. This would mean that each student in the group will have a specific solution to address which meant that if there was more than three in a group, some students in that group may not contribute to the activity and therefore not developing and extend their knowledge of the topic. In addition to this feedback, it will allow more than one group to address a problem, therefore groups which addressed the same problem would be able to share their ideas and explanations to other groups addressing the same problem. In conclusion, the form of scaffolding that was used in this lesson allowed students to complete the activity to a higher standard whereby students were able to justify and give reason to why one solution was better than the other. </w:t>
      </w:r>
    </w:p>
    <w:p w14:paraId="582285B9" w14:textId="77777777" w:rsidR="00A33DBF" w:rsidRDefault="00A33DBF" w:rsidP="00A33DBF">
      <w:pPr>
        <w:spacing w:line="360" w:lineRule="auto"/>
        <w:jc w:val="both"/>
      </w:pPr>
    </w:p>
    <w:p w14:paraId="1A5EF9A9" w14:textId="3F70F2F5" w:rsidR="00A33DBF" w:rsidRDefault="00A33DBF" w:rsidP="00A33DBF">
      <w:pPr>
        <w:spacing w:line="360" w:lineRule="auto"/>
        <w:jc w:val="both"/>
      </w:pPr>
      <w:r>
        <w:t>Following on from that lesson, students were required to provide a first draft of their letter. Before this took place, I had the opportunity to provide students with essential information which needed to be included in their first and final draft. This was approach by students creating a layout of a letter in relation to a model answer. This model answer was broken down into segments whereby students drew each part (boxes) and noted down what part of the letter its addressing. This was time consuming and the presentation of students’ layout of the letter varied greatly. Therefore, scaffolding was put in place whereby the layout of the letter was already made for the students. Each segment of the letter was broken down into segments whereby when the model answer was read out, students were able to add the appropriate information that they wanted to use for their final draft. This scaffolding support improved the presentation of the work and allowed students to clearly identify what part needed addressing as they wrote down what they should include into each segment.</w:t>
      </w:r>
    </w:p>
    <w:p w14:paraId="6B25784B" w14:textId="77777777" w:rsidR="00A33DBF" w:rsidRDefault="00A33DBF" w:rsidP="00A33DBF">
      <w:pPr>
        <w:spacing w:line="360" w:lineRule="auto"/>
        <w:jc w:val="both"/>
      </w:pPr>
    </w:p>
    <w:p w14:paraId="489C86E2" w14:textId="1784C68A" w:rsidR="00A33DBF" w:rsidRDefault="00A33DBF" w:rsidP="00A33DBF">
      <w:pPr>
        <w:spacing w:line="360" w:lineRule="auto"/>
        <w:jc w:val="both"/>
      </w:pPr>
      <w:r>
        <w:t>Once the first draft was completed, the students had the opportunity to do peer assessment in relation to the first draft. At first, students knew the process of peer assessment as it is carried out within other subjects (e.g. English, History), however students struggled to provide a level and feedback as they weren’t confident enough with their own knowledge to mark the piece of work. Therefore, level descriptors were given to students before the peer assessment took place where the level descriptor identifies and explain the requirements for that particular level to be achieved. When the level descriptors were used, students were more confident to provide appropriate feedback to their peers in relation to the positives of their first draft and potential improvements that could be made to allow the student to provide work which will be a higher standard and level.</w:t>
      </w:r>
    </w:p>
    <w:p w14:paraId="5BC1682F" w14:textId="77777777" w:rsidR="00A33DBF" w:rsidRDefault="00A33DBF" w:rsidP="00A33DBF">
      <w:pPr>
        <w:spacing w:line="360" w:lineRule="auto"/>
        <w:jc w:val="both"/>
      </w:pPr>
    </w:p>
    <w:p w14:paraId="37EF78AC" w14:textId="25C6BAED" w:rsidR="00A33DBF" w:rsidRDefault="00A33DBF" w:rsidP="00A33DBF">
      <w:pPr>
        <w:spacing w:line="360" w:lineRule="auto"/>
        <w:jc w:val="both"/>
      </w:pPr>
      <w:r>
        <w:t xml:space="preserve">Consequently, it is important to address how these different segments of the letter are written and this was a concern for me and the teacher for a year 9 class whereby every student is on individual educational programmes (IEPs). These IEPs are documents identify the additional leaning needs of each student and provide possible suggestion on how the topic should be approached for them. With </w:t>
      </w:r>
      <w:r>
        <w:lastRenderedPageBreak/>
        <w:t>this in thought, it was required before the final draft that students use their connectives (‘so what’ chain) to build and answer to one of the problems and its effects on the people in the village. In relation to a low ability class, students found it difficult to begin the task and develop their answer with the use of connective words. Therefore, scaffolding support was out in place whereby a diagram was given to the students. This diagram (flow diagram) essentially allowed the students to break down each part of the answer into manageable parts where the answer was represented in a visual manner. For example, the first box will address the problem then an arrow leading onto the next box would be the connective word (e.g. as a result) which will guide the student to explain the implications of that problem. This process was repeated and allowed students to provide an in-depth answer and deepen their understanding of the problem which then can be used for their final draft.</w:t>
      </w:r>
    </w:p>
    <w:p w14:paraId="53FDE67F" w14:textId="77777777" w:rsidR="00A33DBF" w:rsidRDefault="00A33DBF" w:rsidP="00A33DBF">
      <w:pPr>
        <w:spacing w:line="360" w:lineRule="auto"/>
        <w:jc w:val="both"/>
      </w:pPr>
    </w:p>
    <w:p w14:paraId="78F53FE3" w14:textId="060BE33A" w:rsidR="00A33DBF" w:rsidRDefault="00A33DBF" w:rsidP="00A33DBF">
      <w:pPr>
        <w:spacing w:line="360" w:lineRule="auto"/>
        <w:jc w:val="both"/>
      </w:pPr>
      <w:r>
        <w:t xml:space="preserve">One issue that arose in relation to the first and final draft is that some students struggled to structure their work in relation what they should include. Even though the letter layout was given to students for them to annotate as a guide for their final draft, the structure of sentences seemed to disengage students from the work as many students struggled in terms on how to approach the final draft in relation to sentence structure. Therefore, scaffolding was given to students in the form of structure slips. These structure slips broke down each part of the letter which included sentence starters (e.g. I would like to share my concerns, </w:t>
      </w:r>
      <w:r>
        <w:t>there</w:t>
      </w:r>
      <w:r>
        <w:t xml:space="preserve"> are a number of problems the people face such as…). As a result, the structure slips allowed students to write their final draft of the letter more confidently in relation to the layout they followed and completed as the structure slips provided sentence starters for the students to develop their work. These structure slips were not forced on the students, they had the opportunity to use one if the wised to. However, after the peer assessment, if I believed that the student would struggle to develop an in-depth piece of extended writing I would suggest that the structure slip should be used. In conclusion, students that felt that they weren’t confident enough in their final draft and used the structure slip, their final piece of work was of a higher standard and quality whereby some students moved up a level in relation to the mark scheme. </w:t>
      </w:r>
    </w:p>
    <w:p w14:paraId="2FC20217" w14:textId="77777777" w:rsidR="00A33DBF" w:rsidRDefault="00A33DBF" w:rsidP="00A33DBF">
      <w:pPr>
        <w:spacing w:line="360" w:lineRule="auto"/>
        <w:jc w:val="both"/>
      </w:pPr>
    </w:p>
    <w:p w14:paraId="73A0ECC2" w14:textId="2158177C" w:rsidR="00A33DBF" w:rsidRDefault="00A33DBF" w:rsidP="00A33DBF">
      <w:pPr>
        <w:spacing w:line="360" w:lineRule="auto"/>
        <w:jc w:val="both"/>
      </w:pPr>
      <w:r>
        <w:t>When there was no numeracy and literacy assessments in place, I had the opportunity to provide various scaffolding approaches in relation to the theory of the topic (before the assessment took place). Within these lessons, activities were set out to which I could identify if a student is in the zone of proximal development. When this was identified scaffolding support was out into place to aid and guide the student to deepen and develop their understanding and thus expanded their knowledge of the topic (</w:t>
      </w:r>
      <w:r w:rsidRPr="00313E66">
        <w:t>Vygotsky</w:t>
      </w:r>
      <w:r>
        <w:t>,</w:t>
      </w:r>
      <w:r w:rsidRPr="00313E66">
        <w:t xml:space="preserve"> 1978)</w:t>
      </w:r>
      <w:r>
        <w:t xml:space="preserve">. For example, within a lesson a term was given to students by which they had to discuss and provide a definition for that term. Firstly, the students struggled to provide definition as this was a new key word which was being addressed therefore the answer given were vague and not in detail. As a result, when the new term was given, picture prompts were shown on the board to initiate discussion between students. In addition to this as the answers given by the students varied, another scaffolding approach was taken whereby the definition to the term was given on the board but there were particular words within that definition which were missing. Students had the opportunity to try and provide those words to complete the definition. However, students still found it difficult to provide a ‘true’ definition of the term. This led to me providing key words on the board that relate to the missing words in the box. When this scaffolding was put in place, students clearly understood and provide the correct term with use of the key words given. This process was repeated for other terms whereby students will </w:t>
      </w:r>
      <w:r>
        <w:t>have</w:t>
      </w:r>
      <w:r>
        <w:t xml:space="preserve"> the same ‘true’ definition for the term allowing them to broaden their understanding of the term and what work may follow in relation to that term. </w:t>
      </w:r>
    </w:p>
    <w:p w14:paraId="4B89B19C" w14:textId="77777777" w:rsidR="00A33DBF" w:rsidRDefault="00A33DBF" w:rsidP="00A33DBF">
      <w:pPr>
        <w:spacing w:line="360" w:lineRule="auto"/>
        <w:jc w:val="both"/>
      </w:pPr>
    </w:p>
    <w:p w14:paraId="7FA7D412" w14:textId="7C6F8509" w:rsidR="00A33DBF" w:rsidRDefault="00A33DBF" w:rsidP="00A33DBF">
      <w:pPr>
        <w:spacing w:line="360" w:lineRule="auto"/>
        <w:jc w:val="both"/>
      </w:pPr>
      <w:r>
        <w:t xml:space="preserve">In relation to the literacy assessment which was an extended piece of writing (letter), the use of verbal scaffolding played a big role when students completed their first draft of the letter. This was discussed with my subject mentor whereby repeating the key aspects and term that needed to be addressed in the letter should be used more often. This encouraged students to use these key terms within their letter. These terms were repeated verbally numerous times throughout the lesson with examples given for guidance in a verbal manner. If students were still struggling to understand what needed to be included in their letter, I would direct them back to the letter layout and question them in relation to the criteria and information needed for the letter. If students briefly wrote down the </w:t>
      </w:r>
      <w:r>
        <w:lastRenderedPageBreak/>
        <w:t xml:space="preserve">points they were going to address in the letter on their layout, I would provide them with ideas through questioning by which students responded in a positive way and added more detail to their layout of the letter.  </w:t>
      </w:r>
    </w:p>
    <w:p w14:paraId="5D4FA287" w14:textId="77777777" w:rsidR="00A33DBF" w:rsidRDefault="00A33DBF" w:rsidP="00A33DBF">
      <w:pPr>
        <w:spacing w:line="360" w:lineRule="auto"/>
        <w:jc w:val="both"/>
      </w:pPr>
      <w:bookmarkStart w:id="0" w:name="_GoBack"/>
      <w:bookmarkEnd w:id="0"/>
    </w:p>
    <w:p w14:paraId="647FB1A5" w14:textId="1118CFDC" w:rsidR="00A33DBF" w:rsidRDefault="00A33DBF" w:rsidP="00A33DBF">
      <w:pPr>
        <w:spacing w:line="360" w:lineRule="auto"/>
        <w:jc w:val="both"/>
      </w:pPr>
      <w:r>
        <w:t>In some cases, the use of verbal scaffolding to explain concepts and terms to students weren’t as effective as first thought. For example, I had the opportunity to introduce a new topic to a year 8 class (Rivers) whereby key terms needed to be addressed to allow students to develop their understanding of the topic. Even though the use of ‘filling in the blanks’ on a term was successful, in terms of this new topic it would disengage the students and potentially they would lose interest in the new topic. Therefore, scaffolding was put in place for whole class improvement and understanding through the use of animations and videos. The use of animations and videos attracted the students more to the subject and allowed them to discover the term themselves rather than copying the term in their books from the whiteboard. This approach proved to be successful whereby the animations, videos and examples for each term allowed the student to deepen their understanding and thus broaden and enhance their knowledge of the new topic. In addition, I had the opportunity to provide support to the whole class through explain aspects of the topic through diagrams. It was suggested that providing sample diagrams for students to use will not only reduce the time students spent on the task (drawing diagrams will be time consuming) but it will provide students with a high-quality example given by the teacher for them to follow and annotate. This proved to be successful as students had the ability to annotated and provide key terms in relation to the topic (Rivers – Drainage Basin and River Features). However, to reduce the workload produce by the teacher through worksheets and diagrams, I had the opportunity to allow students to draw their own diagrams in relation to another aspect within the topic and scheme of work. The diagram was initially shown on the board; however, this diagram was drawn again by the teacher on the board for student guidance if they struggled to draw the diagram. This allowed the outcome of the task to vary whereby students had the opportunity to clearly provide a diagram with appropriate annotations in relation to the example given by the teacher. The use of students following an example by the teacher allow them to not only provide a high-quality example by themselves as they would need to follow that work in following lesson but deepen their understanding of the topic through identify terms in a visual way.</w:t>
      </w:r>
    </w:p>
    <w:p w14:paraId="7FEAEFB4" w14:textId="77777777" w:rsidR="00A33DBF" w:rsidRDefault="00A33DBF" w:rsidP="00A33DBF">
      <w:pPr>
        <w:spacing w:line="360" w:lineRule="auto"/>
        <w:jc w:val="both"/>
      </w:pPr>
    </w:p>
    <w:p w14:paraId="11CEF191" w14:textId="77777777" w:rsidR="00A33DBF" w:rsidRPr="00695760" w:rsidRDefault="00A33DBF" w:rsidP="00A33DBF">
      <w:pPr>
        <w:spacing w:line="360" w:lineRule="auto"/>
        <w:jc w:val="both"/>
      </w:pPr>
      <w:r>
        <w:t xml:space="preserve">In conclusion, the theory to which that the teacher needs to identify if the student requires scaffolding or not beforehand has been addressed in this intervention. I can be concluded that when scaffolding is implemented for a student, they are able to move out of the zone of proximal development and enhance their understanding of the topic in more depth. In relation to the scaffolding techniques used in this intervention, the outcome of all scaffolding support given to students when needed was successful and positive whereby the scaffolding allowed students to deepen their understanding and expand their knowledge of the topic addressed in the lesson. However, some scaffolding techniques which were put in place considered whole class improvement, where a limitation here could be that some students may not need to scaffolding required and possibly hinder them more. Students may not need the scaffolding and already have the ability to deepen their understanding of the topic. With this in thought, scaffolding is best adapted to suit the individual rather than a class because different students have different approaches to learning and if strict support is given to these students it may hinder and obstruct them from developing their understanding.    </w:t>
      </w:r>
    </w:p>
    <w:p w14:paraId="0C3E7E08" w14:textId="0818B2FA" w:rsidR="00A33DBF" w:rsidRDefault="00A33DBF" w:rsidP="00DB116D">
      <w:pPr>
        <w:rPr>
          <w:rFonts w:ascii="Calibri" w:hAnsi="Calibri" w:cs="Calibri"/>
          <w:b/>
        </w:rPr>
      </w:pPr>
    </w:p>
    <w:p w14:paraId="059C0F47" w14:textId="77777777" w:rsidR="00A33DBF" w:rsidRPr="00A33DBF" w:rsidRDefault="00A33DBF" w:rsidP="00A33DBF">
      <w:pPr>
        <w:rPr>
          <w:rFonts w:ascii="Calibri" w:hAnsi="Calibri" w:cs="Calibri"/>
        </w:rPr>
      </w:pPr>
    </w:p>
    <w:p w14:paraId="3696C8D5" w14:textId="5AA7BC58" w:rsidR="00A33DBF" w:rsidRDefault="00A33DBF" w:rsidP="00A33DBF">
      <w:pPr>
        <w:tabs>
          <w:tab w:val="left" w:pos="2310"/>
        </w:tabs>
        <w:jc w:val="center"/>
        <w:rPr>
          <w:rFonts w:ascii="Calibri" w:hAnsi="Calibri" w:cs="Calibri"/>
          <w:u w:val="single"/>
        </w:rPr>
      </w:pPr>
      <w:r w:rsidRPr="00A33DBF">
        <w:rPr>
          <w:rFonts w:ascii="Calibri" w:hAnsi="Calibri" w:cs="Calibri"/>
          <w:u w:val="single"/>
        </w:rPr>
        <w:t>Reference List</w:t>
      </w:r>
    </w:p>
    <w:p w14:paraId="6FF151E9" w14:textId="17E03E99" w:rsidR="00A33DBF" w:rsidRDefault="00A33DBF" w:rsidP="00A33DBF">
      <w:pPr>
        <w:tabs>
          <w:tab w:val="left" w:pos="2310"/>
        </w:tabs>
        <w:jc w:val="center"/>
        <w:rPr>
          <w:rFonts w:ascii="Calibri" w:hAnsi="Calibri" w:cs="Calibri"/>
          <w:u w:val="single"/>
        </w:rPr>
      </w:pPr>
    </w:p>
    <w:p w14:paraId="531015D7" w14:textId="77777777" w:rsidR="00A33DBF" w:rsidRDefault="00A33DBF" w:rsidP="00A33DBF">
      <w:r>
        <w:t xml:space="preserve">Bernard, R (1994). </w:t>
      </w:r>
      <w:r w:rsidRPr="00137E72">
        <w:rPr>
          <w:i/>
        </w:rPr>
        <w:t>Research methods in anthropology: qualitative and quantitative approaches</w:t>
      </w:r>
      <w:r>
        <w:t xml:space="preserve"> (second edition). Walnut Creek, CA: </w:t>
      </w:r>
      <w:proofErr w:type="spellStart"/>
      <w:r>
        <w:t>AltaMira</w:t>
      </w:r>
      <w:proofErr w:type="spellEnd"/>
      <w:r>
        <w:t xml:space="preserve"> Press </w:t>
      </w:r>
    </w:p>
    <w:p w14:paraId="2B22BA4A" w14:textId="77777777" w:rsidR="00A33DBF" w:rsidRDefault="00A33DBF" w:rsidP="00A33DBF">
      <w:r>
        <w:t xml:space="preserve">Blatchford, P. Russell, A. Bassett, P. Brown, P. &amp; Martin, C. (2007). </w:t>
      </w:r>
      <w:r w:rsidRPr="00BA6067">
        <w:rPr>
          <w:i/>
        </w:rPr>
        <w:t>The effect of class size on the teaching of pupils aged 7–11 years</w:t>
      </w:r>
      <w:r>
        <w:t xml:space="preserve">, School Effectiveness and School Improvement: An International Journal of Research, Policy and Practice, </w:t>
      </w:r>
      <w:r w:rsidRPr="00BA6067">
        <w:rPr>
          <w:b/>
        </w:rPr>
        <w:t>18</w:t>
      </w:r>
      <w:r>
        <w:t>, 147–172</w:t>
      </w:r>
    </w:p>
    <w:p w14:paraId="6E5172E9" w14:textId="77777777" w:rsidR="00A33DBF" w:rsidRDefault="00A33DBF" w:rsidP="00A33DBF">
      <w:r w:rsidRPr="00BA6067">
        <w:t xml:space="preserve">Bransford, J., Brown, A., &amp; Cocking, R.  (2000). </w:t>
      </w:r>
      <w:r w:rsidRPr="00BA6067">
        <w:rPr>
          <w:i/>
        </w:rPr>
        <w:t>How People Learn: Brain, Mind, and Experience &amp; School</w:t>
      </w:r>
      <w:r w:rsidRPr="00BA6067">
        <w:t>.  Washington, DC: National Academy Press</w:t>
      </w:r>
    </w:p>
    <w:p w14:paraId="45B2402B" w14:textId="77777777" w:rsidR="00A33DBF" w:rsidRDefault="00A33DBF" w:rsidP="00A33DBF">
      <w:r>
        <w:t xml:space="preserve">Bryman, B. and Bell, E. (2011). </w:t>
      </w:r>
      <w:r w:rsidRPr="00BA6067">
        <w:rPr>
          <w:i/>
        </w:rPr>
        <w:t>Business Research Methods</w:t>
      </w:r>
      <w:r>
        <w:t>, 3rd ed., Oxford: Oxford University Press</w:t>
      </w:r>
    </w:p>
    <w:p w14:paraId="62547E45" w14:textId="77777777" w:rsidR="00A33DBF" w:rsidRDefault="00A33DBF" w:rsidP="00A33DBF">
      <w:r>
        <w:t xml:space="preserve">Bruner, J (1978). </w:t>
      </w:r>
      <w:r w:rsidRPr="00137E72">
        <w:rPr>
          <w:i/>
        </w:rPr>
        <w:t>'The Role of Dialogue in Language Acquisition'</w:t>
      </w:r>
      <w:r>
        <w:t xml:space="preserve">. In Sinclair, A, </w:t>
      </w:r>
      <w:proofErr w:type="spellStart"/>
      <w:r>
        <w:t>larvella</w:t>
      </w:r>
      <w:proofErr w:type="spellEnd"/>
      <w:r>
        <w:t xml:space="preserve">, R &amp; </w:t>
      </w:r>
      <w:proofErr w:type="spellStart"/>
      <w:r>
        <w:t>Levelt</w:t>
      </w:r>
      <w:proofErr w:type="spellEnd"/>
      <w:r>
        <w:t xml:space="preserve">, W J M (eds), </w:t>
      </w:r>
      <w:r w:rsidRPr="00137E72">
        <w:rPr>
          <w:i/>
        </w:rPr>
        <w:t>The Child's Conception of Language</w:t>
      </w:r>
      <w:r>
        <w:t>. Springer-Verlag, New York.</w:t>
      </w:r>
    </w:p>
    <w:p w14:paraId="5E7D164D" w14:textId="77777777" w:rsidR="00A33DBF" w:rsidRPr="00137E72" w:rsidRDefault="00A33DBF" w:rsidP="00A33DBF">
      <w:r w:rsidRPr="00137E72">
        <w:t xml:space="preserve">Chang, K., Chen, I., &amp; Sung, Y.  (2002). </w:t>
      </w:r>
      <w:r w:rsidRPr="00137E72">
        <w:rPr>
          <w:i/>
        </w:rPr>
        <w:t>The effect of concept mapping to enhance text comprehension and summarization</w:t>
      </w:r>
      <w:r>
        <w:rPr>
          <w:i/>
        </w:rPr>
        <w:t>,</w:t>
      </w:r>
      <w:r w:rsidRPr="00137E72">
        <w:t xml:space="preserve"> The Journal of Experimental Education </w:t>
      </w:r>
      <w:r w:rsidRPr="00137E72">
        <w:rPr>
          <w:b/>
        </w:rPr>
        <w:t>71</w:t>
      </w:r>
      <w:r w:rsidRPr="00137E72">
        <w:t>(1), 5-23.</w:t>
      </w:r>
    </w:p>
    <w:p w14:paraId="7FCD5DC3" w14:textId="77777777" w:rsidR="00A33DBF" w:rsidRDefault="00A33DBF" w:rsidP="00A33DBF">
      <w:r>
        <w:lastRenderedPageBreak/>
        <w:t xml:space="preserve">Chiu, M. (2004). </w:t>
      </w:r>
      <w:r w:rsidRPr="00137E72">
        <w:rPr>
          <w:i/>
        </w:rPr>
        <w:t>Adapting teacher interventions to student needs during cooperative learning: How to improve student problem solving and time on-task</w:t>
      </w:r>
      <w:r>
        <w:t xml:space="preserve">, American Educational Research Journal, </w:t>
      </w:r>
      <w:r w:rsidRPr="00137E72">
        <w:rPr>
          <w:b/>
        </w:rPr>
        <w:t>41</w:t>
      </w:r>
      <w:r>
        <w:t>, 365–399</w:t>
      </w:r>
    </w:p>
    <w:p w14:paraId="04930139" w14:textId="77777777" w:rsidR="00A33DBF" w:rsidRDefault="00A33DBF" w:rsidP="00A33DBF">
      <w:r>
        <w:t xml:space="preserve">Cohen, E. G. (1994). </w:t>
      </w:r>
      <w:r w:rsidRPr="00137E72">
        <w:rPr>
          <w:i/>
        </w:rPr>
        <w:t>Restructuring the classroom: Conditions for productive small groups</w:t>
      </w:r>
      <w:r>
        <w:t xml:space="preserve">. Review of Educational Research, </w:t>
      </w:r>
      <w:r w:rsidRPr="00137E72">
        <w:rPr>
          <w:b/>
        </w:rPr>
        <w:t>64</w:t>
      </w:r>
      <w:r>
        <w:t>, 1–35</w:t>
      </w:r>
    </w:p>
    <w:p w14:paraId="16A29318" w14:textId="77777777" w:rsidR="00A33DBF" w:rsidRDefault="00A33DBF" w:rsidP="00A33DBF">
      <w:r>
        <w:t>Davis, A., and Miyake, N. (2004</w:t>
      </w:r>
      <w:r w:rsidRPr="00137E72">
        <w:t xml:space="preserve">). </w:t>
      </w:r>
      <w:r w:rsidRPr="00137E72">
        <w:rPr>
          <w:i/>
        </w:rPr>
        <w:t>Explorations of scaffolding in complex classroom systems</w:t>
      </w:r>
      <w:r>
        <w:t xml:space="preserve">. Journal of the Learning Sciences, </w:t>
      </w:r>
      <w:r w:rsidRPr="00137E72">
        <w:rPr>
          <w:b/>
        </w:rPr>
        <w:t>13</w:t>
      </w:r>
      <w:r>
        <w:t>, 265–272</w:t>
      </w:r>
    </w:p>
    <w:p w14:paraId="75F1B9B6" w14:textId="77777777" w:rsidR="00A33DBF" w:rsidRDefault="00A33DBF" w:rsidP="00A33DBF">
      <w:r>
        <w:t xml:space="preserve">DeWalt, K., and DeWalt, B. (2011), </w:t>
      </w:r>
      <w:r w:rsidRPr="00891924">
        <w:rPr>
          <w:i/>
        </w:rPr>
        <w:t>Participant Observation: A guide for fieldworkers</w:t>
      </w:r>
      <w:r>
        <w:t>, Rowman Altamira.</w:t>
      </w:r>
    </w:p>
    <w:p w14:paraId="556E6B95" w14:textId="77777777" w:rsidR="00A33DBF" w:rsidRDefault="00A33DBF" w:rsidP="00A33DBF">
      <w:r>
        <w:t xml:space="preserve">Duffy, M., and Cunningham, J. (1996). </w:t>
      </w:r>
      <w:r w:rsidRPr="00137E72">
        <w:rPr>
          <w:i/>
        </w:rPr>
        <w:t>Constructivism: Implications for the design and delivery of instruction</w:t>
      </w:r>
      <w:r>
        <w:t>. In D. H. Jonassen (Ed.), Educational communications and technology (pp. 170–199). New York: Simon &amp; Schuster Macmillan</w:t>
      </w:r>
    </w:p>
    <w:p w14:paraId="082225B3" w14:textId="77777777" w:rsidR="00A33DBF" w:rsidRDefault="00A33DBF" w:rsidP="00A33DBF">
      <w:proofErr w:type="spellStart"/>
      <w:r w:rsidRPr="00137E72">
        <w:t>Falchikow</w:t>
      </w:r>
      <w:proofErr w:type="spellEnd"/>
      <w:r w:rsidRPr="00137E72">
        <w:t xml:space="preserve">, N., and Goldfinch, J. (2000), </w:t>
      </w:r>
      <w:r w:rsidRPr="00137E72">
        <w:rPr>
          <w:i/>
        </w:rPr>
        <w:t>Student peer assessment in higher education: A Meta-Analysis comparing Peer and Teacher marks</w:t>
      </w:r>
      <w:r w:rsidRPr="00137E72">
        <w:t xml:space="preserve">, Review of Educational Research, </w:t>
      </w:r>
      <w:r w:rsidRPr="00137E72">
        <w:rPr>
          <w:b/>
        </w:rPr>
        <w:t>70</w:t>
      </w:r>
      <w:r w:rsidRPr="00137E72">
        <w:t>:287</w:t>
      </w:r>
    </w:p>
    <w:p w14:paraId="210CED17" w14:textId="77777777" w:rsidR="00A33DBF" w:rsidRDefault="00A33DBF" w:rsidP="00A33DBF">
      <w:r>
        <w:t xml:space="preserve">Fredricks, J. A., Blumenfeld, P. C., and Paris, A. H. (2004). </w:t>
      </w:r>
      <w:r w:rsidRPr="00137E72">
        <w:rPr>
          <w:i/>
        </w:rPr>
        <w:t>School engagement: Potential of the concept, state of the evidence</w:t>
      </w:r>
      <w:r>
        <w:t xml:space="preserve">, Review of Educational Research, </w:t>
      </w:r>
      <w:r w:rsidRPr="00891924">
        <w:rPr>
          <w:b/>
        </w:rPr>
        <w:t>74</w:t>
      </w:r>
      <w:r>
        <w:t>, 59–109.</w:t>
      </w:r>
    </w:p>
    <w:p w14:paraId="07F05384" w14:textId="77777777" w:rsidR="00A33DBF" w:rsidRDefault="00A33DBF" w:rsidP="00A33DBF">
      <w:r>
        <w:t xml:space="preserve">Hammond, J., and Gibbons, P. (2001), </w:t>
      </w:r>
      <w:r w:rsidRPr="00F77A69">
        <w:rPr>
          <w:i/>
        </w:rPr>
        <w:t>What is Scaffolding?</w:t>
      </w:r>
      <w:r>
        <w:rPr>
          <w:i/>
        </w:rPr>
        <w:t xml:space="preserve"> In Hammond, J. (eds.) </w:t>
      </w:r>
      <w:r w:rsidRPr="00F77A69">
        <w:t>Scaffolding: teaching and learning in language and literacy education</w:t>
      </w:r>
      <w:r>
        <w:rPr>
          <w:i/>
        </w:rPr>
        <w:t xml:space="preserve">, </w:t>
      </w:r>
      <w:r>
        <w:t>Primary English Teaching Association</w:t>
      </w:r>
    </w:p>
    <w:p w14:paraId="29C09F5C" w14:textId="77777777" w:rsidR="00A33DBF" w:rsidRDefault="00A33DBF" w:rsidP="00A33DBF">
      <w:r w:rsidRPr="00891924">
        <w:t xml:space="preserve">Jaramillo, J. (1996).  </w:t>
      </w:r>
      <w:r w:rsidRPr="00891924">
        <w:rPr>
          <w:i/>
        </w:rPr>
        <w:t>Vygotsky’s sociocultural theory and contributions to the development of constructivist curricula.</w:t>
      </w:r>
      <w:r w:rsidRPr="00891924">
        <w:t xml:space="preserve">  Education </w:t>
      </w:r>
      <w:r w:rsidRPr="00891924">
        <w:rPr>
          <w:b/>
        </w:rPr>
        <w:t>117</w:t>
      </w:r>
      <w:r w:rsidRPr="00891924">
        <w:t>(1), 133-140.</w:t>
      </w:r>
    </w:p>
    <w:p w14:paraId="5DAE4CEF" w14:textId="77777777" w:rsidR="00A33DBF" w:rsidRDefault="00A33DBF" w:rsidP="00A33DBF">
      <w:proofErr w:type="spellStart"/>
      <w:r>
        <w:t>Mariani</w:t>
      </w:r>
      <w:proofErr w:type="spellEnd"/>
      <w:r>
        <w:t>, L. (1997</w:t>
      </w:r>
      <w:r w:rsidRPr="00891924">
        <w:t>)</w:t>
      </w:r>
      <w:r w:rsidRPr="00891924">
        <w:rPr>
          <w:i/>
        </w:rPr>
        <w:t xml:space="preserve"> 'Teacher Support and Teacher Challenge in Promoting Learner Autonomy'</w:t>
      </w:r>
      <w:r>
        <w:t xml:space="preserve">. Perspectives </w:t>
      </w:r>
      <w:r w:rsidRPr="00891924">
        <w:rPr>
          <w:b/>
        </w:rPr>
        <w:t>23</w:t>
      </w:r>
      <w:r>
        <w:t xml:space="preserve"> (2), Italy</w:t>
      </w:r>
    </w:p>
    <w:p w14:paraId="02CA55BA" w14:textId="77777777" w:rsidR="00A33DBF" w:rsidRDefault="00A33DBF" w:rsidP="00A33DBF">
      <w:proofErr w:type="spellStart"/>
      <w:r>
        <w:t>Mattanah</w:t>
      </w:r>
      <w:proofErr w:type="spellEnd"/>
      <w:r>
        <w:t xml:space="preserve">, J. F., Pratt, M., Cowan, A., &amp; Cowan, P. (2005). </w:t>
      </w:r>
      <w:r w:rsidRPr="00891924">
        <w:rPr>
          <w:i/>
        </w:rPr>
        <w:t xml:space="preserve">Authoritative parenting, parental scaffolding of long-division mathematics, and children’s academic competence in fourth grade. </w:t>
      </w:r>
      <w:r>
        <w:t xml:space="preserve">Journal of Applied Developmental Psychology, </w:t>
      </w:r>
      <w:r w:rsidRPr="00891924">
        <w:rPr>
          <w:b/>
        </w:rPr>
        <w:t>26</w:t>
      </w:r>
      <w:r>
        <w:t>, 85–106.</w:t>
      </w:r>
    </w:p>
    <w:p w14:paraId="27477F70" w14:textId="77777777" w:rsidR="00A33DBF" w:rsidRDefault="00A33DBF" w:rsidP="00A33DBF">
      <w:r>
        <w:t xml:space="preserve">Mercer, N. (1994) </w:t>
      </w:r>
      <w:r w:rsidRPr="00891924">
        <w:rPr>
          <w:i/>
        </w:rPr>
        <w:t>'Neo-Vygotskian Theory and Classroom Education'</w:t>
      </w:r>
      <w:r>
        <w:t xml:space="preserve">. In </w:t>
      </w:r>
      <w:proofErr w:type="spellStart"/>
      <w:r>
        <w:t>Steirer</w:t>
      </w:r>
      <w:proofErr w:type="spellEnd"/>
      <w:r>
        <w:t xml:space="preserve">, B &amp; </w:t>
      </w:r>
      <w:proofErr w:type="spellStart"/>
      <w:r>
        <w:t>Maybin</w:t>
      </w:r>
      <w:proofErr w:type="spellEnd"/>
      <w:r>
        <w:t>, J (eds), Language, Literacy and Learning in Educational Practice, Multilingual Matters, Clevedon, UK.</w:t>
      </w:r>
    </w:p>
    <w:p w14:paraId="7CF0AE5F" w14:textId="77777777" w:rsidR="00A33DBF" w:rsidRDefault="00A33DBF" w:rsidP="00A33DBF">
      <w:r w:rsidRPr="00891924">
        <w:t xml:space="preserve">Mercer, N., </w:t>
      </w:r>
      <w:r>
        <w:t>and</w:t>
      </w:r>
      <w:r w:rsidRPr="00891924">
        <w:t xml:space="preserve"> Littleton, K. (2007). </w:t>
      </w:r>
      <w:r w:rsidRPr="00891924">
        <w:rPr>
          <w:i/>
        </w:rPr>
        <w:t>Dialogue and the development of children’s thinking. A sociocultural approach.</w:t>
      </w:r>
      <w:r w:rsidRPr="00891924">
        <w:t xml:space="preserve"> New York: Routledge</w:t>
      </w:r>
    </w:p>
    <w:p w14:paraId="385E7CAE" w14:textId="77777777" w:rsidR="00A33DBF" w:rsidRDefault="00A33DBF" w:rsidP="00A33DBF">
      <w:r>
        <w:t xml:space="preserve">My Local School (2017). </w:t>
      </w:r>
      <w:r w:rsidRPr="00BA6067">
        <w:rPr>
          <w:i/>
        </w:rPr>
        <w:t>School X Information</w:t>
      </w:r>
      <w:r>
        <w:rPr>
          <w:i/>
        </w:rPr>
        <w:t xml:space="preserve">, </w:t>
      </w:r>
      <w:r>
        <w:t xml:space="preserve">[www] </w:t>
      </w:r>
      <w:r w:rsidRPr="00BA6067">
        <w:t>http://mylocalschool.wales.gov.uk/School/6714067?lang=en</w:t>
      </w:r>
      <w:r>
        <w:t xml:space="preserve"> (date accessed; Feb 2018)</w:t>
      </w:r>
    </w:p>
    <w:p w14:paraId="1BE1F6F4" w14:textId="77777777" w:rsidR="00A33DBF" w:rsidRDefault="00A33DBF" w:rsidP="00A33DBF">
      <w:r w:rsidRPr="007C0B08">
        <w:t>Olson, J. and Platt, J. (2000)</w:t>
      </w:r>
      <w:r w:rsidRPr="007C0B08">
        <w:rPr>
          <w:i/>
        </w:rPr>
        <w:t>.  The Instructional Cycle.  Teaching Children and Adolescents with Special Needs</w:t>
      </w:r>
      <w:r>
        <w:t xml:space="preserve">, </w:t>
      </w:r>
      <w:r w:rsidRPr="007C0B08">
        <w:t>Upper Saddle River, NJ:  Prentice-Hall, Inc</w:t>
      </w:r>
      <w:r>
        <w:t xml:space="preserve">, </w:t>
      </w:r>
      <w:r w:rsidRPr="007C0B08">
        <w:t xml:space="preserve">(pp. 170-197).   </w:t>
      </w:r>
    </w:p>
    <w:p w14:paraId="46CBBD04" w14:textId="77777777" w:rsidR="00A33DBF" w:rsidRDefault="00A33DBF" w:rsidP="00A33DBF">
      <w:r w:rsidRPr="00891924">
        <w:t xml:space="preserve">Raymond, E. (2000). </w:t>
      </w:r>
      <w:r w:rsidRPr="00891924">
        <w:rPr>
          <w:i/>
        </w:rPr>
        <w:t>Cognitive Characteristics.  Learners with Mild Disabilities</w:t>
      </w:r>
      <w:r w:rsidRPr="00891924">
        <w:t xml:space="preserve"> (pp. 169-201). Needham Heights, A Pearson Education Company. </w:t>
      </w:r>
    </w:p>
    <w:p w14:paraId="111F1C25" w14:textId="77777777" w:rsidR="00A33DBF" w:rsidRDefault="00A33DBF" w:rsidP="00A33DBF">
      <w:r>
        <w:t xml:space="preserve">Schmuck, R. (1997). </w:t>
      </w:r>
      <w:r w:rsidRPr="00891924">
        <w:rPr>
          <w:i/>
        </w:rPr>
        <w:t>Practical action research for change.</w:t>
      </w:r>
      <w:r>
        <w:t xml:space="preserve"> Arlington Heights, Skylight Training and Publishing.</w:t>
      </w:r>
    </w:p>
    <w:p w14:paraId="71877B2D" w14:textId="77777777" w:rsidR="00A33DBF" w:rsidRDefault="00A33DBF" w:rsidP="00A33DBF">
      <w:r>
        <w:t xml:space="preserve">School X (2014), </w:t>
      </w:r>
      <w:r w:rsidRPr="00DE0A44">
        <w:rPr>
          <w:i/>
        </w:rPr>
        <w:t>Estyn Inspection Report</w:t>
      </w:r>
      <w:r>
        <w:t>, [www]</w:t>
      </w:r>
      <w:r w:rsidRPr="00DE0A44">
        <w:t xml:space="preserve"> </w:t>
      </w:r>
      <w:r w:rsidRPr="00BA6067">
        <w:t>https://www.estyn.gov.wales/provider/6714067</w:t>
      </w:r>
      <w:r>
        <w:t>, (date accessed: Feb 2018).</w:t>
      </w:r>
    </w:p>
    <w:p w14:paraId="758D4EFA" w14:textId="77777777" w:rsidR="00A33DBF" w:rsidRDefault="00A33DBF" w:rsidP="00A33DBF">
      <w:r>
        <w:t xml:space="preserve">Van de Pol, J., and </w:t>
      </w:r>
      <w:proofErr w:type="spellStart"/>
      <w:r>
        <w:t>Elbers</w:t>
      </w:r>
      <w:proofErr w:type="spellEnd"/>
      <w:r>
        <w:t>, E. (2013). S</w:t>
      </w:r>
      <w:r w:rsidRPr="007C0B08">
        <w:rPr>
          <w:i/>
        </w:rPr>
        <w:t>caffolding student learning: A microanalysis of teacher-student interaction</w:t>
      </w:r>
      <w:r>
        <w:t xml:space="preserve">. Learning, Culture, and Social Interaction, </w:t>
      </w:r>
      <w:r w:rsidRPr="007C0B08">
        <w:rPr>
          <w:b/>
        </w:rPr>
        <w:t>2</w:t>
      </w:r>
      <w:r>
        <w:t xml:space="preserve">, 32–41. </w:t>
      </w:r>
    </w:p>
    <w:p w14:paraId="491BC0BC" w14:textId="77777777" w:rsidR="00A33DBF" w:rsidRDefault="00A33DBF" w:rsidP="00A33DBF">
      <w:r w:rsidRPr="007C0B08">
        <w:t xml:space="preserve">Van De Pol, J., </w:t>
      </w:r>
      <w:proofErr w:type="spellStart"/>
      <w:r w:rsidRPr="007C0B08">
        <w:t>Volman</w:t>
      </w:r>
      <w:proofErr w:type="spellEnd"/>
      <w:r w:rsidRPr="007C0B08">
        <w:t xml:space="preserve">, M., Oort, F., and </w:t>
      </w:r>
      <w:proofErr w:type="spellStart"/>
      <w:r w:rsidRPr="007C0B08">
        <w:t>Beishuizen</w:t>
      </w:r>
      <w:proofErr w:type="spellEnd"/>
      <w:r w:rsidRPr="007C0B08">
        <w:t xml:space="preserve">, J. (2015) </w:t>
      </w:r>
      <w:r w:rsidRPr="007C0B08">
        <w:rPr>
          <w:i/>
        </w:rPr>
        <w:t>The effects of scaffolding in the classroom: support contingency and student independent working time in relation to student achievement, task effort and appreciation of support</w:t>
      </w:r>
      <w:r>
        <w:rPr>
          <w:i/>
        </w:rPr>
        <w:t xml:space="preserve">, </w:t>
      </w:r>
      <w:proofErr w:type="spellStart"/>
      <w:r>
        <w:t>Instr</w:t>
      </w:r>
      <w:proofErr w:type="spellEnd"/>
      <w:r>
        <w:t xml:space="preserve"> Sci, </w:t>
      </w:r>
      <w:r w:rsidRPr="007C0B08">
        <w:t>43:615–641</w:t>
      </w:r>
    </w:p>
    <w:p w14:paraId="48BDC623" w14:textId="77777777" w:rsidR="00A33DBF" w:rsidRDefault="00A33DBF" w:rsidP="00A33DBF">
      <w:r w:rsidRPr="007C0B08">
        <w:t xml:space="preserve">Van Der </w:t>
      </w:r>
      <w:proofErr w:type="spellStart"/>
      <w:r w:rsidRPr="007C0B08">
        <w:t>Stuyf</w:t>
      </w:r>
      <w:proofErr w:type="spellEnd"/>
      <w:r w:rsidRPr="007C0B08">
        <w:t xml:space="preserve">, R. (2002). </w:t>
      </w:r>
      <w:r w:rsidRPr="007C0B08">
        <w:rPr>
          <w:i/>
        </w:rPr>
        <w:t>Scaffolding as a Teaching Strategy</w:t>
      </w:r>
      <w:r w:rsidRPr="007C0B08">
        <w:t>, Adolescent Learning and Development</w:t>
      </w:r>
    </w:p>
    <w:p w14:paraId="3366FE63" w14:textId="77777777" w:rsidR="00A33DBF" w:rsidRDefault="00A33DBF" w:rsidP="00A33DBF">
      <w:r>
        <w:t xml:space="preserve">Webb, M. (2009). </w:t>
      </w:r>
      <w:r w:rsidRPr="007C0B08">
        <w:rPr>
          <w:i/>
        </w:rPr>
        <w:t>The teacher’s role in promoting collaborative dialogue in the classroom</w:t>
      </w:r>
      <w:r>
        <w:t xml:space="preserve">. British Journal of Educational Psychology, </w:t>
      </w:r>
      <w:r w:rsidRPr="007C0B08">
        <w:rPr>
          <w:i/>
        </w:rPr>
        <w:t>79</w:t>
      </w:r>
      <w:r>
        <w:t>, 1–28.</w:t>
      </w:r>
    </w:p>
    <w:p w14:paraId="1139F55C" w14:textId="77777777" w:rsidR="00A33DBF" w:rsidRDefault="00A33DBF" w:rsidP="00A33DBF">
      <w:proofErr w:type="spellStart"/>
      <w:r>
        <w:t>Wittwer</w:t>
      </w:r>
      <w:proofErr w:type="spellEnd"/>
      <w:r>
        <w:t xml:space="preserve">, J., and </w:t>
      </w:r>
      <w:proofErr w:type="spellStart"/>
      <w:r>
        <w:t>Renkl</w:t>
      </w:r>
      <w:proofErr w:type="spellEnd"/>
      <w:r>
        <w:t>, A. (2008</w:t>
      </w:r>
      <w:r w:rsidRPr="007C0B08">
        <w:t>)</w:t>
      </w:r>
      <w:r w:rsidRPr="007C0B08">
        <w:rPr>
          <w:i/>
        </w:rPr>
        <w:t>. Why instructional explanations often do not work: A framework for understanding the effectiveness of instruction explanations</w:t>
      </w:r>
      <w:r>
        <w:t>. Educational Psychologist, 43, 49–64.</w:t>
      </w:r>
      <w:r w:rsidRPr="00891924">
        <w:t xml:space="preserve"> </w:t>
      </w:r>
    </w:p>
    <w:p w14:paraId="77867248" w14:textId="77777777" w:rsidR="00A33DBF" w:rsidRPr="00891924" w:rsidRDefault="00A33DBF" w:rsidP="00A33DBF">
      <w:proofErr w:type="spellStart"/>
      <w:r>
        <w:t>Wittwer</w:t>
      </w:r>
      <w:proofErr w:type="spellEnd"/>
      <w:r>
        <w:t xml:space="preserve">, J., </w:t>
      </w:r>
      <w:proofErr w:type="spellStart"/>
      <w:r>
        <w:t>Nuckles</w:t>
      </w:r>
      <w:proofErr w:type="spellEnd"/>
      <w:r>
        <w:t xml:space="preserve">, M., and </w:t>
      </w:r>
      <w:proofErr w:type="spellStart"/>
      <w:r>
        <w:t>Renkl</w:t>
      </w:r>
      <w:proofErr w:type="spellEnd"/>
      <w:r>
        <w:t>, A. (2010). Using a diagnosis-based approach to individualize instructional explanations in computer-mediated communication. Educational Psychology Review, 22, 9–23.</w:t>
      </w:r>
    </w:p>
    <w:p w14:paraId="7BDB2645" w14:textId="77777777" w:rsidR="00A33DBF" w:rsidRDefault="00A33DBF" w:rsidP="00A33DBF">
      <w:r>
        <w:t xml:space="preserve">Wood, D., Bruner, J. S., and Ross, G. (1976). </w:t>
      </w:r>
      <w:r w:rsidRPr="007C0B08">
        <w:rPr>
          <w:i/>
        </w:rPr>
        <w:t>The role of tutoring in problem-solving.</w:t>
      </w:r>
      <w:r>
        <w:t xml:space="preserve"> Journal of Child Psychology and Psychiatry and Allied Disciplines, </w:t>
      </w:r>
      <w:r w:rsidRPr="007C0B08">
        <w:rPr>
          <w:b/>
        </w:rPr>
        <w:t>17</w:t>
      </w:r>
      <w:r>
        <w:t>, 89–100.</w:t>
      </w:r>
    </w:p>
    <w:p w14:paraId="10CE3D3D" w14:textId="77777777" w:rsidR="00A33DBF" w:rsidRPr="00A33DBF" w:rsidRDefault="00A33DBF" w:rsidP="00A33DBF">
      <w:pPr>
        <w:tabs>
          <w:tab w:val="left" w:pos="2310"/>
        </w:tabs>
        <w:rPr>
          <w:rFonts w:ascii="Calibri" w:hAnsi="Calibri" w:cs="Calibri"/>
          <w:u w:val="single"/>
        </w:rPr>
      </w:pPr>
    </w:p>
    <w:sectPr w:rsidR="00A33DBF" w:rsidRPr="00A33DBF" w:rsidSect="008A2003">
      <w:footerReference w:type="defaul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FA476" w14:textId="77777777" w:rsidR="004E26F0" w:rsidRDefault="004E26F0">
      <w:r>
        <w:separator/>
      </w:r>
    </w:p>
  </w:endnote>
  <w:endnote w:type="continuationSeparator" w:id="0">
    <w:p w14:paraId="6BED2E26" w14:textId="77777777" w:rsidR="004E26F0" w:rsidRDefault="004E26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9045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1B48DF" w14:textId="77777777" w:rsidR="004E26F0" w:rsidRDefault="004E26F0">
      <w:r>
        <w:separator/>
      </w:r>
    </w:p>
  </w:footnote>
  <w:footnote w:type="continuationSeparator" w:id="0">
    <w:p w14:paraId="68D0D09B" w14:textId="77777777" w:rsidR="004E26F0" w:rsidRDefault="004E26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F474DC"/>
    <w:multiLevelType w:val="hybridMultilevel"/>
    <w:tmpl w:val="E580E51A"/>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545DC"/>
    <w:multiLevelType w:val="hybridMultilevel"/>
    <w:tmpl w:val="9B68739C"/>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136DB0"/>
    <w:multiLevelType w:val="hybridMultilevel"/>
    <w:tmpl w:val="98BE3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E2B78"/>
    <w:multiLevelType w:val="hybridMultilevel"/>
    <w:tmpl w:val="9AFC3802"/>
    <w:lvl w:ilvl="0" w:tplc="C834F166">
      <w:start w:val="1"/>
      <w:numFmt w:val="decimal"/>
      <w:lvlText w:val="%1."/>
      <w:lvlJc w:val="left"/>
      <w:pPr>
        <w:ind w:left="108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0B64344"/>
    <w:multiLevelType w:val="hybridMultilevel"/>
    <w:tmpl w:val="5DD64F06"/>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4A5414"/>
    <w:multiLevelType w:val="hybridMultilevel"/>
    <w:tmpl w:val="9C0C27EA"/>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E990A48"/>
    <w:multiLevelType w:val="hybridMultilevel"/>
    <w:tmpl w:val="383CA6A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2"/>
  </w:num>
  <w:num w:numId="2">
    <w:abstractNumId w:val="13"/>
  </w:num>
  <w:num w:numId="3">
    <w:abstractNumId w:val="22"/>
  </w:num>
  <w:num w:numId="4">
    <w:abstractNumId w:val="17"/>
  </w:num>
  <w:num w:numId="5">
    <w:abstractNumId w:val="11"/>
  </w:num>
  <w:num w:numId="6">
    <w:abstractNumId w:val="21"/>
  </w:num>
  <w:num w:numId="7">
    <w:abstractNumId w:val="3"/>
  </w:num>
  <w:num w:numId="8">
    <w:abstractNumId w:val="19"/>
  </w:num>
  <w:num w:numId="9">
    <w:abstractNumId w:val="14"/>
  </w:num>
  <w:num w:numId="10">
    <w:abstractNumId w:val="5"/>
  </w:num>
  <w:num w:numId="11">
    <w:abstractNumId w:val="6"/>
  </w:num>
  <w:num w:numId="12">
    <w:abstractNumId w:val="12"/>
  </w:num>
  <w:num w:numId="13">
    <w:abstractNumId w:val="18"/>
  </w:num>
  <w:num w:numId="14">
    <w:abstractNumId w:val="4"/>
  </w:num>
  <w:num w:numId="15">
    <w:abstractNumId w:val="0"/>
  </w:num>
  <w:num w:numId="16">
    <w:abstractNumId w:val="8"/>
  </w:num>
  <w:num w:numId="17">
    <w:abstractNumId w:val="15"/>
  </w:num>
  <w:num w:numId="18">
    <w:abstractNumId w:val="16"/>
  </w:num>
  <w:num w:numId="1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9"/>
  </w:num>
  <w:num w:numId="21">
    <w:abstractNumId w:val="23"/>
  </w:num>
  <w:num w:numId="22">
    <w:abstractNumId w:val="7"/>
  </w:num>
  <w:num w:numId="23">
    <w:abstractNumId w:val="1"/>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LcwMjAyMjW0NDU3MzNU0lEKTi0uzszPAykwqgUATn91HywAAAA="/>
  </w:docVars>
  <w:rsids>
    <w:rsidRoot w:val="00FB4521"/>
    <w:rsid w:val="00011666"/>
    <w:rsid w:val="000138ED"/>
    <w:rsid w:val="00026B02"/>
    <w:rsid w:val="000822E5"/>
    <w:rsid w:val="000971FC"/>
    <w:rsid w:val="000A2A3A"/>
    <w:rsid w:val="000A492A"/>
    <w:rsid w:val="000D2F80"/>
    <w:rsid w:val="000E413A"/>
    <w:rsid w:val="000F5AA3"/>
    <w:rsid w:val="00100396"/>
    <w:rsid w:val="00100B5C"/>
    <w:rsid w:val="00105A08"/>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294"/>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A7"/>
    <w:rsid w:val="00426244"/>
    <w:rsid w:val="00470A38"/>
    <w:rsid w:val="004874DE"/>
    <w:rsid w:val="004B5334"/>
    <w:rsid w:val="004B5C19"/>
    <w:rsid w:val="004B6C14"/>
    <w:rsid w:val="004D63D9"/>
    <w:rsid w:val="004E26F0"/>
    <w:rsid w:val="0050249F"/>
    <w:rsid w:val="00524566"/>
    <w:rsid w:val="00530BEF"/>
    <w:rsid w:val="005617CF"/>
    <w:rsid w:val="00561F00"/>
    <w:rsid w:val="00562C4E"/>
    <w:rsid w:val="00562DEC"/>
    <w:rsid w:val="00576AB4"/>
    <w:rsid w:val="00577917"/>
    <w:rsid w:val="00590667"/>
    <w:rsid w:val="005969E2"/>
    <w:rsid w:val="005A1689"/>
    <w:rsid w:val="005B61CD"/>
    <w:rsid w:val="005D1D58"/>
    <w:rsid w:val="005D29F9"/>
    <w:rsid w:val="005D432C"/>
    <w:rsid w:val="005E285E"/>
    <w:rsid w:val="005E72F8"/>
    <w:rsid w:val="005F0579"/>
    <w:rsid w:val="005F6180"/>
    <w:rsid w:val="006062A3"/>
    <w:rsid w:val="00610E08"/>
    <w:rsid w:val="006140BF"/>
    <w:rsid w:val="006161BE"/>
    <w:rsid w:val="00620787"/>
    <w:rsid w:val="00632434"/>
    <w:rsid w:val="0063478F"/>
    <w:rsid w:val="00641090"/>
    <w:rsid w:val="00644256"/>
    <w:rsid w:val="00661D6F"/>
    <w:rsid w:val="006628E9"/>
    <w:rsid w:val="0066725E"/>
    <w:rsid w:val="006716C7"/>
    <w:rsid w:val="00681208"/>
    <w:rsid w:val="00681FA9"/>
    <w:rsid w:val="00691EA9"/>
    <w:rsid w:val="006934D4"/>
    <w:rsid w:val="006A6DC3"/>
    <w:rsid w:val="006D49ED"/>
    <w:rsid w:val="006D55CE"/>
    <w:rsid w:val="006D637A"/>
    <w:rsid w:val="006E65FF"/>
    <w:rsid w:val="006F45BF"/>
    <w:rsid w:val="006F60E0"/>
    <w:rsid w:val="00702F71"/>
    <w:rsid w:val="0072314A"/>
    <w:rsid w:val="007366DF"/>
    <w:rsid w:val="007423C5"/>
    <w:rsid w:val="00757839"/>
    <w:rsid w:val="00770C81"/>
    <w:rsid w:val="007866E5"/>
    <w:rsid w:val="00791024"/>
    <w:rsid w:val="00793F0A"/>
    <w:rsid w:val="007A2657"/>
    <w:rsid w:val="007C2438"/>
    <w:rsid w:val="007C682C"/>
    <w:rsid w:val="007D2385"/>
    <w:rsid w:val="007F214F"/>
    <w:rsid w:val="00800069"/>
    <w:rsid w:val="008310A0"/>
    <w:rsid w:val="00835D29"/>
    <w:rsid w:val="00842E7F"/>
    <w:rsid w:val="00852933"/>
    <w:rsid w:val="008566E5"/>
    <w:rsid w:val="008566FE"/>
    <w:rsid w:val="00865B46"/>
    <w:rsid w:val="0088296F"/>
    <w:rsid w:val="00896134"/>
    <w:rsid w:val="008A2003"/>
    <w:rsid w:val="008A62BC"/>
    <w:rsid w:val="008B43E7"/>
    <w:rsid w:val="008C1855"/>
    <w:rsid w:val="008D763F"/>
    <w:rsid w:val="008F036F"/>
    <w:rsid w:val="008F78C2"/>
    <w:rsid w:val="00904568"/>
    <w:rsid w:val="00911394"/>
    <w:rsid w:val="00923EF2"/>
    <w:rsid w:val="00926D25"/>
    <w:rsid w:val="00926E9D"/>
    <w:rsid w:val="00932C6E"/>
    <w:rsid w:val="00933F10"/>
    <w:rsid w:val="009433C5"/>
    <w:rsid w:val="00965881"/>
    <w:rsid w:val="009871FF"/>
    <w:rsid w:val="00990799"/>
    <w:rsid w:val="009A0631"/>
    <w:rsid w:val="009D3EA4"/>
    <w:rsid w:val="009D649C"/>
    <w:rsid w:val="009E4BC1"/>
    <w:rsid w:val="009F5CB2"/>
    <w:rsid w:val="00A03BB8"/>
    <w:rsid w:val="00A16174"/>
    <w:rsid w:val="00A33DBF"/>
    <w:rsid w:val="00A3505D"/>
    <w:rsid w:val="00A4036F"/>
    <w:rsid w:val="00A4641C"/>
    <w:rsid w:val="00A52FDE"/>
    <w:rsid w:val="00A55876"/>
    <w:rsid w:val="00A62BD8"/>
    <w:rsid w:val="00A67FB1"/>
    <w:rsid w:val="00AB6FE7"/>
    <w:rsid w:val="00AB7AD7"/>
    <w:rsid w:val="00AD2430"/>
    <w:rsid w:val="00AE41A6"/>
    <w:rsid w:val="00AF0E34"/>
    <w:rsid w:val="00AF271D"/>
    <w:rsid w:val="00AF56C2"/>
    <w:rsid w:val="00B004E6"/>
    <w:rsid w:val="00B01A8F"/>
    <w:rsid w:val="00B0744D"/>
    <w:rsid w:val="00B53B62"/>
    <w:rsid w:val="00B64082"/>
    <w:rsid w:val="00B72325"/>
    <w:rsid w:val="00B81AD3"/>
    <w:rsid w:val="00B829D8"/>
    <w:rsid w:val="00B84B5B"/>
    <w:rsid w:val="00B86446"/>
    <w:rsid w:val="00BA1176"/>
    <w:rsid w:val="00BA6B2C"/>
    <w:rsid w:val="00BC0EEA"/>
    <w:rsid w:val="00BE0B01"/>
    <w:rsid w:val="00BE34DB"/>
    <w:rsid w:val="00BE79C7"/>
    <w:rsid w:val="00BF3CB5"/>
    <w:rsid w:val="00BF4918"/>
    <w:rsid w:val="00C11815"/>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71AE"/>
    <w:rsid w:val="00DA36EE"/>
    <w:rsid w:val="00DB116D"/>
    <w:rsid w:val="00DD17CC"/>
    <w:rsid w:val="00DE217A"/>
    <w:rsid w:val="00DF321B"/>
    <w:rsid w:val="00E230E0"/>
    <w:rsid w:val="00E3293C"/>
    <w:rsid w:val="00E51AAC"/>
    <w:rsid w:val="00E66CC0"/>
    <w:rsid w:val="00E728A9"/>
    <w:rsid w:val="00E807D9"/>
    <w:rsid w:val="00EA0F4E"/>
    <w:rsid w:val="00EA295B"/>
    <w:rsid w:val="00EA6801"/>
    <w:rsid w:val="00EB4F96"/>
    <w:rsid w:val="00ED7072"/>
    <w:rsid w:val="00EE3132"/>
    <w:rsid w:val="00EE3D9D"/>
    <w:rsid w:val="00EE6F25"/>
    <w:rsid w:val="00EF62B0"/>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5229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971AE"/>
    <w:rPr>
      <w:sz w:val="16"/>
      <w:szCs w:val="16"/>
    </w:rPr>
  </w:style>
  <w:style w:type="paragraph" w:styleId="CommentText">
    <w:name w:val="annotation text"/>
    <w:basedOn w:val="Normal"/>
    <w:link w:val="CommentTextChar"/>
    <w:semiHidden/>
    <w:unhideWhenUsed/>
    <w:rsid w:val="00D971AE"/>
  </w:style>
  <w:style w:type="character" w:customStyle="1" w:styleId="CommentTextChar">
    <w:name w:val="Comment Text Char"/>
    <w:basedOn w:val="DefaultParagraphFont"/>
    <w:link w:val="CommentText"/>
    <w:semiHidden/>
    <w:rsid w:val="00D971AE"/>
    <w:rPr>
      <w:lang w:eastAsia="en-GB"/>
    </w:rPr>
  </w:style>
  <w:style w:type="paragraph" w:styleId="CommentSubject">
    <w:name w:val="annotation subject"/>
    <w:basedOn w:val="CommentText"/>
    <w:next w:val="CommentText"/>
    <w:link w:val="CommentSubjectChar"/>
    <w:semiHidden/>
    <w:unhideWhenUsed/>
    <w:rsid w:val="00D971AE"/>
    <w:rPr>
      <w:b/>
      <w:bCs/>
    </w:rPr>
  </w:style>
  <w:style w:type="character" w:customStyle="1" w:styleId="CommentSubjectChar">
    <w:name w:val="Comment Subject Char"/>
    <w:basedOn w:val="CommentTextChar"/>
    <w:link w:val="CommentSubject"/>
    <w:semiHidden/>
    <w:rsid w:val="00D971AE"/>
    <w:rPr>
      <w:b/>
      <w:bCs/>
      <w:lang w:eastAsia="en-GB"/>
    </w:rPr>
  </w:style>
  <w:style w:type="paragraph" w:customStyle="1" w:styleId="Default">
    <w:name w:val="Default"/>
    <w:rsid w:val="00B01A8F"/>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29199">
      <w:bodyDiv w:val="1"/>
      <w:marLeft w:val="0"/>
      <w:marRight w:val="0"/>
      <w:marTop w:val="0"/>
      <w:marBottom w:val="0"/>
      <w:divBdr>
        <w:top w:val="none" w:sz="0" w:space="0" w:color="auto"/>
        <w:left w:val="none" w:sz="0" w:space="0" w:color="auto"/>
        <w:bottom w:val="none" w:sz="0" w:space="0" w:color="auto"/>
        <w:right w:val="none" w:sz="0" w:space="0" w:color="auto"/>
      </w:divBdr>
    </w:div>
    <w:div w:id="536044001">
      <w:bodyDiv w:val="1"/>
      <w:marLeft w:val="0"/>
      <w:marRight w:val="0"/>
      <w:marTop w:val="0"/>
      <w:marBottom w:val="0"/>
      <w:divBdr>
        <w:top w:val="none" w:sz="0" w:space="0" w:color="auto"/>
        <w:left w:val="none" w:sz="0" w:space="0" w:color="auto"/>
        <w:bottom w:val="none" w:sz="0" w:space="0" w:color="auto"/>
        <w:right w:val="none" w:sz="0" w:space="0" w:color="auto"/>
      </w:divBdr>
    </w:div>
    <w:div w:id="803163156">
      <w:bodyDiv w:val="1"/>
      <w:marLeft w:val="0"/>
      <w:marRight w:val="0"/>
      <w:marTop w:val="0"/>
      <w:marBottom w:val="0"/>
      <w:divBdr>
        <w:top w:val="none" w:sz="0" w:space="0" w:color="auto"/>
        <w:left w:val="none" w:sz="0" w:space="0" w:color="auto"/>
        <w:bottom w:val="none" w:sz="0" w:space="0" w:color="auto"/>
        <w:right w:val="none" w:sz="0" w:space="0" w:color="auto"/>
      </w:divBdr>
    </w:div>
    <w:div w:id="1108240419">
      <w:bodyDiv w:val="1"/>
      <w:marLeft w:val="0"/>
      <w:marRight w:val="0"/>
      <w:marTop w:val="0"/>
      <w:marBottom w:val="0"/>
      <w:divBdr>
        <w:top w:val="none" w:sz="0" w:space="0" w:color="auto"/>
        <w:left w:val="none" w:sz="0" w:space="0" w:color="auto"/>
        <w:bottom w:val="none" w:sz="0" w:space="0" w:color="auto"/>
        <w:right w:val="none" w:sz="0" w:space="0" w:color="auto"/>
      </w:divBdr>
    </w:div>
    <w:div w:id="12998716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09480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4564E-1B74-4F80-98FE-649762A0B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8269</Words>
  <Characters>43170</Characters>
  <Application>Microsoft Office Word</Application>
  <DocSecurity>0</DocSecurity>
  <Lines>359</Lines>
  <Paragraphs>102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51337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Janine Mann</cp:lastModifiedBy>
  <cp:revision>2</cp:revision>
  <cp:lastPrinted>2014-10-10T07:42:00Z</cp:lastPrinted>
  <dcterms:created xsi:type="dcterms:W3CDTF">2018-05-14T15:17:00Z</dcterms:created>
  <dcterms:modified xsi:type="dcterms:W3CDTF">2018-05-14T15:17:00Z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