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9DB00" w14:textId="77777777" w:rsidR="009976B9" w:rsidRDefault="009976B9">
      <w:pPr>
        <w:pStyle w:val="Title"/>
      </w:pPr>
      <w:bookmarkStart w:id="0" w:name="_c95s1b9dr8xi" w:colFirst="0" w:colLast="0"/>
      <w:bookmarkEnd w:id="0"/>
    </w:p>
    <w:p w14:paraId="6CFB8769" w14:textId="77777777" w:rsidR="009976B9" w:rsidRDefault="009976B9">
      <w:pPr>
        <w:pStyle w:val="Title"/>
      </w:pPr>
      <w:bookmarkStart w:id="1" w:name="_ptq3kz61c3xa" w:colFirst="0" w:colLast="0"/>
      <w:bookmarkStart w:id="2" w:name="_yx6yzyrtqp98" w:colFirst="0" w:colLast="0"/>
      <w:bookmarkStart w:id="3" w:name="_f8hac2kzsgyj" w:colFirst="0" w:colLast="0"/>
      <w:bookmarkEnd w:id="1"/>
      <w:bookmarkEnd w:id="2"/>
      <w:bookmarkEnd w:id="3"/>
    </w:p>
    <w:p w14:paraId="0886B571" w14:textId="77777777" w:rsidR="009976B9" w:rsidRDefault="009976B9">
      <w:pPr>
        <w:pStyle w:val="Title"/>
      </w:pPr>
      <w:bookmarkStart w:id="4" w:name="_o7awx3wj8s1s" w:colFirst="0" w:colLast="0"/>
      <w:bookmarkEnd w:id="4"/>
    </w:p>
    <w:p w14:paraId="1A6679A9" w14:textId="458DE7D1" w:rsidR="00BF2021" w:rsidRPr="003C351E" w:rsidRDefault="00BF2021" w:rsidP="00BF2021">
      <w:pPr>
        <w:jc w:val="center"/>
        <w:rPr>
          <w:rFonts w:ascii="Arial" w:hAnsi="Arial" w:cs="Arial"/>
          <w:sz w:val="32"/>
          <w:szCs w:val="32"/>
        </w:rPr>
      </w:pPr>
      <w:bookmarkStart w:id="5" w:name="_dt72et9bgsvs" w:colFirst="0" w:colLast="0"/>
      <w:bookmarkEnd w:id="5"/>
      <w:r w:rsidRPr="003C351E">
        <w:rPr>
          <w:rFonts w:ascii="Arial" w:hAnsi="Arial" w:cs="Arial"/>
          <w:sz w:val="32"/>
          <w:szCs w:val="32"/>
        </w:rPr>
        <w:t xml:space="preserve">Student Name: </w:t>
      </w:r>
      <w:proofErr w:type="spellStart"/>
      <w:r>
        <w:rPr>
          <w:rFonts w:ascii="Arial" w:hAnsi="Arial" w:cs="Arial"/>
          <w:sz w:val="32"/>
          <w:szCs w:val="32"/>
        </w:rPr>
        <w:t>Catalin</w:t>
      </w:r>
      <w:proofErr w:type="spellEnd"/>
      <w:r>
        <w:rPr>
          <w:rFonts w:ascii="Arial" w:hAnsi="Arial" w:cs="Arial"/>
          <w:sz w:val="32"/>
          <w:szCs w:val="32"/>
        </w:rPr>
        <w:t xml:space="preserve"> </w:t>
      </w:r>
      <w:proofErr w:type="spellStart"/>
      <w:r>
        <w:rPr>
          <w:rFonts w:ascii="Arial" w:hAnsi="Arial" w:cs="Arial"/>
          <w:sz w:val="32"/>
          <w:szCs w:val="32"/>
        </w:rPr>
        <w:t>Alexandru</w:t>
      </w:r>
      <w:proofErr w:type="spellEnd"/>
      <w:r>
        <w:rPr>
          <w:rFonts w:ascii="Arial" w:hAnsi="Arial" w:cs="Arial"/>
          <w:sz w:val="32"/>
          <w:szCs w:val="32"/>
        </w:rPr>
        <w:t xml:space="preserve"> </w:t>
      </w:r>
      <w:proofErr w:type="spellStart"/>
      <w:r>
        <w:rPr>
          <w:rFonts w:ascii="Arial" w:hAnsi="Arial" w:cs="Arial"/>
          <w:sz w:val="32"/>
          <w:szCs w:val="32"/>
        </w:rPr>
        <w:t>Banciu</w:t>
      </w:r>
      <w:proofErr w:type="spellEnd"/>
    </w:p>
    <w:p w14:paraId="6855F640" w14:textId="678E7239" w:rsidR="00BF2021" w:rsidRPr="003C351E" w:rsidRDefault="00BF2021" w:rsidP="00BF2021">
      <w:pPr>
        <w:jc w:val="center"/>
        <w:rPr>
          <w:rFonts w:ascii="Arial" w:hAnsi="Arial" w:cs="Arial"/>
          <w:sz w:val="32"/>
          <w:szCs w:val="32"/>
        </w:rPr>
      </w:pPr>
      <w:r w:rsidRPr="003C351E">
        <w:rPr>
          <w:rFonts w:ascii="Arial" w:hAnsi="Arial" w:cs="Arial"/>
          <w:sz w:val="32"/>
          <w:szCs w:val="32"/>
        </w:rPr>
        <w:t>Student’s ID: 21</w:t>
      </w:r>
      <w:r w:rsidR="006B71A1">
        <w:rPr>
          <w:rFonts w:ascii="Arial" w:hAnsi="Arial" w:cs="Arial"/>
          <w:sz w:val="32"/>
          <w:szCs w:val="32"/>
        </w:rPr>
        <w:t>24371</w:t>
      </w:r>
    </w:p>
    <w:p w14:paraId="44D4D562" w14:textId="77777777" w:rsidR="00BF2021" w:rsidRPr="003C351E" w:rsidRDefault="00BF2021" w:rsidP="00BF2021">
      <w:pPr>
        <w:jc w:val="center"/>
        <w:rPr>
          <w:rFonts w:ascii="Arial" w:hAnsi="Arial" w:cs="Arial"/>
          <w:sz w:val="32"/>
          <w:szCs w:val="32"/>
        </w:rPr>
      </w:pPr>
      <w:r w:rsidRPr="003C351E">
        <w:rPr>
          <w:rFonts w:ascii="Arial" w:hAnsi="Arial" w:cs="Arial"/>
          <w:sz w:val="32"/>
          <w:szCs w:val="32"/>
        </w:rPr>
        <w:t>University Name: University of Wales Trinity Saint David</w:t>
      </w:r>
    </w:p>
    <w:p w14:paraId="340AEC2A" w14:textId="3B425048" w:rsidR="00BF2021" w:rsidRDefault="00BF2021" w:rsidP="00BF2021">
      <w:pPr>
        <w:jc w:val="center"/>
        <w:rPr>
          <w:rFonts w:ascii="Arial" w:hAnsi="Arial" w:cs="Arial"/>
          <w:sz w:val="32"/>
          <w:szCs w:val="32"/>
        </w:rPr>
      </w:pPr>
      <w:r w:rsidRPr="003C351E">
        <w:rPr>
          <w:rFonts w:ascii="Arial" w:hAnsi="Arial" w:cs="Arial"/>
          <w:sz w:val="32"/>
          <w:szCs w:val="32"/>
        </w:rPr>
        <w:t xml:space="preserve">Lecturer: </w:t>
      </w:r>
      <w:r w:rsidR="005A16BE">
        <w:rPr>
          <w:rFonts w:ascii="Arial" w:hAnsi="Arial" w:cs="Arial"/>
          <w:sz w:val="32"/>
          <w:szCs w:val="32"/>
        </w:rPr>
        <w:t xml:space="preserve">Zahra </w:t>
      </w:r>
      <w:proofErr w:type="spellStart"/>
      <w:r w:rsidR="005A16BE">
        <w:rPr>
          <w:rFonts w:ascii="Arial" w:hAnsi="Arial" w:cs="Arial"/>
          <w:sz w:val="32"/>
          <w:szCs w:val="32"/>
        </w:rPr>
        <w:t>Mo</w:t>
      </w:r>
      <w:r w:rsidR="000A652C">
        <w:rPr>
          <w:rFonts w:ascii="Arial" w:hAnsi="Arial" w:cs="Arial"/>
          <w:sz w:val="32"/>
          <w:szCs w:val="32"/>
        </w:rPr>
        <w:t>hammadnazari</w:t>
      </w:r>
      <w:proofErr w:type="spellEnd"/>
    </w:p>
    <w:p w14:paraId="2212DFC0" w14:textId="45BD4F6E" w:rsidR="00BF2021" w:rsidRDefault="00BF2021" w:rsidP="00BF2021">
      <w:pPr>
        <w:jc w:val="center"/>
        <w:rPr>
          <w:rFonts w:ascii="Arial" w:hAnsi="Arial" w:cs="Arial"/>
          <w:sz w:val="32"/>
          <w:szCs w:val="32"/>
        </w:rPr>
      </w:pPr>
      <w:r>
        <w:rPr>
          <w:rFonts w:ascii="Arial" w:hAnsi="Arial" w:cs="Arial"/>
          <w:sz w:val="32"/>
          <w:szCs w:val="32"/>
        </w:rPr>
        <w:t xml:space="preserve">Module Name: </w:t>
      </w:r>
      <w:r w:rsidR="000A652C">
        <w:rPr>
          <w:rFonts w:ascii="Arial" w:hAnsi="Arial" w:cs="Arial"/>
          <w:sz w:val="32"/>
          <w:szCs w:val="32"/>
        </w:rPr>
        <w:t>Community Engagement</w:t>
      </w:r>
    </w:p>
    <w:p w14:paraId="491E9015" w14:textId="6CF16DCE" w:rsidR="00BF2021" w:rsidRPr="003C351E" w:rsidRDefault="00BF2021" w:rsidP="00BF2021">
      <w:pPr>
        <w:jc w:val="center"/>
        <w:rPr>
          <w:rFonts w:ascii="Arial" w:hAnsi="Arial" w:cs="Arial"/>
          <w:sz w:val="32"/>
          <w:szCs w:val="32"/>
        </w:rPr>
      </w:pPr>
      <w:r>
        <w:rPr>
          <w:rFonts w:ascii="Arial" w:hAnsi="Arial" w:cs="Arial"/>
          <w:sz w:val="32"/>
          <w:szCs w:val="32"/>
        </w:rPr>
        <w:t xml:space="preserve">Module Code: </w:t>
      </w:r>
      <w:r w:rsidR="000A652C">
        <w:rPr>
          <w:rFonts w:ascii="Arial" w:hAnsi="Arial" w:cs="Arial"/>
          <w:sz w:val="32"/>
          <w:szCs w:val="32"/>
        </w:rPr>
        <w:t>L</w:t>
      </w:r>
      <w:r w:rsidR="00415D2B">
        <w:rPr>
          <w:rFonts w:ascii="Arial" w:hAnsi="Arial" w:cs="Arial"/>
          <w:sz w:val="32"/>
          <w:szCs w:val="32"/>
        </w:rPr>
        <w:t>CBB4002</w:t>
      </w:r>
    </w:p>
    <w:p w14:paraId="348A4C79" w14:textId="77777777" w:rsidR="00BF2021" w:rsidRPr="00CE0037" w:rsidRDefault="00BF2021" w:rsidP="00BF2021">
      <w:pPr>
        <w:jc w:val="center"/>
        <w:rPr>
          <w:sz w:val="32"/>
          <w:szCs w:val="32"/>
        </w:rPr>
      </w:pPr>
    </w:p>
    <w:p w14:paraId="38A48570" w14:textId="15CDBFA5" w:rsidR="00BF2021" w:rsidRDefault="00BF2021" w:rsidP="00BF2021">
      <w:pPr>
        <w:jc w:val="center"/>
        <w:rPr>
          <w:rFonts w:ascii="Arial" w:hAnsi="Arial" w:cs="Arial"/>
          <w:sz w:val="32"/>
          <w:szCs w:val="32"/>
        </w:rPr>
      </w:pPr>
      <w:r w:rsidRPr="00CE0037">
        <w:rPr>
          <w:rFonts w:ascii="Arial" w:hAnsi="Arial" w:cs="Arial"/>
          <w:sz w:val="32"/>
          <w:szCs w:val="32"/>
        </w:rPr>
        <w:t>Assignment title</w:t>
      </w:r>
      <w:r w:rsidR="007F219C">
        <w:rPr>
          <w:rFonts w:ascii="Arial" w:hAnsi="Arial" w:cs="Arial"/>
          <w:sz w:val="32"/>
          <w:szCs w:val="32"/>
        </w:rPr>
        <w:t xml:space="preserve">: </w:t>
      </w:r>
      <w:r w:rsidR="00EF5231">
        <w:rPr>
          <w:rFonts w:ascii="Arial" w:hAnsi="Arial" w:cs="Arial"/>
          <w:sz w:val="32"/>
          <w:szCs w:val="32"/>
        </w:rPr>
        <w:t>Community Engagement Assignment Essay</w:t>
      </w:r>
    </w:p>
    <w:p w14:paraId="115BB554" w14:textId="064816FC" w:rsidR="00BF2021" w:rsidRDefault="00BF2021" w:rsidP="00BF2021">
      <w:pPr>
        <w:jc w:val="center"/>
        <w:rPr>
          <w:rFonts w:ascii="Arial" w:hAnsi="Arial" w:cs="Arial"/>
          <w:sz w:val="32"/>
          <w:szCs w:val="32"/>
        </w:rPr>
      </w:pPr>
    </w:p>
    <w:p w14:paraId="16A66F42" w14:textId="0A06E2D0" w:rsidR="00BF2021" w:rsidRDefault="00BF2021" w:rsidP="00BF2021">
      <w:pPr>
        <w:jc w:val="center"/>
        <w:rPr>
          <w:rFonts w:ascii="Arial" w:hAnsi="Arial" w:cs="Arial"/>
          <w:sz w:val="32"/>
          <w:szCs w:val="32"/>
        </w:rPr>
      </w:pPr>
    </w:p>
    <w:p w14:paraId="45380301" w14:textId="10D8151C" w:rsidR="00BF2021" w:rsidRDefault="00BF2021" w:rsidP="00BF2021">
      <w:pPr>
        <w:jc w:val="center"/>
        <w:rPr>
          <w:rFonts w:ascii="Arial" w:hAnsi="Arial" w:cs="Arial"/>
          <w:sz w:val="32"/>
          <w:szCs w:val="32"/>
        </w:rPr>
      </w:pPr>
    </w:p>
    <w:p w14:paraId="4CAE7B2F" w14:textId="5CB893C3" w:rsidR="00BF2021" w:rsidRDefault="00BF2021" w:rsidP="00BF2021">
      <w:pPr>
        <w:jc w:val="center"/>
        <w:rPr>
          <w:rFonts w:ascii="Arial" w:hAnsi="Arial" w:cs="Arial"/>
          <w:sz w:val="32"/>
          <w:szCs w:val="32"/>
        </w:rPr>
      </w:pPr>
    </w:p>
    <w:p w14:paraId="300989F1" w14:textId="78FD9DD1" w:rsidR="00BF2021" w:rsidRDefault="00BF2021" w:rsidP="00BF2021">
      <w:pPr>
        <w:jc w:val="center"/>
        <w:rPr>
          <w:rFonts w:ascii="Arial" w:hAnsi="Arial" w:cs="Arial"/>
          <w:sz w:val="32"/>
          <w:szCs w:val="32"/>
        </w:rPr>
      </w:pPr>
    </w:p>
    <w:p w14:paraId="349C4EC4" w14:textId="6B868825" w:rsidR="00BF2021" w:rsidRDefault="00BF2021" w:rsidP="00BF2021">
      <w:pPr>
        <w:jc w:val="center"/>
        <w:rPr>
          <w:rFonts w:ascii="Arial" w:hAnsi="Arial" w:cs="Arial"/>
          <w:sz w:val="32"/>
          <w:szCs w:val="32"/>
        </w:rPr>
      </w:pPr>
    </w:p>
    <w:p w14:paraId="2321F691" w14:textId="765BF182" w:rsidR="00BF2021" w:rsidRDefault="00BF2021" w:rsidP="00BF2021">
      <w:pPr>
        <w:jc w:val="center"/>
        <w:rPr>
          <w:rFonts w:ascii="Arial" w:hAnsi="Arial" w:cs="Arial"/>
          <w:sz w:val="32"/>
          <w:szCs w:val="32"/>
        </w:rPr>
      </w:pPr>
    </w:p>
    <w:p w14:paraId="404D0B34" w14:textId="66B390D8" w:rsidR="00BF2021" w:rsidRDefault="00BF2021" w:rsidP="00BF2021">
      <w:pPr>
        <w:jc w:val="center"/>
        <w:rPr>
          <w:rFonts w:ascii="Arial" w:hAnsi="Arial" w:cs="Arial"/>
          <w:sz w:val="32"/>
          <w:szCs w:val="32"/>
        </w:rPr>
      </w:pPr>
    </w:p>
    <w:p w14:paraId="11C8AF33" w14:textId="41EF9326" w:rsidR="00BF2021" w:rsidRDefault="00BF2021" w:rsidP="00BF2021">
      <w:pPr>
        <w:jc w:val="center"/>
        <w:rPr>
          <w:rFonts w:ascii="Arial" w:hAnsi="Arial" w:cs="Arial"/>
          <w:sz w:val="32"/>
          <w:szCs w:val="32"/>
        </w:rPr>
      </w:pPr>
    </w:p>
    <w:p w14:paraId="1EECDEDD" w14:textId="002E97C2" w:rsidR="00647AC2" w:rsidRDefault="00647AC2" w:rsidP="00BF2021">
      <w:pPr>
        <w:jc w:val="center"/>
        <w:rPr>
          <w:rFonts w:ascii="Arial" w:hAnsi="Arial" w:cs="Arial"/>
          <w:sz w:val="32"/>
          <w:szCs w:val="32"/>
        </w:rPr>
      </w:pPr>
    </w:p>
    <w:p w14:paraId="1680AE4B" w14:textId="61AB2B4B" w:rsidR="00647AC2" w:rsidRDefault="00647AC2" w:rsidP="00BF2021">
      <w:pPr>
        <w:jc w:val="center"/>
        <w:rPr>
          <w:rFonts w:ascii="Arial" w:hAnsi="Arial" w:cs="Arial"/>
          <w:sz w:val="32"/>
          <w:szCs w:val="32"/>
        </w:rPr>
      </w:pPr>
    </w:p>
    <w:p w14:paraId="7EA8BF5B" w14:textId="77777777" w:rsidR="00647AC2" w:rsidRDefault="00647AC2" w:rsidP="00BF2021">
      <w:pPr>
        <w:jc w:val="center"/>
        <w:rPr>
          <w:rFonts w:ascii="Arial" w:hAnsi="Arial" w:cs="Arial"/>
          <w:sz w:val="32"/>
          <w:szCs w:val="32"/>
        </w:rPr>
      </w:pPr>
    </w:p>
    <w:p w14:paraId="4A388BE7" w14:textId="77777777" w:rsidR="00BF2021" w:rsidRDefault="00BF2021" w:rsidP="00BF2021">
      <w:pPr>
        <w:jc w:val="center"/>
        <w:rPr>
          <w:rFonts w:ascii="Arial" w:hAnsi="Arial" w:cs="Arial"/>
          <w:sz w:val="32"/>
          <w:szCs w:val="32"/>
        </w:rPr>
      </w:pPr>
    </w:p>
    <w:sdt>
      <w:sdtPr>
        <w:rPr>
          <w:rFonts w:ascii="Times New Roman" w:eastAsia="Times New Roman" w:hAnsi="Times New Roman" w:cs="Times New Roman"/>
          <w:b w:val="0"/>
          <w:bCs w:val="0"/>
          <w:color w:val="auto"/>
          <w:sz w:val="24"/>
          <w:szCs w:val="24"/>
          <w:lang w:val="en-IN" w:eastAsia="en-IN"/>
        </w:rPr>
        <w:id w:val="177701118"/>
        <w:docPartObj>
          <w:docPartGallery w:val="Table of Contents"/>
          <w:docPartUnique/>
        </w:docPartObj>
      </w:sdtPr>
      <w:sdtEndPr>
        <w:rPr>
          <w:noProof/>
        </w:rPr>
      </w:sdtEndPr>
      <w:sdtContent>
        <w:p w14:paraId="7E608E15" w14:textId="77777777" w:rsidR="000C5DF2" w:rsidRDefault="00D15511">
          <w:pPr>
            <w:pStyle w:val="TOCHeading"/>
          </w:pPr>
          <w:r>
            <w:t>Table of Contents</w:t>
          </w:r>
        </w:p>
        <w:p w14:paraId="7876CBAA" w14:textId="1A7E5AB3" w:rsidR="00D6246A" w:rsidRDefault="00D15511">
          <w:pPr>
            <w:pStyle w:val="TOC1"/>
            <w:tabs>
              <w:tab w:val="right" w:leader="dot" w:pos="9019"/>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08037729" w:history="1">
            <w:r w:rsidR="00D6246A" w:rsidRPr="008532D9">
              <w:rPr>
                <w:rStyle w:val="Hyperlink"/>
                <w:noProof/>
              </w:rPr>
              <w:t>Introduction</w:t>
            </w:r>
            <w:r w:rsidR="00D6246A">
              <w:rPr>
                <w:noProof/>
                <w:webHidden/>
              </w:rPr>
              <w:tab/>
            </w:r>
            <w:r w:rsidR="00D6246A">
              <w:rPr>
                <w:noProof/>
                <w:webHidden/>
              </w:rPr>
              <w:fldChar w:fldCharType="begin"/>
            </w:r>
            <w:r w:rsidR="00D6246A">
              <w:rPr>
                <w:noProof/>
                <w:webHidden/>
              </w:rPr>
              <w:instrText xml:space="preserve"> PAGEREF _Toc108037729 \h </w:instrText>
            </w:r>
            <w:r w:rsidR="00D6246A">
              <w:rPr>
                <w:noProof/>
                <w:webHidden/>
              </w:rPr>
            </w:r>
            <w:r w:rsidR="00D6246A">
              <w:rPr>
                <w:noProof/>
                <w:webHidden/>
              </w:rPr>
              <w:fldChar w:fldCharType="separate"/>
            </w:r>
            <w:r w:rsidR="00D6246A">
              <w:rPr>
                <w:noProof/>
                <w:webHidden/>
              </w:rPr>
              <w:t>3</w:t>
            </w:r>
            <w:r w:rsidR="00D6246A">
              <w:rPr>
                <w:noProof/>
                <w:webHidden/>
              </w:rPr>
              <w:fldChar w:fldCharType="end"/>
            </w:r>
          </w:hyperlink>
        </w:p>
        <w:p w14:paraId="00701E11" w14:textId="513BB5E1" w:rsidR="00D6246A" w:rsidRDefault="00D6246A">
          <w:pPr>
            <w:pStyle w:val="TOC1"/>
            <w:tabs>
              <w:tab w:val="right" w:leader="dot" w:pos="9019"/>
            </w:tabs>
            <w:rPr>
              <w:rFonts w:asciiTheme="minorHAnsi" w:eastAsiaTheme="minorEastAsia" w:hAnsiTheme="minorHAnsi" w:cstheme="minorBidi"/>
              <w:noProof/>
              <w:sz w:val="22"/>
              <w:szCs w:val="22"/>
              <w:lang w:val="en-GB" w:eastAsia="en-GB"/>
            </w:rPr>
          </w:pPr>
          <w:hyperlink w:anchor="_Toc108037730" w:history="1">
            <w:r w:rsidRPr="008532D9">
              <w:rPr>
                <w:rStyle w:val="Hyperlink"/>
                <w:noProof/>
              </w:rPr>
              <w:t>Discussion and analysis of the organisation</w:t>
            </w:r>
            <w:r>
              <w:rPr>
                <w:noProof/>
                <w:webHidden/>
              </w:rPr>
              <w:tab/>
            </w:r>
            <w:r>
              <w:rPr>
                <w:noProof/>
                <w:webHidden/>
              </w:rPr>
              <w:fldChar w:fldCharType="begin"/>
            </w:r>
            <w:r>
              <w:rPr>
                <w:noProof/>
                <w:webHidden/>
              </w:rPr>
              <w:instrText xml:space="preserve"> PAGEREF _Toc108037730 \h </w:instrText>
            </w:r>
            <w:r>
              <w:rPr>
                <w:noProof/>
                <w:webHidden/>
              </w:rPr>
            </w:r>
            <w:r>
              <w:rPr>
                <w:noProof/>
                <w:webHidden/>
              </w:rPr>
              <w:fldChar w:fldCharType="separate"/>
            </w:r>
            <w:r>
              <w:rPr>
                <w:noProof/>
                <w:webHidden/>
              </w:rPr>
              <w:t>3</w:t>
            </w:r>
            <w:r>
              <w:rPr>
                <w:noProof/>
                <w:webHidden/>
              </w:rPr>
              <w:fldChar w:fldCharType="end"/>
            </w:r>
          </w:hyperlink>
        </w:p>
        <w:p w14:paraId="683E1577" w14:textId="19D9C79A" w:rsidR="00D6246A" w:rsidRDefault="00D6246A">
          <w:pPr>
            <w:pStyle w:val="TOC1"/>
            <w:tabs>
              <w:tab w:val="right" w:leader="dot" w:pos="9019"/>
            </w:tabs>
            <w:rPr>
              <w:rFonts w:asciiTheme="minorHAnsi" w:eastAsiaTheme="minorEastAsia" w:hAnsiTheme="minorHAnsi" w:cstheme="minorBidi"/>
              <w:noProof/>
              <w:sz w:val="22"/>
              <w:szCs w:val="22"/>
              <w:lang w:val="en-GB" w:eastAsia="en-GB"/>
            </w:rPr>
          </w:pPr>
          <w:hyperlink w:anchor="_Toc108037731" w:history="1">
            <w:r w:rsidRPr="008532D9">
              <w:rPr>
                <w:rStyle w:val="Hyperlink"/>
                <w:noProof/>
              </w:rPr>
              <w:t>Conclusion</w:t>
            </w:r>
            <w:r>
              <w:rPr>
                <w:noProof/>
                <w:webHidden/>
              </w:rPr>
              <w:tab/>
            </w:r>
            <w:r>
              <w:rPr>
                <w:noProof/>
                <w:webHidden/>
              </w:rPr>
              <w:fldChar w:fldCharType="begin"/>
            </w:r>
            <w:r>
              <w:rPr>
                <w:noProof/>
                <w:webHidden/>
              </w:rPr>
              <w:instrText xml:space="preserve"> PAGEREF _Toc108037731 \h </w:instrText>
            </w:r>
            <w:r>
              <w:rPr>
                <w:noProof/>
                <w:webHidden/>
              </w:rPr>
            </w:r>
            <w:r>
              <w:rPr>
                <w:noProof/>
                <w:webHidden/>
              </w:rPr>
              <w:fldChar w:fldCharType="separate"/>
            </w:r>
            <w:r>
              <w:rPr>
                <w:noProof/>
                <w:webHidden/>
              </w:rPr>
              <w:t>7</w:t>
            </w:r>
            <w:r>
              <w:rPr>
                <w:noProof/>
                <w:webHidden/>
              </w:rPr>
              <w:fldChar w:fldCharType="end"/>
            </w:r>
          </w:hyperlink>
        </w:p>
        <w:p w14:paraId="30CA6547" w14:textId="0E1BBDE7" w:rsidR="00D6246A" w:rsidRDefault="00D6246A">
          <w:pPr>
            <w:pStyle w:val="TOC1"/>
            <w:tabs>
              <w:tab w:val="right" w:leader="dot" w:pos="9019"/>
            </w:tabs>
            <w:rPr>
              <w:rFonts w:asciiTheme="minorHAnsi" w:eastAsiaTheme="minorEastAsia" w:hAnsiTheme="minorHAnsi" w:cstheme="minorBidi"/>
              <w:noProof/>
              <w:sz w:val="22"/>
              <w:szCs w:val="22"/>
              <w:lang w:val="en-GB" w:eastAsia="en-GB"/>
            </w:rPr>
          </w:pPr>
          <w:hyperlink w:anchor="_Toc108037732" w:history="1">
            <w:r w:rsidRPr="008532D9">
              <w:rPr>
                <w:rStyle w:val="Hyperlink"/>
                <w:noProof/>
              </w:rPr>
              <w:t>References</w:t>
            </w:r>
            <w:r>
              <w:rPr>
                <w:noProof/>
                <w:webHidden/>
              </w:rPr>
              <w:tab/>
            </w:r>
            <w:r>
              <w:rPr>
                <w:noProof/>
                <w:webHidden/>
              </w:rPr>
              <w:fldChar w:fldCharType="begin"/>
            </w:r>
            <w:r>
              <w:rPr>
                <w:noProof/>
                <w:webHidden/>
              </w:rPr>
              <w:instrText xml:space="preserve"> PAGEREF _Toc108037732 \h </w:instrText>
            </w:r>
            <w:r>
              <w:rPr>
                <w:noProof/>
                <w:webHidden/>
              </w:rPr>
            </w:r>
            <w:r>
              <w:rPr>
                <w:noProof/>
                <w:webHidden/>
              </w:rPr>
              <w:fldChar w:fldCharType="separate"/>
            </w:r>
            <w:r>
              <w:rPr>
                <w:noProof/>
                <w:webHidden/>
              </w:rPr>
              <w:t>9</w:t>
            </w:r>
            <w:r>
              <w:rPr>
                <w:noProof/>
                <w:webHidden/>
              </w:rPr>
              <w:fldChar w:fldCharType="end"/>
            </w:r>
          </w:hyperlink>
        </w:p>
        <w:p w14:paraId="75BDFCD3" w14:textId="5F9C1B13" w:rsidR="000C5DF2" w:rsidRDefault="00D15511">
          <w:r>
            <w:rPr>
              <w:b/>
              <w:bCs/>
              <w:noProof/>
            </w:rPr>
            <w:fldChar w:fldCharType="end"/>
          </w:r>
        </w:p>
      </w:sdtContent>
    </w:sdt>
    <w:p w14:paraId="14991B33" w14:textId="77777777" w:rsidR="000C5DF2" w:rsidRDefault="00D15511">
      <w:pPr>
        <w:rPr>
          <w:b/>
          <w:sz w:val="28"/>
          <w:szCs w:val="28"/>
        </w:rPr>
      </w:pPr>
      <w:r>
        <w:br w:type="page"/>
      </w:r>
    </w:p>
    <w:p w14:paraId="50B52069" w14:textId="77777777" w:rsidR="009976B9" w:rsidRDefault="00D15511">
      <w:pPr>
        <w:pStyle w:val="Heading1"/>
      </w:pPr>
      <w:bookmarkStart w:id="6" w:name="_Toc108037729"/>
      <w:r>
        <w:lastRenderedPageBreak/>
        <w:t>Introduction</w:t>
      </w:r>
      <w:bookmarkEnd w:id="6"/>
    </w:p>
    <w:p w14:paraId="4FA92E6A" w14:textId="77777777" w:rsidR="009976B9" w:rsidRDefault="00D15511">
      <w:r>
        <w:t xml:space="preserve">Community engagement is a strategic process which aims to identify the target group and develop relationships with community members by developing interaction. Community engagement includes Health Promotion, policy-making, community engagement, and research to access the social values, settings, and activities as well as develop functional capabilities by encouraging different community groups (Key </w:t>
      </w:r>
      <w:r>
        <w:rPr>
          <w:i/>
        </w:rPr>
        <w:t>et al</w:t>
      </w:r>
      <w:r>
        <w:t xml:space="preserve">., 2019). The main objective of community engagement is developing the decision-making process by providing opportunities to communities, relationship development by enhancing involvement and developing a sense of responsibility towards society. The present essay has considered </w:t>
      </w:r>
      <w:r>
        <w:rPr>
          <w:b/>
          <w:i/>
        </w:rPr>
        <w:t>Fujitsu</w:t>
      </w:r>
      <w:r>
        <w:t xml:space="preserve"> as the chosen organisation and evaluated the way the organisation use both human and material resources for the improvement of the community. The study will also discuss the community engagement activities of the organisation and identify its service users and their requirements from the organisation. It will also analyse the skills and knowledge of the employees of the company to achieve success in community engagement activities. </w:t>
      </w:r>
    </w:p>
    <w:p w14:paraId="28668348" w14:textId="77777777" w:rsidR="009976B9" w:rsidRDefault="00D15511">
      <w:pPr>
        <w:pStyle w:val="Heading1"/>
      </w:pPr>
      <w:bookmarkStart w:id="7" w:name="_adqme5h6ri3t" w:colFirst="0" w:colLast="0"/>
      <w:bookmarkStart w:id="8" w:name="_Toc108037730"/>
      <w:bookmarkEnd w:id="7"/>
      <w:r>
        <w:t>Discussion and analysis of the organisation</w:t>
      </w:r>
      <w:bookmarkEnd w:id="8"/>
    </w:p>
    <w:p w14:paraId="7FC734C6" w14:textId="77777777" w:rsidR="009976B9" w:rsidRDefault="00D15511">
      <w:r>
        <w:t>The chosen organisation, Fujitsu aims to address social issues which affect the communities of the UK and Ireland by developing engagement with stakeholders of the community. It develops effective activities for the community to understand and analyse different issues of the community and try to provide proper solutions to the community members to enhance their living standards (</w:t>
      </w:r>
      <w:r w:rsidR="00C34096">
        <w:t>Fujitsu, 2019</w:t>
      </w:r>
      <w:r>
        <w:t>). The organisation focuses on developing a healthy, cooperative, and engaging community to maintain effective communication and adopt different development plans in the target community. Human resources of the organisation develop different interactive activities to develop effective relationships with community members and enhance partnerships with different companies to get financial support (Ashworth</w:t>
      </w:r>
      <w:r>
        <w:rPr>
          <w:i/>
        </w:rPr>
        <w:t xml:space="preserve"> et al</w:t>
      </w:r>
      <w:r>
        <w:t xml:space="preserve">., 2021). The employees of the organisation develop engagement with schools and colleges to promote ICT careers and organise events with partner organisations and collect funds to support the community-based activities. </w:t>
      </w:r>
    </w:p>
    <w:p w14:paraId="1840850C" w14:textId="77777777" w:rsidR="009976B9" w:rsidRDefault="00D15511">
      <w:r>
        <w:t xml:space="preserve">Fujitsu also uses its material resources in a strategic way to encourage the engagement process among community members and mitigate challenges to developing proper social structure. The organisation focuses on digital inclusion and incorporates Information and Communication Technology in community development to enhance the communication and collect feedback of community members by using technological development. The organisation has organised around 16 events which focus on digital inclusion. It has also </w:t>
      </w:r>
      <w:r>
        <w:lastRenderedPageBreak/>
        <w:t>attracted investors and developed partnerships with ‘Business in the Community’, ‘Children in Need’, ‘Prince’s Trust’, ‘AUTISTICA’, ‘NCBI’ to provide financial resources to the community and enhance their living standards by providing proper education, training, and employment (</w:t>
      </w:r>
      <w:r w:rsidR="00C34096">
        <w:t>Fujitsu, 2019</w:t>
      </w:r>
      <w:r>
        <w:t>).</w:t>
      </w:r>
    </w:p>
    <w:p w14:paraId="7E3CCD3C" w14:textId="77777777" w:rsidR="009976B9" w:rsidRDefault="00D15511">
      <w:r>
        <w:t xml:space="preserve">Fujitsu has developed a partnership with EMEIA focused on community investment and development and includes Environmental Action Plans which help to maintain environmental and social sustainability in the community of the UK and Ireland. </w:t>
      </w:r>
      <w:r>
        <w:rPr>
          <w:b/>
          <w:i/>
        </w:rPr>
        <w:t xml:space="preserve">The organisation has adopted six key themes which include digital inclusion, Universities and </w:t>
      </w:r>
      <w:r w:rsidR="00C34096">
        <w:rPr>
          <w:b/>
          <w:i/>
        </w:rPr>
        <w:t xml:space="preserve">Research establishments, STEM, </w:t>
      </w:r>
      <w:r>
        <w:rPr>
          <w:b/>
          <w:i/>
        </w:rPr>
        <w:t xml:space="preserve">youth employment, volunteering, and charities </w:t>
      </w:r>
      <w:r w:rsidR="00C34096">
        <w:t>(Fujitsu, 2019</w:t>
      </w:r>
      <w:r>
        <w:t>)</w:t>
      </w:r>
      <w:r>
        <w:rPr>
          <w:b/>
          <w:i/>
        </w:rPr>
        <w:t>.</w:t>
      </w:r>
      <w:r>
        <w:t xml:space="preserve"> The organisation has developed an effective technological infrastructure where more people can access technology and enhance their knowledge. The organisation also develop partnerships with universities and research establishments to provide solutions to the community members. It also provides opportunities to the community to get proper education which helps to get success in the professional field. It encourages the students to develop their engagement with  STEM subjects to develop effective skills and knowledge in the academic field. By providing proper education, the organisation aims to mitigate social challenges and provide ethical support to the target community (Weaver </w:t>
      </w:r>
      <w:r>
        <w:rPr>
          <w:i/>
        </w:rPr>
        <w:t>et al</w:t>
      </w:r>
      <w:r>
        <w:t>., 2021).</w:t>
      </w:r>
    </w:p>
    <w:p w14:paraId="7D9A799E" w14:textId="77777777" w:rsidR="009976B9" w:rsidRDefault="00D15511">
      <w:r>
        <w:t>Fujitsu focuses on youth employment and arranges interview skills workshop by developing partnerships with the ‘Prince’s Trust’ which help students to get employment and provides economic support to the target community. It also supports recruitment teams and encourages recruiting new skilled candidates. The organisation also intake 25 junior talent programs to support students in getting employment and presenting their skills and knowledge to get success in the profes</w:t>
      </w:r>
      <w:r w:rsidR="00C34096">
        <w:t>sional field (Fujitsu, 2019</w:t>
      </w:r>
      <w:r>
        <w:t xml:space="preserve">). The organisation arranges ten skills-sharing workshops by developing partnerships with charities which help to develop practical skills and support local communities by providing proper education and training (Durrance </w:t>
      </w:r>
      <w:r>
        <w:rPr>
          <w:i/>
        </w:rPr>
        <w:t>et al</w:t>
      </w:r>
      <w:r>
        <w:t>., 2022). The organisation collect</w:t>
      </w:r>
      <w:r w:rsidR="00C34096">
        <w:t>s</w:t>
      </w:r>
      <w:r>
        <w:t xml:space="preserve"> funds by gaining the support of IOS which help this organisation to raise its funds by £200k for charity </w:t>
      </w:r>
      <w:r w:rsidR="00C34096">
        <w:t>partnerships (Fujitsu, 2019</w:t>
      </w:r>
      <w:r>
        <w:t xml:space="preserve">). </w:t>
      </w:r>
    </w:p>
    <w:p w14:paraId="2A38A84C" w14:textId="77777777" w:rsidR="009976B9" w:rsidRDefault="00D15511">
      <w:pPr>
        <w:jc w:val="center"/>
      </w:pPr>
      <w:r>
        <w:rPr>
          <w:noProof/>
        </w:rPr>
        <w:lastRenderedPageBreak/>
        <w:drawing>
          <wp:inline distT="114300" distB="114300" distL="114300" distR="114300" wp14:anchorId="69DBE1C7" wp14:editId="33716D67">
            <wp:extent cx="4152900" cy="2462213"/>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152900" cy="2462213"/>
                    </a:xfrm>
                    <a:prstGeom prst="rect">
                      <a:avLst/>
                    </a:prstGeom>
                    <a:ln w="12700">
                      <a:solidFill>
                        <a:srgbClr val="000000"/>
                      </a:solidFill>
                      <a:prstDash val="solid"/>
                    </a:ln>
                  </pic:spPr>
                </pic:pic>
              </a:graphicData>
            </a:graphic>
          </wp:inline>
        </w:drawing>
      </w:r>
    </w:p>
    <w:p w14:paraId="5A9D35DD" w14:textId="77777777" w:rsidR="009976B9" w:rsidRDefault="00D15511">
      <w:pPr>
        <w:jc w:val="center"/>
        <w:rPr>
          <w:b/>
        </w:rPr>
      </w:pPr>
      <w:r>
        <w:rPr>
          <w:b/>
        </w:rPr>
        <w:t>Figure: Fujitsu UK Community Map</w:t>
      </w:r>
    </w:p>
    <w:p w14:paraId="5C283959" w14:textId="77777777" w:rsidR="009976B9" w:rsidRDefault="00C34096">
      <w:pPr>
        <w:jc w:val="center"/>
      </w:pPr>
      <w:r>
        <w:t>(Source: Fujitsu, 2019</w:t>
      </w:r>
      <w:r w:rsidR="00D15511">
        <w:t>)</w:t>
      </w:r>
    </w:p>
    <w:p w14:paraId="0E2CF1EA" w14:textId="77777777" w:rsidR="009976B9" w:rsidRDefault="00D15511">
      <w:r>
        <w:t xml:space="preserve">The major service users of Fujitsu are the local communities of the UK and Ireland, especially, the community that are underprivileged and faced different social issues because of the lap of economic support, education, and employment. The service users of The organisation face different social challenges that decrease their living standards and create problems in fulfiling the basic needs of people (Boiral </w:t>
      </w:r>
      <w:r>
        <w:rPr>
          <w:i/>
        </w:rPr>
        <w:t>et al</w:t>
      </w:r>
      <w:r>
        <w:t>., 2019). The lower class and the lower-middle-class communities are the major service users of the organisation who have social needs and do not get affected facilities in the society of the countries which develop challenges in maintaining their daily lifestyle.</w:t>
      </w:r>
    </w:p>
    <w:p w14:paraId="6D4944AB" w14:textId="77777777" w:rsidR="009976B9" w:rsidRDefault="00D15511">
      <w:r>
        <w:t xml:space="preserve">The major expectation of the service users of the company is to get basic human rights and effective solutions to mitigate social challenges which create problems in maintaining a healthy lifestyle. The organisation provide economic support to the communities by developing partnerships with different organisations and charities which help to fulfil the basic needs of community members and develop viable relationships with the organisation. The organisation also provide medical support to the community to maintain their well-being and get proper treatment to mitigate health issues and maintain living standards in society (Key </w:t>
      </w:r>
      <w:r>
        <w:rPr>
          <w:i/>
        </w:rPr>
        <w:t>et al</w:t>
      </w:r>
      <w:r>
        <w:t>., 2019). It also provides proper education, training, and employment facilities to the young people to provide them economic support and enhance the standard of the community in the countries. It also encourages local communities to develop small businesses and contribute £11.74 billion in revenue for local businesses by collecting funds from different partners</w:t>
      </w:r>
      <w:r w:rsidR="00C34096">
        <w:t xml:space="preserve"> (Fujitsu, 2019)</w:t>
      </w:r>
      <w:r>
        <w:t>.</w:t>
      </w:r>
    </w:p>
    <w:p w14:paraId="2EDC49D6" w14:textId="77777777" w:rsidR="009976B9" w:rsidRDefault="00D15511">
      <w:r>
        <w:t xml:space="preserve">According to the objectives of Fujitsu, it is very important to develop community engagement to get success in enhancing the quality of living standards and fulfilling the needs of local </w:t>
      </w:r>
      <w:r>
        <w:lastRenderedPageBreak/>
        <w:t>communities in the UK and Ireland (</w:t>
      </w:r>
      <w:r w:rsidR="00C34096">
        <w:t>Fujitsu, 2019</w:t>
      </w:r>
      <w:r>
        <w:t xml:space="preserve">). Community engagement helps to develop a sustainable decision-making process and enhance the relationships with community members which helps to understand their challenges. By developing a sustainable decision-making process, the organisation develop effective solutions and provide proper support to local communities to overcome those challenges and enhance the living standard of the target communities. The organisation encourage community members to develop interaction to build stronger and more trusting relationship chief among communities with increased involvement in social activities and establish the social values in the targeted countries. Community engagement increases the capabilities and efficiencies of community members to develop effective solutions to mitigate their problems and make them independent to maintain their lifestyles (Firestone </w:t>
      </w:r>
      <w:r>
        <w:rPr>
          <w:i/>
        </w:rPr>
        <w:t>et al</w:t>
      </w:r>
      <w:r>
        <w:t>., 2018).</w:t>
      </w:r>
    </w:p>
    <w:p w14:paraId="54095801" w14:textId="77777777" w:rsidR="009976B9" w:rsidRDefault="00D15511">
      <w:r>
        <w:t xml:space="preserve">Community engagement is also important for the organisation because it helps the organisation to incorporate innovative ideas and develop diversity in the communities which helps to enhance the quality of living standards of targeted communities. Community engagement develops new ways of problem solutions which help to incorporate effective strategies to gain success in the professional and academic fields. Community engagement encourages community members to develop cooperation and coordination to establish human rights in society and gain different facilities in countries (Wong </w:t>
      </w:r>
      <w:r>
        <w:rPr>
          <w:i/>
        </w:rPr>
        <w:t>et al</w:t>
      </w:r>
      <w:r>
        <w:t xml:space="preserve">., 2018). By developing effective community engagement,  the organisation encourage community members to develop small businesses and game economic sustainability in society. </w:t>
      </w:r>
    </w:p>
    <w:p w14:paraId="05820039" w14:textId="77777777" w:rsidR="009976B9" w:rsidRDefault="00D15511">
      <w:r>
        <w:t xml:space="preserve">The employees of Fujitsu need to develop effective skills to accomplish organisational goals and objectives and provide proper support in community engagement. The </w:t>
      </w:r>
      <w:r w:rsidR="00C34096">
        <w:t>staffs of the organisation need</w:t>
      </w:r>
      <w:r>
        <w:t xml:space="preserve"> to develop effective communication skills to interact with community members and collect their opinion about the socia</w:t>
      </w:r>
      <w:r w:rsidR="00C34096">
        <w:t>l conditions (Fujitsu, 2019</w:t>
      </w:r>
      <w:r>
        <w:t xml:space="preserve">). To enhance community engagement it is very important for the employees to identify the challenges of the communities and develop effective relationships with community members to build trusting relationships with the targeted communities. The communication skills of employees also help to motivate community members to develop social activities and viable decision-making processes to enhance the living standards of the communities. The employees also need to develop listening skills to analyse their challenges and provide support to communities by developing effective solutions. By developing listening skills, the employees can evaluate the major challenges of the communities and develop viable relationships with them (Weaver </w:t>
      </w:r>
      <w:r>
        <w:rPr>
          <w:i/>
        </w:rPr>
        <w:t>et al</w:t>
      </w:r>
      <w:r>
        <w:t>., 2021).</w:t>
      </w:r>
    </w:p>
    <w:p w14:paraId="674F46B9" w14:textId="77777777" w:rsidR="009976B9" w:rsidRDefault="00D15511">
      <w:r>
        <w:lastRenderedPageBreak/>
        <w:t xml:space="preserve">The employees of the organisation also need to develop critical thinking skills to collect proper information regarding the challenges of targeted communities and analyse the information to evaluate proper solutions which help to increase community engagement in the targeted countries. By developing critical thinking skills, the employees can develop effective strategies and provide proper support to the communities to enhance their living standards and maintain well-being (Boiral </w:t>
      </w:r>
      <w:r>
        <w:rPr>
          <w:i/>
        </w:rPr>
        <w:t>et al</w:t>
      </w:r>
      <w:r>
        <w:t>., 2019). The employees also need to develop empathy and response skills to develop effective relationships with community members and enhance their engagement to provide educational and economic support to the targeted communities which help to accomplish organisational goals and objectives.</w:t>
      </w:r>
    </w:p>
    <w:p w14:paraId="67591400" w14:textId="77777777" w:rsidR="009976B9" w:rsidRDefault="00D15511">
      <w:r>
        <w:t xml:space="preserve">To acquire the above-mentioned skills, the employees of the organisation need to gain training and develop knowledge by attending different workshops and glasses which help them to develop communication skills (Weaver </w:t>
      </w:r>
      <w:r>
        <w:rPr>
          <w:i/>
        </w:rPr>
        <w:t>et al</w:t>
      </w:r>
      <w:r>
        <w:t>., 2021). The employees can use Information and Communication Technology to develop interaction with community members and collect their opinions to modify their addresses and support systems to fulfil their demands and enhance their capabilities. The organisation need to provide viable training to employees to enhance their skills and accomplish organisational goals. The employees of the organisation also need to develop patience and empathy to analyse the experience of the targeted community and understand their challenges which helps to develop effective support strategies (Ashworth</w:t>
      </w:r>
      <w:r>
        <w:rPr>
          <w:i/>
        </w:rPr>
        <w:t xml:space="preserve"> et al</w:t>
      </w:r>
      <w:r>
        <w:t xml:space="preserve">., 2021). </w:t>
      </w:r>
    </w:p>
    <w:p w14:paraId="5F613A4F" w14:textId="77777777" w:rsidR="009976B9" w:rsidRDefault="00D15511">
      <w:r>
        <w:t xml:space="preserve">To adopt the important skills, the employees of the organisation also need to develop knowledge about the challenges of the communities and increase negotiation skills to make the investors and partners understand the need for economic support to enhance the living quality of the targeted communities (Key </w:t>
      </w:r>
      <w:r>
        <w:rPr>
          <w:i/>
        </w:rPr>
        <w:t>et al</w:t>
      </w:r>
      <w:r>
        <w:t xml:space="preserve">., 2019). The employees can use social media platforms to increase awareness and promote the support programmes for the communities to attract more investors and develop effective relationships with community members which helps to develop community engagement in the targeted countries. The employees need to relate the experience of the community members to develop empathy and provide a proper support system by enhancing the decision-making process (Durrance </w:t>
      </w:r>
      <w:r>
        <w:rPr>
          <w:i/>
        </w:rPr>
        <w:t>et al</w:t>
      </w:r>
      <w:r>
        <w:t>., 2022).</w:t>
      </w:r>
    </w:p>
    <w:p w14:paraId="3006E1A3" w14:textId="77777777" w:rsidR="009976B9" w:rsidRDefault="00D15511">
      <w:pPr>
        <w:pStyle w:val="Heading1"/>
      </w:pPr>
      <w:bookmarkStart w:id="9" w:name="_o2795teh3p3" w:colFirst="0" w:colLast="0"/>
      <w:bookmarkStart w:id="10" w:name="_Toc108037731"/>
      <w:bookmarkEnd w:id="9"/>
      <w:r>
        <w:t>Conclusion</w:t>
      </w:r>
      <w:bookmarkEnd w:id="10"/>
    </w:p>
    <w:p w14:paraId="130AE423" w14:textId="77777777" w:rsidR="009976B9" w:rsidRDefault="00D15511">
      <w:r>
        <w:t xml:space="preserve">From the above discussion, it can be concluded that the study has focused on community engagement and its importance in developing social structure and establishing social values. The present study has considered Fujitsu as the chosen organisation which aims to provide effective support services to the local communities of the UK and Ireland to enhance their </w:t>
      </w:r>
      <w:r>
        <w:lastRenderedPageBreak/>
        <w:t xml:space="preserve">living standard and provide effective solutions to mitigate their challenges. The study has analysed the usage of human and material resources of the organisation in improving the lifestyle of the communities. It has also identified key themes of the chosen organisation to enhance community engagement activities. It has also identified the service users and the service requirement from the organisation as well as analysed the importance of community engagement in developing the business of the company. It has explained the required skills and knowledge for the employees of the company and the strategies to develop the identified skills. </w:t>
      </w:r>
    </w:p>
    <w:p w14:paraId="23DED5DA" w14:textId="77777777" w:rsidR="009976B9" w:rsidRDefault="00D15511">
      <w:r>
        <w:br w:type="page"/>
      </w:r>
    </w:p>
    <w:p w14:paraId="36BEDC72" w14:textId="77777777" w:rsidR="009976B9" w:rsidRDefault="00D15511">
      <w:pPr>
        <w:pStyle w:val="Heading1"/>
      </w:pPr>
      <w:bookmarkStart w:id="11" w:name="_w2yhpvvbiyjd" w:colFirst="0" w:colLast="0"/>
      <w:bookmarkStart w:id="12" w:name="_Toc108037732"/>
      <w:bookmarkEnd w:id="11"/>
      <w:r>
        <w:lastRenderedPageBreak/>
        <w:t>References</w:t>
      </w:r>
      <w:bookmarkEnd w:id="12"/>
    </w:p>
    <w:p w14:paraId="531BC97F" w14:textId="77777777" w:rsidR="001C3DBD" w:rsidRDefault="00D15511">
      <w:r>
        <w:t>Ashworth, H.C., Dada, S., Buggy, C. and Lees, S., 2021. The importance of developing rigorous social science methods for community engagement and behavior change during outbreak response. Disaster medicine and public health preparedness, 15(6), pp.685-690.</w:t>
      </w:r>
    </w:p>
    <w:p w14:paraId="6C0DDCEF" w14:textId="77777777" w:rsidR="001C3DBD" w:rsidRDefault="00D15511">
      <w:r>
        <w:t>Boiral, O., Heras-Saizarbitoria, I. and Brotherton, M.C., 2019. Corporate sustainability and indigenous community engagement in the extractive industry. Journal of Cleaner Production, 235, pp.701-711.</w:t>
      </w:r>
    </w:p>
    <w:p w14:paraId="6AE1A7D2" w14:textId="77777777" w:rsidR="001C3DBD" w:rsidRDefault="00D15511">
      <w:r>
        <w:t>Durrance-Bagale, A., Marzouk, M., Tung, L.S., Agarwal, S., Aribou, Z.M., Ibrahim, N.B.M., Mkhallalati, H., Newaz, S., Omar, M., Ung, M. and Zaseela, A., 2022. Community engagement in health systems interventions and research in conflict-affected countries: a scoping review of approaches. Global Health Action, 15(1), p.2074131.</w:t>
      </w:r>
    </w:p>
    <w:p w14:paraId="6DF00BD0" w14:textId="77777777" w:rsidR="001C3DBD" w:rsidRDefault="00D15511">
      <w:r>
        <w:t>Firestone, J., Hoen, B., Rand, J., Elliott, D., Hübner, G. and Pohl, J., 2018. Reconsidering barriers to wind power projects: community engagement, developer transparency and place. Journal of environmental policy &amp; planning, 20(3), pp.370-386.</w:t>
      </w:r>
    </w:p>
    <w:p w14:paraId="2D021363" w14:textId="77777777" w:rsidR="001C3DBD" w:rsidRDefault="00C34096">
      <w:r>
        <w:t xml:space="preserve">Fujitsu, </w:t>
      </w:r>
      <w:r w:rsidR="00D15511">
        <w:t>2019.</w:t>
      </w:r>
      <w:r>
        <w:t xml:space="preserve"> </w:t>
      </w:r>
      <w:r w:rsidRPr="00514CAE">
        <w:rPr>
          <w:i/>
        </w:rPr>
        <w:t>Community Investment and Development Fujitsu UK &amp; Ireland</w:t>
      </w:r>
      <w:r>
        <w:t>.</w:t>
      </w:r>
      <w:r w:rsidR="00D15511">
        <w:t xml:space="preserve"> Available at: https://www.fujitsu.com/uk/imagesgig5/Community_Plan_2019_Final.pdf (Accessed: 5 July 2022).</w:t>
      </w:r>
    </w:p>
    <w:p w14:paraId="43AE9B4D" w14:textId="77777777" w:rsidR="001C3DBD" w:rsidRDefault="00D15511">
      <w:r>
        <w:t>Hart, A. and Northmore, S., 2011. Auditing and evaluating university–community engagement: Lessons from a UK case study. Higher Education Quarterly, 65(1), pp.34-58.</w:t>
      </w:r>
    </w:p>
    <w:p w14:paraId="1C88A6C0" w14:textId="77777777" w:rsidR="001C3DBD" w:rsidRDefault="00D15511">
      <w:r>
        <w:t>Key, K.D., Furr-Holden, D., Lewis, E.Y., Cunningham, R., Zimmerman, M.A., Johnson-Lawrence, V. and Selig, S., 2019. The continuum of community engagement in research: a roadmap for understanding and assessing progress. Progress in community health partnerships: research, education, and action, 13(4), pp.427-434.</w:t>
      </w:r>
    </w:p>
    <w:p w14:paraId="4171DC0E" w14:textId="77777777" w:rsidR="001C3DBD" w:rsidRDefault="00D15511">
      <w:r>
        <w:t>Weaver, L.A., Bingham, E., Luo, K., Juárez, A.P. and Taylor, J.L., 2021. What do we really mean by “inclusion?”: The importance of terminology when discussing approaches to community engagement. Autism, 25(8), pp.2149-2151.</w:t>
      </w:r>
    </w:p>
    <w:p w14:paraId="4813E9CA" w14:textId="77777777" w:rsidR="001C3DBD" w:rsidRDefault="00D15511">
      <w:r>
        <w:t>Wong, M., Bejarano, E., Carvlin, G., Fellows, K., King, G., Lugo, H., Jerrett, M., Meltzer, D., Northcross, A., Olmedo, L. and Seto, E., 2018. Combining community engagement and scientific approaches in next-generation monitor siting: the case of the imperial county community air network. International journal of environmental research and public health, 15(3), p.523.</w:t>
      </w:r>
    </w:p>
    <w:p w14:paraId="3EFCC905" w14:textId="77777777" w:rsidR="009976B9" w:rsidRDefault="00D15511">
      <w:pPr>
        <w:rPr>
          <w:rFonts w:ascii="Arial" w:eastAsia="Arial" w:hAnsi="Arial" w:cs="Arial"/>
          <w:color w:val="222222"/>
          <w:sz w:val="20"/>
          <w:szCs w:val="20"/>
          <w:highlight w:val="white"/>
        </w:rPr>
      </w:pPr>
      <w:r>
        <w:br w:type="page"/>
      </w:r>
    </w:p>
    <w:sectPr w:rsidR="009976B9">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641F0" w14:textId="77777777" w:rsidR="0056194C" w:rsidRDefault="0056194C">
      <w:pPr>
        <w:spacing w:line="240" w:lineRule="auto"/>
      </w:pPr>
      <w:r>
        <w:separator/>
      </w:r>
    </w:p>
  </w:endnote>
  <w:endnote w:type="continuationSeparator" w:id="0">
    <w:p w14:paraId="1CAF878B" w14:textId="77777777" w:rsidR="0056194C" w:rsidRDefault="005619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545062"/>
      <w:docPartObj>
        <w:docPartGallery w:val="Page Numbers (Bottom of Page)"/>
        <w:docPartUnique/>
      </w:docPartObj>
    </w:sdtPr>
    <w:sdtEndPr>
      <w:rPr>
        <w:noProof/>
      </w:rPr>
    </w:sdtEndPr>
    <w:sdtContent>
      <w:p w14:paraId="6B611507" w14:textId="77777777" w:rsidR="000C5DF2" w:rsidRDefault="00D15511">
        <w:pPr>
          <w:pStyle w:val="Footer"/>
          <w:jc w:val="right"/>
        </w:pPr>
        <w:r>
          <w:fldChar w:fldCharType="begin"/>
        </w:r>
        <w:r>
          <w:instrText xml:space="preserve"> PAGE   \* MERGEFORMAT </w:instrText>
        </w:r>
        <w:r>
          <w:fldChar w:fldCharType="separate"/>
        </w:r>
        <w:r w:rsidR="00B25512">
          <w:rPr>
            <w:noProof/>
          </w:rPr>
          <w:t>10</w:t>
        </w:r>
        <w:r>
          <w:rPr>
            <w:noProof/>
          </w:rPr>
          <w:fldChar w:fldCharType="end"/>
        </w:r>
      </w:p>
    </w:sdtContent>
  </w:sdt>
  <w:p w14:paraId="06708B6F" w14:textId="77777777" w:rsidR="000C5DF2" w:rsidRDefault="000C5D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8A398" w14:textId="77777777" w:rsidR="0056194C" w:rsidRDefault="0056194C">
      <w:pPr>
        <w:spacing w:line="240" w:lineRule="auto"/>
      </w:pPr>
      <w:r>
        <w:separator/>
      </w:r>
    </w:p>
  </w:footnote>
  <w:footnote w:type="continuationSeparator" w:id="0">
    <w:p w14:paraId="1B4C226A" w14:textId="77777777" w:rsidR="0056194C" w:rsidRDefault="0056194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976B9"/>
    <w:rsid w:val="000A652C"/>
    <w:rsid w:val="000C5DF2"/>
    <w:rsid w:val="001C3DBD"/>
    <w:rsid w:val="00415D2B"/>
    <w:rsid w:val="005429DE"/>
    <w:rsid w:val="0056194C"/>
    <w:rsid w:val="005A16BE"/>
    <w:rsid w:val="00647AC2"/>
    <w:rsid w:val="006B71A1"/>
    <w:rsid w:val="006B789A"/>
    <w:rsid w:val="007F219C"/>
    <w:rsid w:val="00805021"/>
    <w:rsid w:val="009976B9"/>
    <w:rsid w:val="00B25512"/>
    <w:rsid w:val="00BF2021"/>
    <w:rsid w:val="00C34096"/>
    <w:rsid w:val="00D15511"/>
    <w:rsid w:val="00D6246A"/>
    <w:rsid w:val="00E510A4"/>
    <w:rsid w:val="00EF52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501D5"/>
  <w15:docId w15:val="{4E313289-5482-4D34-AA2D-DC454C43B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240" w:after="24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40"/>
      <w:szCs w:val="40"/>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C5DF2"/>
    <w:pPr>
      <w:tabs>
        <w:tab w:val="center" w:pos="4513"/>
        <w:tab w:val="right" w:pos="9026"/>
      </w:tabs>
      <w:spacing w:line="240" w:lineRule="auto"/>
    </w:pPr>
  </w:style>
  <w:style w:type="character" w:customStyle="1" w:styleId="HeaderChar">
    <w:name w:val="Header Char"/>
    <w:basedOn w:val="DefaultParagraphFont"/>
    <w:link w:val="Header"/>
    <w:uiPriority w:val="99"/>
    <w:rsid w:val="000C5DF2"/>
  </w:style>
  <w:style w:type="paragraph" w:styleId="Footer">
    <w:name w:val="footer"/>
    <w:basedOn w:val="Normal"/>
    <w:link w:val="FooterChar"/>
    <w:uiPriority w:val="99"/>
    <w:unhideWhenUsed/>
    <w:rsid w:val="000C5DF2"/>
    <w:pPr>
      <w:tabs>
        <w:tab w:val="center" w:pos="4513"/>
        <w:tab w:val="right" w:pos="9026"/>
      </w:tabs>
      <w:spacing w:line="240" w:lineRule="auto"/>
    </w:pPr>
  </w:style>
  <w:style w:type="character" w:customStyle="1" w:styleId="FooterChar">
    <w:name w:val="Footer Char"/>
    <w:basedOn w:val="DefaultParagraphFont"/>
    <w:link w:val="Footer"/>
    <w:uiPriority w:val="99"/>
    <w:rsid w:val="000C5DF2"/>
  </w:style>
  <w:style w:type="paragraph" w:styleId="TOCHeading">
    <w:name w:val="TOC Heading"/>
    <w:basedOn w:val="Heading1"/>
    <w:next w:val="Normal"/>
    <w:uiPriority w:val="39"/>
    <w:semiHidden/>
    <w:unhideWhenUsed/>
    <w:qFormat/>
    <w:rsid w:val="000C5DF2"/>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0C5DF2"/>
    <w:pPr>
      <w:spacing w:after="100"/>
    </w:pPr>
  </w:style>
  <w:style w:type="character" w:styleId="Hyperlink">
    <w:name w:val="Hyperlink"/>
    <w:basedOn w:val="DefaultParagraphFont"/>
    <w:uiPriority w:val="99"/>
    <w:unhideWhenUsed/>
    <w:rsid w:val="000C5DF2"/>
    <w:rPr>
      <w:color w:val="0000FF" w:themeColor="hyperlink"/>
      <w:u w:val="single"/>
    </w:rPr>
  </w:style>
  <w:style w:type="paragraph" w:styleId="BalloonText">
    <w:name w:val="Balloon Text"/>
    <w:basedOn w:val="Normal"/>
    <w:link w:val="BalloonTextChar"/>
    <w:uiPriority w:val="99"/>
    <w:semiHidden/>
    <w:unhideWhenUsed/>
    <w:rsid w:val="000C5DF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5DF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481D2B0-8DA7-4D47-8DCD-A67686F6F1E3}">
  <ds:schemaRefs>
    <ds:schemaRef ds:uri="http://schemas.openxmlformats.org/officeDocument/2006/bibliography"/>
  </ds:schemaRefs>
</ds:datastoreItem>
</file>

<file path=customXml/itemProps2.xml><?xml version="1.0" encoding="utf-8"?>
<ds:datastoreItem xmlns:ds="http://schemas.openxmlformats.org/officeDocument/2006/customXml" ds:itemID="{1A8FEBAC-4BBA-4F41-B67F-64ED012E63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D03E60-6BD6-4938-98F4-7C36C21829C1}">
  <ds:schemaRefs>
    <ds:schemaRef ds:uri="http://schemas.microsoft.com/sharepoint/v3/contenttype/forms"/>
  </ds:schemaRefs>
</ds:datastoreItem>
</file>

<file path=customXml/itemProps4.xml><?xml version="1.0" encoding="utf-8"?>
<ds:datastoreItem xmlns:ds="http://schemas.openxmlformats.org/officeDocument/2006/customXml" ds:itemID="{8D342B3F-102F-4D35-9331-CE200EDCC8B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10</Pages>
  <Words>2416</Words>
  <Characters>13774</Characters>
  <Application>Microsoft Office Word</Application>
  <DocSecurity>0</DocSecurity>
  <Lines>114</Lines>
  <Paragraphs>32</Paragraphs>
  <ScaleCrop>false</ScaleCrop>
  <Company/>
  <LinksUpToDate>false</LinksUpToDate>
  <CharactersWithSpaces>16158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Ileana Gabriela</cp:lastModifiedBy>
  <cp:revision>10</cp:revision>
  <dcterms:created xsi:type="dcterms:W3CDTF">2022-07-06T20:21:00Z</dcterms:created>
  <dcterms:modified xsi:type="dcterms:W3CDTF">2022-07-06T21:08:00Z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