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859F2" w14:textId="77777777" w:rsidR="00670AC0" w:rsidRPr="0046318E" w:rsidRDefault="00670AC0">
      <w:pPr>
        <w:spacing w:before="200" w:line="360" w:lineRule="auto"/>
        <w:jc w:val="center"/>
        <w:rPr>
          <w:rFonts w:ascii="Times New Roman" w:eastAsia="Times New Roman" w:hAnsi="Times New Roman" w:cs="Times New Roman"/>
          <w:b/>
          <w:sz w:val="32"/>
          <w:szCs w:val="32"/>
        </w:rPr>
      </w:pPr>
    </w:p>
    <w:p w14:paraId="57B859F3" w14:textId="77777777" w:rsidR="00670AC0" w:rsidRPr="0046318E" w:rsidRDefault="00670AC0">
      <w:pPr>
        <w:spacing w:before="200" w:line="360" w:lineRule="auto"/>
        <w:jc w:val="center"/>
        <w:rPr>
          <w:rFonts w:ascii="Times New Roman" w:eastAsia="Times New Roman" w:hAnsi="Times New Roman" w:cs="Times New Roman"/>
          <w:b/>
          <w:sz w:val="32"/>
          <w:szCs w:val="32"/>
        </w:rPr>
      </w:pPr>
    </w:p>
    <w:p w14:paraId="57B859F4" w14:textId="77777777" w:rsidR="00670AC0" w:rsidRPr="0046318E" w:rsidRDefault="00670AC0">
      <w:pPr>
        <w:spacing w:before="200" w:line="360" w:lineRule="auto"/>
        <w:jc w:val="center"/>
        <w:rPr>
          <w:rFonts w:ascii="Times New Roman" w:eastAsia="Times New Roman" w:hAnsi="Times New Roman" w:cs="Times New Roman"/>
          <w:b/>
          <w:sz w:val="32"/>
          <w:szCs w:val="32"/>
        </w:rPr>
      </w:pPr>
    </w:p>
    <w:p w14:paraId="57B859F5" w14:textId="77777777" w:rsidR="00670AC0" w:rsidRPr="0046318E" w:rsidRDefault="00670AC0">
      <w:pPr>
        <w:spacing w:before="200" w:line="360" w:lineRule="auto"/>
        <w:jc w:val="center"/>
        <w:rPr>
          <w:rFonts w:ascii="Times New Roman" w:eastAsia="Times New Roman" w:hAnsi="Times New Roman" w:cs="Times New Roman"/>
          <w:b/>
          <w:sz w:val="32"/>
          <w:szCs w:val="32"/>
        </w:rPr>
      </w:pPr>
    </w:p>
    <w:p w14:paraId="0A814B88" w14:textId="77777777" w:rsidR="001F0C39" w:rsidRDefault="008E6B89">
      <w:pPr>
        <w:spacing w:before="200" w:line="360" w:lineRule="auto"/>
        <w:jc w:val="center"/>
        <w:rPr>
          <w:rFonts w:ascii="Times New Roman" w:eastAsia="Times New Roman" w:hAnsi="Times New Roman" w:cs="Times New Roman"/>
          <w:b/>
          <w:sz w:val="32"/>
          <w:szCs w:val="32"/>
        </w:rPr>
      </w:pPr>
      <w:r w:rsidRPr="0046318E">
        <w:rPr>
          <w:rFonts w:ascii="Times New Roman" w:eastAsia="Times New Roman" w:hAnsi="Times New Roman" w:cs="Times New Roman"/>
          <w:b/>
          <w:sz w:val="32"/>
          <w:szCs w:val="32"/>
        </w:rPr>
        <w:t>LAW REFORM PROJECT</w:t>
      </w:r>
    </w:p>
    <w:p w14:paraId="6ABD86DA" w14:textId="77777777" w:rsidR="001F0C39" w:rsidRPr="00A13F95" w:rsidRDefault="001F0C39">
      <w:pPr>
        <w:spacing w:before="200" w:line="360" w:lineRule="auto"/>
        <w:jc w:val="center"/>
        <w:rPr>
          <w:rFonts w:ascii="Times New Roman" w:eastAsia="Times New Roman" w:hAnsi="Times New Roman" w:cs="Times New Roman"/>
          <w:b/>
          <w:sz w:val="32"/>
          <w:szCs w:val="32"/>
        </w:rPr>
      </w:pPr>
      <w:r w:rsidRPr="00A13F95">
        <w:rPr>
          <w:rFonts w:ascii="Times New Roman" w:eastAsia="Times New Roman" w:hAnsi="Times New Roman" w:cs="Times New Roman"/>
          <w:b/>
          <w:sz w:val="32"/>
          <w:szCs w:val="32"/>
        </w:rPr>
        <w:t>Student Name: Sylwia Maciejewska</w:t>
      </w:r>
    </w:p>
    <w:p w14:paraId="1909A7C4" w14:textId="77777777" w:rsidR="00051BC5" w:rsidRPr="00A13F95" w:rsidRDefault="001F0C39">
      <w:pPr>
        <w:spacing w:before="200" w:line="360" w:lineRule="auto"/>
        <w:jc w:val="center"/>
        <w:rPr>
          <w:rFonts w:ascii="Times New Roman" w:eastAsia="Times New Roman" w:hAnsi="Times New Roman" w:cs="Times New Roman"/>
          <w:b/>
          <w:sz w:val="32"/>
          <w:szCs w:val="32"/>
        </w:rPr>
      </w:pPr>
      <w:r w:rsidRPr="00A13F95">
        <w:rPr>
          <w:rFonts w:ascii="Times New Roman" w:eastAsia="Times New Roman" w:hAnsi="Times New Roman" w:cs="Times New Roman"/>
          <w:b/>
          <w:sz w:val="32"/>
          <w:szCs w:val="32"/>
        </w:rPr>
        <w:t xml:space="preserve">Student Number: </w:t>
      </w:r>
      <w:r w:rsidR="00051BC5" w:rsidRPr="00A13F95">
        <w:rPr>
          <w:rFonts w:ascii="Times New Roman" w:eastAsia="Times New Roman" w:hAnsi="Times New Roman" w:cs="Times New Roman"/>
          <w:b/>
          <w:sz w:val="32"/>
          <w:szCs w:val="32"/>
        </w:rPr>
        <w:t>2130318</w:t>
      </w:r>
    </w:p>
    <w:p w14:paraId="57B859F6" w14:textId="3F6C231F" w:rsidR="00670AC0" w:rsidRPr="00A13F95" w:rsidRDefault="00A13F95">
      <w:pPr>
        <w:spacing w:before="200" w:line="360" w:lineRule="auto"/>
        <w:jc w:val="center"/>
        <w:rPr>
          <w:rFonts w:ascii="Times New Roman" w:eastAsia="Times New Roman" w:hAnsi="Times New Roman" w:cs="Times New Roman"/>
          <w:sz w:val="32"/>
          <w:szCs w:val="32"/>
        </w:rPr>
      </w:pPr>
      <w:r w:rsidRPr="00A13F95">
        <w:rPr>
          <w:rFonts w:ascii="Times New Roman" w:hAnsi="Times New Roman" w:cs="Times New Roman"/>
          <w:b/>
          <w:sz w:val="32"/>
          <w:szCs w:val="32"/>
        </w:rPr>
        <w:t>Module Code: BMLW6011</w:t>
      </w:r>
      <w:r w:rsidR="008E6B89" w:rsidRPr="00A13F95">
        <w:rPr>
          <w:rFonts w:ascii="Times New Roman" w:hAnsi="Times New Roman" w:cs="Times New Roman"/>
          <w:sz w:val="32"/>
          <w:szCs w:val="32"/>
        </w:rPr>
        <w:br w:type="page"/>
      </w:r>
    </w:p>
    <w:sdt>
      <w:sdtPr>
        <w:rPr>
          <w:rFonts w:ascii="Arial" w:eastAsia="Arial" w:hAnsi="Arial" w:cs="Arial"/>
          <w:color w:val="auto"/>
          <w:sz w:val="22"/>
          <w:szCs w:val="22"/>
          <w:lang w:val="en-GB" w:eastAsia="en-IN"/>
        </w:rPr>
        <w:id w:val="-323359903"/>
        <w:docPartObj>
          <w:docPartGallery w:val="Table of Contents"/>
          <w:docPartUnique/>
        </w:docPartObj>
      </w:sdtPr>
      <w:sdtEndPr>
        <w:rPr>
          <w:rFonts w:asciiTheme="majorHAnsi" w:eastAsiaTheme="majorEastAsia" w:hAnsiTheme="majorHAnsi" w:cstheme="majorBidi"/>
          <w:b/>
          <w:bCs/>
          <w:noProof/>
          <w:color w:val="365F91" w:themeColor="accent1" w:themeShade="BF"/>
          <w:sz w:val="32"/>
          <w:szCs w:val="32"/>
          <w:lang w:val="en-US" w:eastAsia="en-US"/>
        </w:rPr>
      </w:sdtEndPr>
      <w:sdtContent>
        <w:p w14:paraId="00CD00F4" w14:textId="01E48B6C" w:rsidR="004D0B49" w:rsidRPr="005820B6" w:rsidRDefault="004D0B49" w:rsidP="00613849">
          <w:pPr>
            <w:pStyle w:val="TOCHeading"/>
            <w:spacing w:line="360" w:lineRule="auto"/>
            <w:jc w:val="center"/>
            <w:rPr>
              <w:rFonts w:ascii="Arial" w:eastAsia="Arial" w:hAnsi="Arial" w:cs="Arial"/>
              <w:color w:val="auto"/>
              <w:sz w:val="22"/>
              <w:szCs w:val="22"/>
              <w:lang w:val="en-GB" w:eastAsia="en-IN"/>
            </w:rPr>
          </w:pPr>
          <w:r w:rsidRPr="004D0B49">
            <w:rPr>
              <w:rFonts w:ascii="Times New Roman" w:eastAsia="Arial" w:hAnsi="Times New Roman" w:cs="Times New Roman"/>
              <w:color w:val="auto"/>
              <w:sz w:val="24"/>
              <w:szCs w:val="24"/>
              <w:lang w:val="en-GB" w:eastAsia="en-IN"/>
            </w:rPr>
            <w:t>The Trustee (Liability) Bill 2024</w:t>
          </w:r>
        </w:p>
        <w:p w14:paraId="3949B57F" w14:textId="37C57066" w:rsidR="00513B7B" w:rsidRDefault="004D0B49" w:rsidP="00613849">
          <w:pPr>
            <w:pStyle w:val="TOCHeading"/>
            <w:spacing w:line="360" w:lineRule="auto"/>
            <w:jc w:val="center"/>
            <w:rPr>
              <w:rFonts w:ascii="Times New Roman" w:eastAsia="Arial" w:hAnsi="Times New Roman" w:cs="Times New Roman"/>
              <w:color w:val="auto"/>
              <w:sz w:val="24"/>
              <w:szCs w:val="24"/>
              <w:lang w:val="en-GB" w:eastAsia="en-IN"/>
            </w:rPr>
          </w:pPr>
          <w:r w:rsidRPr="004D0B49">
            <w:rPr>
              <w:rFonts w:ascii="Times New Roman" w:eastAsia="Arial" w:hAnsi="Times New Roman" w:cs="Times New Roman"/>
              <w:color w:val="auto"/>
              <w:sz w:val="24"/>
              <w:szCs w:val="24"/>
              <w:lang w:val="en-GB" w:eastAsia="en-IN"/>
            </w:rPr>
            <w:t>This Bill will seek to revoke the valid use of clauses to exempt or limit the liability of professional trustees in instances where there has been a breach of trust. This Bill will be applicable to all trustees who receive remuneration for their duties as a trustee, irrespective of their exact professional status.</w:t>
          </w:r>
        </w:p>
        <w:p w14:paraId="0DF65148" w14:textId="3208054F" w:rsidR="00513B7B" w:rsidRDefault="00513B7B" w:rsidP="00613849">
          <w:pPr>
            <w:pStyle w:val="TOCHeading"/>
            <w:numPr>
              <w:ilvl w:val="0"/>
              <w:numId w:val="7"/>
            </w:numPr>
            <w:spacing w:line="360" w:lineRule="auto"/>
            <w:jc w:val="center"/>
            <w:rPr>
              <w:rFonts w:ascii="Times New Roman" w:eastAsia="Arial" w:hAnsi="Times New Roman" w:cs="Times New Roman"/>
              <w:color w:val="auto"/>
              <w:sz w:val="24"/>
              <w:szCs w:val="24"/>
              <w:lang w:val="en-GB" w:eastAsia="en-IN"/>
            </w:rPr>
          </w:pPr>
          <w:r>
            <w:rPr>
              <w:rFonts w:ascii="Times New Roman" w:eastAsia="Arial" w:hAnsi="Times New Roman" w:cs="Times New Roman"/>
              <w:color w:val="auto"/>
              <w:sz w:val="24"/>
              <w:szCs w:val="24"/>
              <w:lang w:val="en-GB" w:eastAsia="en-IN"/>
            </w:rPr>
            <w:t>a)</w:t>
          </w:r>
          <w:r w:rsidR="004D0B49" w:rsidRPr="004D0B49">
            <w:rPr>
              <w:rFonts w:ascii="Times New Roman" w:eastAsia="Arial" w:hAnsi="Times New Roman" w:cs="Times New Roman"/>
              <w:color w:val="auto"/>
              <w:sz w:val="24"/>
              <w:szCs w:val="24"/>
              <w:lang w:val="en-GB" w:eastAsia="en-IN"/>
            </w:rPr>
            <w:t> This Bill will be applicable immediately upon its enactment on October 29th</w:t>
          </w:r>
          <w:r w:rsidR="00FB23C6" w:rsidRPr="004D0B49">
            <w:rPr>
              <w:rFonts w:ascii="Times New Roman" w:eastAsia="Arial" w:hAnsi="Times New Roman" w:cs="Times New Roman"/>
              <w:color w:val="auto"/>
              <w:sz w:val="24"/>
              <w:szCs w:val="24"/>
              <w:lang w:val="en-GB" w:eastAsia="en-IN"/>
            </w:rPr>
            <w:t>, 2024</w:t>
          </w:r>
          <w:r w:rsidR="004D0B49" w:rsidRPr="004D0B49">
            <w:rPr>
              <w:rFonts w:ascii="Times New Roman" w:eastAsia="Arial" w:hAnsi="Times New Roman" w:cs="Times New Roman"/>
              <w:color w:val="auto"/>
              <w:sz w:val="24"/>
              <w:szCs w:val="24"/>
              <w:lang w:val="en-GB" w:eastAsia="en-IN"/>
            </w:rPr>
            <w:t>, and will be applicable to trusts enacted prior to this date.</w:t>
          </w:r>
        </w:p>
        <w:p w14:paraId="0F4CCB9A" w14:textId="3BA4CC59" w:rsidR="0070309F" w:rsidRDefault="00513B7B" w:rsidP="006E014F">
          <w:pPr>
            <w:pStyle w:val="TOCHeading"/>
            <w:spacing w:line="360" w:lineRule="auto"/>
            <w:ind w:left="720"/>
            <w:rPr>
              <w:rFonts w:ascii="Times New Roman" w:eastAsia="Arial" w:hAnsi="Times New Roman" w:cs="Times New Roman"/>
              <w:color w:val="auto"/>
              <w:sz w:val="24"/>
              <w:szCs w:val="24"/>
              <w:lang w:val="en-GB" w:eastAsia="en-IN"/>
            </w:rPr>
          </w:pPr>
          <w:r>
            <w:rPr>
              <w:rFonts w:ascii="Times New Roman" w:eastAsia="Arial" w:hAnsi="Times New Roman" w:cs="Times New Roman"/>
              <w:color w:val="auto"/>
              <w:sz w:val="24"/>
              <w:szCs w:val="24"/>
              <w:lang w:val="en-GB" w:eastAsia="en-IN"/>
            </w:rPr>
            <w:t>b)</w:t>
          </w:r>
          <w:r w:rsidR="004D0B49" w:rsidRPr="00513B7B">
            <w:rPr>
              <w:rFonts w:ascii="Times New Roman" w:eastAsia="Arial" w:hAnsi="Times New Roman" w:cs="Times New Roman"/>
              <w:color w:val="auto"/>
              <w:sz w:val="24"/>
              <w:szCs w:val="24"/>
              <w:lang w:val="en-GB" w:eastAsia="en-IN"/>
            </w:rPr>
            <w:t xml:space="preserve"> Trusts created prior to this bill with the inclusion of exemption clauses will not be deemed as invalid in their entirety, but the exemption clause itself will no longer be applicable.</w:t>
          </w:r>
        </w:p>
        <w:p w14:paraId="41EF8800" w14:textId="26C8982B" w:rsidR="0070309F" w:rsidRDefault="006E014F" w:rsidP="00613849">
          <w:pPr>
            <w:pStyle w:val="TOCHeading"/>
            <w:spacing w:line="360" w:lineRule="auto"/>
            <w:jc w:val="center"/>
            <w:rPr>
              <w:rFonts w:ascii="Times New Roman" w:eastAsia="Arial" w:hAnsi="Times New Roman" w:cs="Times New Roman"/>
              <w:color w:val="auto"/>
              <w:sz w:val="24"/>
              <w:szCs w:val="24"/>
              <w:lang w:val="en-GB" w:eastAsia="en-IN"/>
            </w:rPr>
          </w:pPr>
          <w:r>
            <w:rPr>
              <w:rFonts w:ascii="Times New Roman" w:eastAsia="Arial" w:hAnsi="Times New Roman" w:cs="Times New Roman"/>
              <w:color w:val="auto"/>
              <w:sz w:val="24"/>
              <w:szCs w:val="24"/>
              <w:lang w:val="en-GB" w:eastAsia="en-IN"/>
            </w:rPr>
            <w:t xml:space="preserve">  </w:t>
          </w:r>
          <w:r w:rsidR="0070309F">
            <w:rPr>
              <w:rFonts w:ascii="Times New Roman" w:eastAsia="Arial" w:hAnsi="Times New Roman" w:cs="Times New Roman"/>
              <w:color w:val="auto"/>
              <w:sz w:val="24"/>
              <w:szCs w:val="24"/>
              <w:lang w:val="en-GB" w:eastAsia="en-IN"/>
            </w:rPr>
            <w:t xml:space="preserve">2. a) </w:t>
          </w:r>
          <w:r w:rsidR="004D0B49" w:rsidRPr="004D0B49">
            <w:rPr>
              <w:rFonts w:ascii="Times New Roman" w:eastAsia="Arial" w:hAnsi="Times New Roman" w:cs="Times New Roman"/>
              <w:color w:val="auto"/>
              <w:sz w:val="24"/>
              <w:szCs w:val="24"/>
              <w:lang w:val="en-GB" w:eastAsia="en-IN"/>
            </w:rPr>
            <w:t xml:space="preserve">For the purpose of this Bill, a professional trustee can be defined as any    trustee who </w:t>
          </w:r>
          <w:r w:rsidR="0070309F">
            <w:rPr>
              <w:rFonts w:ascii="Times New Roman" w:eastAsia="Arial" w:hAnsi="Times New Roman" w:cs="Times New Roman"/>
              <w:color w:val="auto"/>
              <w:sz w:val="24"/>
              <w:szCs w:val="24"/>
              <w:lang w:val="en-GB" w:eastAsia="en-IN"/>
            </w:rPr>
            <w:t xml:space="preserve">    </w:t>
          </w:r>
          <w:r w:rsidR="004D0B49" w:rsidRPr="004D0B49">
            <w:rPr>
              <w:rFonts w:ascii="Times New Roman" w:eastAsia="Arial" w:hAnsi="Times New Roman" w:cs="Times New Roman"/>
              <w:color w:val="auto"/>
              <w:sz w:val="24"/>
              <w:szCs w:val="24"/>
              <w:lang w:val="en-GB" w:eastAsia="en-IN"/>
            </w:rPr>
            <w:t>charges a fee for their services that equals to a sum greater than that of their expenses.</w:t>
          </w:r>
        </w:p>
        <w:p w14:paraId="021AD810" w14:textId="44D28AA2" w:rsidR="00CC7B56" w:rsidRDefault="006E014F" w:rsidP="00613849">
          <w:pPr>
            <w:pStyle w:val="TOCHeading"/>
            <w:spacing w:line="360" w:lineRule="auto"/>
            <w:jc w:val="center"/>
            <w:rPr>
              <w:rFonts w:ascii="Times New Roman" w:eastAsia="Arial" w:hAnsi="Times New Roman" w:cs="Times New Roman"/>
              <w:color w:val="auto"/>
              <w:sz w:val="24"/>
              <w:szCs w:val="24"/>
              <w:lang w:val="en-GB" w:eastAsia="en-IN"/>
            </w:rPr>
          </w:pPr>
          <w:r>
            <w:rPr>
              <w:rFonts w:ascii="Times New Roman" w:eastAsia="Arial" w:hAnsi="Times New Roman" w:cs="Times New Roman"/>
              <w:color w:val="auto"/>
              <w:sz w:val="24"/>
              <w:szCs w:val="24"/>
              <w:lang w:val="en-GB" w:eastAsia="en-IN"/>
            </w:rPr>
            <w:t xml:space="preserve">   </w:t>
          </w:r>
          <w:r w:rsidR="00CC7B56">
            <w:rPr>
              <w:rFonts w:ascii="Times New Roman" w:eastAsia="Arial" w:hAnsi="Times New Roman" w:cs="Times New Roman"/>
              <w:color w:val="auto"/>
              <w:sz w:val="24"/>
              <w:szCs w:val="24"/>
              <w:lang w:val="en-GB" w:eastAsia="en-IN"/>
            </w:rPr>
            <w:t>b)</w:t>
          </w:r>
          <w:r w:rsidR="004D0B49" w:rsidRPr="004D0B49">
            <w:rPr>
              <w:rFonts w:ascii="Times New Roman" w:eastAsia="Arial" w:hAnsi="Times New Roman" w:cs="Times New Roman"/>
              <w:color w:val="auto"/>
              <w:sz w:val="24"/>
              <w:szCs w:val="24"/>
              <w:lang w:val="en-GB" w:eastAsia="en-IN"/>
            </w:rPr>
            <w:t xml:space="preserve"> Specific examples of professional trustees will be made available in </w:t>
          </w:r>
          <w:r w:rsidR="00FB23C6" w:rsidRPr="004D0B49">
            <w:rPr>
              <w:rFonts w:ascii="Times New Roman" w:eastAsia="Arial" w:hAnsi="Times New Roman" w:cs="Times New Roman"/>
              <w:color w:val="auto"/>
              <w:sz w:val="24"/>
              <w:szCs w:val="24"/>
              <w:lang w:val="en-GB" w:eastAsia="en-IN"/>
            </w:rPr>
            <w:t xml:space="preserve">supplementary </w:t>
          </w:r>
          <w:r w:rsidR="00FB23C6">
            <w:rPr>
              <w:rFonts w:ascii="Times New Roman" w:eastAsia="Arial" w:hAnsi="Times New Roman" w:cs="Times New Roman"/>
              <w:color w:val="auto"/>
              <w:sz w:val="24"/>
              <w:szCs w:val="24"/>
              <w:lang w:val="en-GB" w:eastAsia="en-IN"/>
            </w:rPr>
            <w:t>statutory</w:t>
          </w:r>
          <w:r w:rsidR="004D0B49" w:rsidRPr="004D0B49">
            <w:rPr>
              <w:rFonts w:ascii="Times New Roman" w:eastAsia="Arial" w:hAnsi="Times New Roman" w:cs="Times New Roman"/>
              <w:color w:val="auto"/>
              <w:sz w:val="24"/>
              <w:szCs w:val="24"/>
              <w:lang w:val="en-GB" w:eastAsia="en-IN"/>
            </w:rPr>
            <w:t xml:space="preserve"> instrument. The list is not exhaustive, and the Court reserves the right of discretion where professional status is disputed.</w:t>
          </w:r>
        </w:p>
        <w:p w14:paraId="57B85A00" w14:textId="1E8B067F" w:rsidR="00670AC0" w:rsidRPr="00CC7B56" w:rsidRDefault="006E014F" w:rsidP="00613849">
          <w:pPr>
            <w:pStyle w:val="TOCHeading"/>
            <w:spacing w:line="360" w:lineRule="auto"/>
            <w:jc w:val="center"/>
            <w:rPr>
              <w:rFonts w:ascii="Times New Roman" w:eastAsia="Arial" w:hAnsi="Times New Roman" w:cs="Times New Roman"/>
              <w:color w:val="auto"/>
              <w:sz w:val="24"/>
              <w:szCs w:val="24"/>
              <w:lang w:val="en-GB" w:eastAsia="en-IN"/>
            </w:rPr>
          </w:pPr>
          <w:r>
            <w:rPr>
              <w:rFonts w:ascii="Times New Roman" w:eastAsia="Arial" w:hAnsi="Times New Roman" w:cs="Times New Roman"/>
              <w:color w:val="auto"/>
              <w:sz w:val="24"/>
              <w:szCs w:val="24"/>
              <w:lang w:val="en-GB" w:eastAsia="en-IN"/>
            </w:rPr>
            <w:t xml:space="preserve">        </w:t>
          </w:r>
          <w:r w:rsidR="00CC7B56">
            <w:rPr>
              <w:rFonts w:ascii="Times New Roman" w:eastAsia="Arial" w:hAnsi="Times New Roman" w:cs="Times New Roman"/>
              <w:color w:val="auto"/>
              <w:sz w:val="24"/>
              <w:szCs w:val="24"/>
              <w:lang w:val="en-GB" w:eastAsia="en-IN"/>
            </w:rPr>
            <w:t xml:space="preserve">c) </w:t>
          </w:r>
          <w:r w:rsidR="004D0B49" w:rsidRPr="004D0B49">
            <w:rPr>
              <w:rFonts w:ascii="Times New Roman" w:eastAsia="Arial" w:hAnsi="Times New Roman" w:cs="Times New Roman"/>
              <w:color w:val="auto"/>
              <w:sz w:val="24"/>
              <w:szCs w:val="24"/>
              <w:lang w:val="en-GB" w:eastAsia="en-IN"/>
            </w:rPr>
            <w:t>Trustees not acting in a professional capacity will retain the right to use exemption clauses.</w:t>
          </w:r>
        </w:p>
      </w:sdtContent>
    </w:sdt>
    <w:p w14:paraId="57B85A01" w14:textId="77777777" w:rsidR="00670AC0" w:rsidRPr="0046318E" w:rsidRDefault="008E6B89">
      <w:pPr>
        <w:pStyle w:val="Heading1"/>
        <w:spacing w:before="200"/>
      </w:pPr>
      <w:bookmarkStart w:id="0" w:name="_gdksevpkooic" w:colFirst="0" w:colLast="0"/>
      <w:bookmarkStart w:id="1" w:name="_Toc182402929"/>
      <w:bookmarkEnd w:id="0"/>
      <w:r w:rsidRPr="0046318E">
        <w:t>1. Introduction</w:t>
      </w:r>
      <w:bookmarkEnd w:id="1"/>
      <w:r w:rsidRPr="0046318E">
        <w:t xml:space="preserve"> </w:t>
      </w:r>
    </w:p>
    <w:p w14:paraId="57B85A02" w14:textId="2824D2D7"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 trustee can be a person or a firm that holds complete administrative property or assets that support the benefit of the third party. Trustee of an organisation is sublime with various roles however the main purpose includes providing direction to trust (Luftman, 2020). This report is based on analysing multiple sorts of challenges trustees experience with their duties such as providing equality-based interest to the beneficiaries in a complex trust. Even due to improper management, trustees experience the problem of personal liabilities, and this is required to be mitigated to include talented individuals within the task. All the properties of trustees are safeguarded by the Trustee Act 2000. Reformation is required within the guidance of the act in supporting duties of trustees and avoiding fear of personal liabilities. This report completely </w:t>
      </w:r>
      <w:r w:rsidRPr="0046318E">
        <w:rPr>
          <w:rFonts w:ascii="Times New Roman" w:eastAsia="Times New Roman" w:hAnsi="Times New Roman" w:cs="Times New Roman"/>
          <w:sz w:val="24"/>
          <w:szCs w:val="24"/>
        </w:rPr>
        <w:lastRenderedPageBreak/>
        <w:t>analyses the challenges with duties of trustees and includes the reforms which can avoid all sorts of challenges</w:t>
      </w:r>
      <w:r w:rsidR="003C0225" w:rsidRPr="0046318E">
        <w:rPr>
          <w:rFonts w:ascii="Times New Roman" w:eastAsia="Times New Roman" w:hAnsi="Times New Roman" w:cs="Times New Roman"/>
          <w:sz w:val="24"/>
          <w:szCs w:val="24"/>
        </w:rPr>
        <w:t xml:space="preserve">. </w:t>
      </w:r>
    </w:p>
    <w:p w14:paraId="57B85A03" w14:textId="77777777" w:rsidR="00670AC0" w:rsidRPr="0046318E" w:rsidRDefault="008E6B89">
      <w:pPr>
        <w:pStyle w:val="Heading1"/>
        <w:spacing w:before="200"/>
      </w:pPr>
      <w:bookmarkStart w:id="2" w:name="_z1ryk9jz90ul" w:colFirst="0" w:colLast="0"/>
      <w:bookmarkStart w:id="3" w:name="_Toc182402930"/>
      <w:bookmarkEnd w:id="2"/>
      <w:r w:rsidRPr="0046318E">
        <w:t>2. Current position</w:t>
      </w:r>
      <w:bookmarkEnd w:id="3"/>
    </w:p>
    <w:p w14:paraId="57B85A04" w14:textId="55A17CA1"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Trustees include fiduciary duties to subject the best interest of the beneficiaries, exercise skill, and care and maintain impartiality among the beneficiaries for avoiding conflict of interest. The core duties engaged with trustees include honesty, loyalty, </w:t>
      </w:r>
      <w:r w:rsidR="003C0225" w:rsidRPr="0046318E">
        <w:rPr>
          <w:rFonts w:ascii="Times New Roman" w:eastAsia="Times New Roman" w:hAnsi="Times New Roman" w:cs="Times New Roman"/>
          <w:sz w:val="24"/>
          <w:szCs w:val="24"/>
        </w:rPr>
        <w:t>integrity,</w:t>
      </w:r>
      <w:r w:rsidRPr="0046318E">
        <w:rPr>
          <w:rFonts w:ascii="Times New Roman" w:eastAsia="Times New Roman" w:hAnsi="Times New Roman" w:cs="Times New Roman"/>
          <w:sz w:val="24"/>
          <w:szCs w:val="24"/>
        </w:rPr>
        <w:t xml:space="preserve"> and good faith to the beneficiaries of trust (Mitchell, 2022). Core duties of trustees are equitable and rooted with a statutory underpinning of the Trustees Act 2000, UK which refined the standard of care expected from all sorts of trustees engaged.</w:t>
      </w:r>
    </w:p>
    <w:p w14:paraId="57B85A05" w14:textId="77777777"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Historically, the duties of trustees have completely evolved based on a mix of case law and legislation, seeking to protect the integrity of trust and interest of the beneficiaries. The case of Speight V Gaunt (1883), established the need of trustees to exercise caution by the prudent man. Statutory intervention within the Trustee Act of 2000 modernises all these obligations, specifying all sorts of investment duties along with empowering all sorts of trust required for broadening the subject of compliance with their duty (HOUSE OF LORDS, 2024). The current framework of this intervention balances all sorts of stakeholders' rights. </w:t>
      </w:r>
    </w:p>
    <w:p w14:paraId="57B85A06" w14:textId="5333763C"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This current framework is required for balancing settler intent, trustee discretion and beneficiary protection. Duties of trustees act impartially and address all sorts of conflicts experienced by the beneficiary. However, statutory requirements are based on advice regarding investment which ensures responsible management</w:t>
      </w:r>
      <w:r w:rsidR="001F0C39" w:rsidRPr="0046318E">
        <w:rPr>
          <w:rFonts w:ascii="Times New Roman" w:eastAsia="Times New Roman" w:hAnsi="Times New Roman" w:cs="Times New Roman"/>
          <w:sz w:val="24"/>
          <w:szCs w:val="24"/>
        </w:rPr>
        <w:t xml:space="preserve">. </w:t>
      </w:r>
    </w:p>
    <w:p w14:paraId="57B85A07" w14:textId="77777777" w:rsidR="00670AC0" w:rsidRPr="0046318E" w:rsidRDefault="008E6B89">
      <w:pPr>
        <w:pStyle w:val="Heading1"/>
        <w:spacing w:before="200"/>
      </w:pPr>
      <w:bookmarkStart w:id="4" w:name="_wygt6cc6ujzl" w:colFirst="0" w:colLast="0"/>
      <w:bookmarkStart w:id="5" w:name="_Toc182402931"/>
      <w:bookmarkEnd w:id="4"/>
      <w:r w:rsidRPr="0046318E">
        <w:t>3. Current challenges</w:t>
      </w:r>
      <w:bookmarkEnd w:id="5"/>
    </w:p>
    <w:p w14:paraId="57B85A08"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 xml:space="preserve">Strength and benefits of identified Trustee duties </w:t>
      </w:r>
    </w:p>
    <w:p w14:paraId="57B85A09" w14:textId="04CA28E5" w:rsidR="00670AC0" w:rsidRPr="0046318E" w:rsidRDefault="008E6B89">
      <w:pPr>
        <w:numPr>
          <w:ilvl w:val="0"/>
          <w:numId w:val="3"/>
        </w:num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Trustee Act of 2000 provides a clear, </w:t>
      </w:r>
      <w:r w:rsidR="003C0225" w:rsidRPr="0046318E">
        <w:rPr>
          <w:rFonts w:ascii="Times New Roman" w:eastAsia="Times New Roman" w:hAnsi="Times New Roman" w:cs="Times New Roman"/>
          <w:sz w:val="24"/>
          <w:szCs w:val="24"/>
        </w:rPr>
        <w:t>suitable,</w:t>
      </w:r>
      <w:r w:rsidRPr="0046318E">
        <w:rPr>
          <w:rFonts w:ascii="Times New Roman" w:eastAsia="Times New Roman" w:hAnsi="Times New Roman" w:cs="Times New Roman"/>
          <w:sz w:val="24"/>
          <w:szCs w:val="24"/>
        </w:rPr>
        <w:t xml:space="preserve"> and statutory framework which reduces ambiguity over trustee responsibilities. </w:t>
      </w:r>
    </w:p>
    <w:p w14:paraId="57B85A0A" w14:textId="77777777" w:rsidR="00670AC0" w:rsidRPr="0046318E" w:rsidRDefault="008E6B89">
      <w:pPr>
        <w:numPr>
          <w:ilvl w:val="0"/>
          <w:numId w:val="3"/>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This act replaces existing powers under the Trust Investment Act 1961 with the support of more comprehensive power of investment. The Trust Act has more expansive power compared to the previous statutory body (Consilium Asset Management, 2022).</w:t>
      </w:r>
    </w:p>
    <w:p w14:paraId="57B85A0B" w14:textId="77777777" w:rsidR="00670AC0" w:rsidRPr="0046318E" w:rsidRDefault="008E6B89">
      <w:pPr>
        <w:numPr>
          <w:ilvl w:val="0"/>
          <w:numId w:val="3"/>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lastRenderedPageBreak/>
        <w:t xml:space="preserve">Trustees' investment along with duties of management safeguards </w:t>
      </w:r>
      <w:r w:rsidR="0046318E" w:rsidRPr="0046318E">
        <w:rPr>
          <w:rFonts w:ascii="Times New Roman" w:eastAsia="Times New Roman" w:hAnsi="Times New Roman" w:cs="Times New Roman"/>
          <w:sz w:val="24"/>
          <w:szCs w:val="24"/>
        </w:rPr>
        <w:t>all sorts</w:t>
      </w:r>
      <w:r w:rsidRPr="0046318E">
        <w:rPr>
          <w:rFonts w:ascii="Times New Roman" w:eastAsia="Times New Roman" w:hAnsi="Times New Roman" w:cs="Times New Roman"/>
          <w:sz w:val="24"/>
          <w:szCs w:val="24"/>
        </w:rPr>
        <w:t xml:space="preserve"> of trust assets and improves confidence regarding trust administration. </w:t>
      </w:r>
    </w:p>
    <w:p w14:paraId="57B85A0C" w14:textId="77777777" w:rsidR="00670AC0" w:rsidRPr="0046318E" w:rsidRDefault="008E6B89">
      <w:pPr>
        <w:numPr>
          <w:ilvl w:val="0"/>
          <w:numId w:val="3"/>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Fiduciary obligation under the trustee's duties safeguards the beneficiary's interest and reduces the scope of misuse and negligence. </w:t>
      </w:r>
    </w:p>
    <w:p w14:paraId="57B85A0D" w14:textId="77777777" w:rsidR="00670AC0" w:rsidRPr="0046318E" w:rsidRDefault="008E6B89">
      <w:pPr>
        <w:numPr>
          <w:ilvl w:val="0"/>
          <w:numId w:val="3"/>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At the period of case law development, enables nuanced approaches which reflect evolving economic and societal conditions. </w:t>
      </w:r>
    </w:p>
    <w:p w14:paraId="57B85A0E"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Weakness and challenges of identified Trustee duties</w:t>
      </w:r>
    </w:p>
    <w:p w14:paraId="57B85A0F" w14:textId="77777777" w:rsidR="00670AC0" w:rsidRPr="0046318E" w:rsidRDefault="008E6B89">
      <w:pPr>
        <w:numPr>
          <w:ilvl w:val="0"/>
          <w:numId w:val="4"/>
        </w:num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Equitable obligation as per trustee duties has a rigid standard as this can limit trustee discretion which can create challenges in case of a rapidly changing market and economic environment. </w:t>
      </w:r>
    </w:p>
    <w:p w14:paraId="57B85A10" w14:textId="77777777" w:rsidR="00670AC0" w:rsidRPr="0046318E" w:rsidRDefault="008E6B89">
      <w:pPr>
        <w:numPr>
          <w:ilvl w:val="0"/>
          <w:numId w:val="4"/>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Trustees are responsible under the Act of Trust 2000 to balance the interest of competing beneficiaries as there is a leading chance of practical difficulties in providing benefits impartially.</w:t>
      </w:r>
    </w:p>
    <w:p w14:paraId="57B85A11" w14:textId="0AEBA388" w:rsidR="00670AC0" w:rsidRPr="0046318E" w:rsidRDefault="008E6B89">
      <w:pPr>
        <w:numPr>
          <w:ilvl w:val="0"/>
          <w:numId w:val="4"/>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Trustees completely experience the problem of personal liability, and this restricts them from selecting the roles. Trustees can end up giving taxes from their funds if they fail to </w:t>
      </w:r>
      <w:r w:rsidR="00AC6C88" w:rsidRPr="0046318E">
        <w:rPr>
          <w:rFonts w:ascii="Times New Roman" w:eastAsia="Times New Roman" w:hAnsi="Times New Roman" w:cs="Times New Roman"/>
          <w:sz w:val="24"/>
          <w:szCs w:val="24"/>
        </w:rPr>
        <w:t>act</w:t>
      </w:r>
      <w:r w:rsidRPr="0046318E">
        <w:rPr>
          <w:rFonts w:ascii="Times New Roman" w:eastAsia="Times New Roman" w:hAnsi="Times New Roman" w:cs="Times New Roman"/>
          <w:sz w:val="24"/>
          <w:szCs w:val="24"/>
        </w:rPr>
        <w:t xml:space="preserve"> in a timely way (Porter, 2022). These are the major loopholes under trustees' duties safeguarded by acts indicating the need for reform</w:t>
      </w:r>
      <w:r w:rsidR="003C0225" w:rsidRPr="0046318E">
        <w:rPr>
          <w:rFonts w:ascii="Times New Roman" w:eastAsia="Times New Roman" w:hAnsi="Times New Roman" w:cs="Times New Roman"/>
          <w:sz w:val="24"/>
          <w:szCs w:val="24"/>
        </w:rPr>
        <w:t xml:space="preserve">. </w:t>
      </w:r>
    </w:p>
    <w:p w14:paraId="57B85A12" w14:textId="1F078CDD" w:rsidR="00670AC0" w:rsidRPr="0046318E" w:rsidRDefault="008E6B89">
      <w:pPr>
        <w:numPr>
          <w:ilvl w:val="0"/>
          <w:numId w:val="4"/>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In case of navigating all sorts of legal duties in a large trust, trustees may experience huge legal costs, burden of </w:t>
      </w:r>
      <w:r w:rsidR="003C0225" w:rsidRPr="0046318E">
        <w:rPr>
          <w:rFonts w:ascii="Times New Roman" w:eastAsia="Times New Roman" w:hAnsi="Times New Roman" w:cs="Times New Roman"/>
          <w:sz w:val="24"/>
          <w:szCs w:val="24"/>
        </w:rPr>
        <w:t>administration,</w:t>
      </w:r>
      <w:r w:rsidRPr="0046318E">
        <w:rPr>
          <w:rFonts w:ascii="Times New Roman" w:eastAsia="Times New Roman" w:hAnsi="Times New Roman" w:cs="Times New Roman"/>
          <w:sz w:val="24"/>
          <w:szCs w:val="24"/>
        </w:rPr>
        <w:t xml:space="preserve"> and require several resources. </w:t>
      </w:r>
    </w:p>
    <w:p w14:paraId="57B85A13" w14:textId="77777777" w:rsidR="00670AC0" w:rsidRPr="0046318E" w:rsidRDefault="008E6B89">
      <w:pPr>
        <w:numPr>
          <w:ilvl w:val="0"/>
          <w:numId w:val="4"/>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 suitable prohibition situation arises when a conflict of interest undermines the integrity of trust specifically in various corporate settings and this indicates the need for reform. </w:t>
      </w:r>
    </w:p>
    <w:p w14:paraId="57B85A14"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 xml:space="preserve">Balancing duties and rights of stakeholders </w:t>
      </w:r>
    </w:p>
    <w:p w14:paraId="57B85A15" w14:textId="0767C70B"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Trustee law maintains ethical consideration in balancing the interest of the stakeholders which supports fairness, transparency, responsibility, integrity along respect. Principle of trustee law ensures that all sorts of decisions are made equitably, and openly about stakeholders' dignity and rights (Aurora Training, 2024). Due to active listening to the councillors, trust can be developed, and meaningful connections can be built with various stakeholders (Martin, 2024). As mentioned by Newman (2020), trust law is responsible for respecting the </w:t>
      </w:r>
      <w:r w:rsidRPr="006D7FE6">
        <w:rPr>
          <w:rFonts w:ascii="Times New Roman" w:eastAsia="Times New Roman" w:hAnsi="Times New Roman" w:cs="Times New Roman"/>
          <w:bCs/>
          <w:iCs/>
          <w:sz w:val="24"/>
          <w:szCs w:val="24"/>
        </w:rPr>
        <w:t xml:space="preserve">settlor's intent which allows flexibility in drafting several trust instruments. </w:t>
      </w:r>
      <w:r w:rsidR="00B55D00" w:rsidRPr="006D7FE6">
        <w:rPr>
          <w:rFonts w:ascii="Times New Roman" w:eastAsia="Times New Roman" w:hAnsi="Times New Roman" w:cs="Times New Roman"/>
          <w:bCs/>
          <w:iCs/>
          <w:sz w:val="24"/>
          <w:szCs w:val="24"/>
        </w:rPr>
        <w:t>paramount:</w:t>
      </w:r>
      <w:r w:rsidRPr="006D7FE6">
        <w:rPr>
          <w:rFonts w:ascii="Times New Roman" w:eastAsia="Times New Roman" w:hAnsi="Times New Roman" w:cs="Times New Roman"/>
          <w:bCs/>
          <w:iCs/>
          <w:sz w:val="24"/>
          <w:szCs w:val="24"/>
        </w:rPr>
        <w:t xml:space="preserve"> rights of beneficiaries</w:t>
      </w:r>
      <w:r w:rsidRPr="0046318E">
        <w:rPr>
          <w:rFonts w:ascii="Times New Roman" w:eastAsia="Times New Roman" w:hAnsi="Times New Roman" w:cs="Times New Roman"/>
          <w:b/>
          <w:i/>
          <w:sz w:val="24"/>
          <w:szCs w:val="24"/>
        </w:rPr>
        <w:t xml:space="preserve"> </w:t>
      </w:r>
      <w:r w:rsidRPr="0046318E">
        <w:rPr>
          <w:rFonts w:ascii="Times New Roman" w:eastAsia="Times New Roman" w:hAnsi="Times New Roman" w:cs="Times New Roman"/>
          <w:sz w:val="24"/>
          <w:szCs w:val="24"/>
        </w:rPr>
        <w:t xml:space="preserve">are always </w:t>
      </w:r>
      <w:r w:rsidRPr="0046318E">
        <w:rPr>
          <w:rFonts w:ascii="Times New Roman" w:eastAsia="Times New Roman" w:hAnsi="Times New Roman" w:cs="Times New Roman"/>
          <w:sz w:val="24"/>
          <w:szCs w:val="24"/>
        </w:rPr>
        <w:lastRenderedPageBreak/>
        <w:t xml:space="preserve">paramount; however, trustees are still responsible for balancing against complete impartiality. As mentioned by Marcão, Santos and Martinho (2024), trust law comparatively operates in a broader framework which is required for encouraging ethical administration and ensuring familial and economic security. This law mitigates use of abusive power required for safeguarding vulnerable beneficiaries. Legislation completely supports principles of equity which can create tension between fixed statutes along with flexible law standards. </w:t>
      </w:r>
    </w:p>
    <w:p w14:paraId="57B85A16"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Issues in underpinning principles of Equity and Trusts</w:t>
      </w:r>
    </w:p>
    <w:p w14:paraId="57B85A17" w14:textId="77777777" w:rsidR="00670AC0" w:rsidRPr="0046318E" w:rsidRDefault="008E6B89">
      <w:pPr>
        <w:numPr>
          <w:ilvl w:val="0"/>
          <w:numId w:val="5"/>
        </w:num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Law present in case of Trustees is rigid based on applying fiduciary and statutory duties, this can suppress the broader aspect of equity that is adaptability and fairness in each case. </w:t>
      </w:r>
    </w:p>
    <w:p w14:paraId="57B85A18" w14:textId="77777777" w:rsidR="00670AC0" w:rsidRPr="0046318E" w:rsidRDefault="008E6B89">
      <w:pPr>
        <w:numPr>
          <w:ilvl w:val="0"/>
          <w:numId w:val="5"/>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Personal liabilities along with duties of burden can be considered as main restricting factors which deter capable individuals from accepting trusteeship of an organisation. </w:t>
      </w:r>
    </w:p>
    <w:p w14:paraId="57B85A19" w14:textId="77777777" w:rsidR="00670AC0" w:rsidRPr="0046318E" w:rsidRDefault="008E6B89">
      <w:pPr>
        <w:numPr>
          <w:ilvl w:val="0"/>
          <w:numId w:val="5"/>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Another sport of challenges experienced by the trustees is to balance the interest of beneficiaries which can result in contrary to the fairness. This leads to the violation of equitable treatment. </w:t>
      </w:r>
    </w:p>
    <w:p w14:paraId="57B85A1A" w14:textId="77777777" w:rsidR="00670AC0" w:rsidRPr="0046318E" w:rsidRDefault="008E6B89">
      <w:pPr>
        <w:numPr>
          <w:ilvl w:val="0"/>
          <w:numId w:val="5"/>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Complexity in case of compliance with legal duties can lead to inequitable outcomes, which can lead to affecting smaller trusts regulating all sorts of financial hurdles. </w:t>
      </w:r>
    </w:p>
    <w:p w14:paraId="57B85A1B" w14:textId="77777777" w:rsidR="00670AC0" w:rsidRPr="0046318E" w:rsidRDefault="008E6B89">
      <w:pPr>
        <w:pStyle w:val="Heading1"/>
        <w:spacing w:before="200"/>
      </w:pPr>
      <w:bookmarkStart w:id="6" w:name="_acj4s85yilg9" w:colFirst="0" w:colLast="0"/>
      <w:bookmarkStart w:id="7" w:name="_Toc182402932"/>
      <w:bookmarkEnd w:id="6"/>
      <w:r w:rsidRPr="0046318E">
        <w:t>4. Proposal for reform</w:t>
      </w:r>
      <w:bookmarkEnd w:id="7"/>
      <w:r w:rsidRPr="0046318E">
        <w:t xml:space="preserve"> </w:t>
      </w:r>
    </w:p>
    <w:p w14:paraId="57B85A1C" w14:textId="43A7136A"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Current framework engaged with trustee of duties reform is essential for aligning legal rules and founding principles of equity. This can enhance flexibility of the trustee and ensure that all sorts of beneficiaries gain the interest. Existing framework includes various challenges in safeguarding </w:t>
      </w:r>
      <w:r w:rsidR="001A3541" w:rsidRPr="0046318E">
        <w:rPr>
          <w:rFonts w:ascii="Times New Roman" w:eastAsia="Times New Roman" w:hAnsi="Times New Roman" w:cs="Times New Roman"/>
          <w:sz w:val="24"/>
          <w:szCs w:val="24"/>
        </w:rPr>
        <w:t>trustees’</w:t>
      </w:r>
      <w:r w:rsidRPr="0046318E">
        <w:rPr>
          <w:rFonts w:ascii="Times New Roman" w:eastAsia="Times New Roman" w:hAnsi="Times New Roman" w:cs="Times New Roman"/>
          <w:sz w:val="24"/>
          <w:szCs w:val="24"/>
        </w:rPr>
        <w:t xml:space="preserve"> assets and equal distribution of beneficiaries for the reason certain reforms are required. Amending the Trustee Act 2000 is essential by providing trustees with the authority to manage all sorts of trust assets. This allows all the trustees to manage all sorts of beneficiaries' interests complying with the market and economic changes</w:t>
      </w:r>
      <w:r w:rsidR="003312FD" w:rsidRPr="0046318E">
        <w:rPr>
          <w:rFonts w:ascii="Times New Roman" w:eastAsia="Times New Roman" w:hAnsi="Times New Roman" w:cs="Times New Roman"/>
          <w:sz w:val="24"/>
          <w:szCs w:val="24"/>
        </w:rPr>
        <w:t xml:space="preserve">. </w:t>
      </w:r>
    </w:p>
    <w:p w14:paraId="57B85A1D" w14:textId="1B8407CA"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 statutory provision must be included in the framework to safeguard the liabilities of the trustee engaged with the trust. Trustee needs to be offered qualified immunity in gaining good health advice so that they do not get burdened with personal liability in the long term. Legal complexity and cost of handling are </w:t>
      </w:r>
      <w:proofErr w:type="gramStart"/>
      <w:r w:rsidRPr="0046318E">
        <w:rPr>
          <w:rFonts w:ascii="Times New Roman" w:eastAsia="Times New Roman" w:hAnsi="Times New Roman" w:cs="Times New Roman"/>
          <w:sz w:val="24"/>
          <w:szCs w:val="24"/>
        </w:rPr>
        <w:t>some</w:t>
      </w:r>
      <w:proofErr w:type="gramEnd"/>
      <w:r w:rsidRPr="0046318E">
        <w:rPr>
          <w:rFonts w:ascii="Times New Roman" w:eastAsia="Times New Roman" w:hAnsi="Times New Roman" w:cs="Times New Roman"/>
          <w:sz w:val="24"/>
          <w:szCs w:val="24"/>
        </w:rPr>
        <w:t xml:space="preserve"> </w:t>
      </w:r>
      <w:r w:rsidR="001F0C39" w:rsidRPr="0046318E">
        <w:rPr>
          <w:rFonts w:ascii="Times New Roman" w:eastAsia="Times New Roman" w:hAnsi="Times New Roman" w:cs="Times New Roman"/>
          <w:sz w:val="24"/>
          <w:szCs w:val="24"/>
        </w:rPr>
        <w:t>key issues</w:t>
      </w:r>
      <w:r w:rsidRPr="0046318E">
        <w:rPr>
          <w:rFonts w:ascii="Times New Roman" w:eastAsia="Times New Roman" w:hAnsi="Times New Roman" w:cs="Times New Roman"/>
          <w:sz w:val="24"/>
          <w:szCs w:val="24"/>
        </w:rPr>
        <w:t xml:space="preserve"> trustees experienced with the previous framework. For this reason, it is recommended to take reform action in case of user-friendly statutory code </w:t>
      </w:r>
      <w:r w:rsidRPr="0046318E">
        <w:rPr>
          <w:rFonts w:ascii="Times New Roman" w:eastAsia="Times New Roman" w:hAnsi="Times New Roman" w:cs="Times New Roman"/>
          <w:sz w:val="24"/>
          <w:szCs w:val="24"/>
        </w:rPr>
        <w:lastRenderedPageBreak/>
        <w:t xml:space="preserve">inclusion to guide trustees in maintaining even a large trust. Statutory obligations in the reformation include the scope of periodic beneficiary consultation which can improve trust, enhance </w:t>
      </w:r>
      <w:r w:rsidR="003312FD" w:rsidRPr="0046318E">
        <w:rPr>
          <w:rFonts w:ascii="Times New Roman" w:eastAsia="Times New Roman" w:hAnsi="Times New Roman" w:cs="Times New Roman"/>
          <w:sz w:val="24"/>
          <w:szCs w:val="24"/>
        </w:rPr>
        <w:t>transparency,</w:t>
      </w:r>
      <w:r w:rsidRPr="0046318E">
        <w:rPr>
          <w:rFonts w:ascii="Times New Roman" w:eastAsia="Times New Roman" w:hAnsi="Times New Roman" w:cs="Times New Roman"/>
          <w:sz w:val="24"/>
          <w:szCs w:val="24"/>
        </w:rPr>
        <w:t xml:space="preserve"> and mitigate the scope of all sorts of conflicts. Inclusion of impartiality standards within the reform stage is appropriate as trustees experience all sorts of issues in providing beneficiary interest impartially</w:t>
      </w:r>
      <w:r w:rsidR="003C0225" w:rsidRPr="0046318E">
        <w:rPr>
          <w:rFonts w:ascii="Times New Roman" w:eastAsia="Times New Roman" w:hAnsi="Times New Roman" w:cs="Times New Roman"/>
          <w:sz w:val="24"/>
          <w:szCs w:val="24"/>
        </w:rPr>
        <w:t xml:space="preserve">. </w:t>
      </w:r>
    </w:p>
    <w:p w14:paraId="57B85A1E" w14:textId="77777777" w:rsidR="00670AC0" w:rsidRPr="0046318E" w:rsidRDefault="008E6B89">
      <w:pPr>
        <w:pStyle w:val="Heading1"/>
        <w:spacing w:before="200"/>
      </w:pPr>
      <w:bookmarkStart w:id="8" w:name="_lzlkhtjeicmb" w:colFirst="0" w:colLast="0"/>
      <w:bookmarkStart w:id="9" w:name="_Toc182402933"/>
      <w:bookmarkEnd w:id="8"/>
      <w:r w:rsidRPr="0046318E">
        <w:t>5. Evaluation of the reform proposals</w:t>
      </w:r>
      <w:bookmarkEnd w:id="9"/>
      <w:r w:rsidRPr="0046318E">
        <w:t xml:space="preserve"> </w:t>
      </w:r>
    </w:p>
    <w:p w14:paraId="57B85A1F" w14:textId="046753A8"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The complete reform proposal is appropriate in case of addressing all sorts of challenges identified as per duties of trustees. This reform completely supports liability burdens, flexibility, and engagement of beneficiaries with equality and simplifies all sorts of compliances. This kind of reform can support establishing better aligning of core principle and trustee obligation for supporting </w:t>
      </w:r>
      <w:r w:rsidR="00B55D00" w:rsidRPr="0046318E">
        <w:rPr>
          <w:rFonts w:ascii="Times New Roman" w:eastAsia="Times New Roman" w:hAnsi="Times New Roman" w:cs="Times New Roman"/>
          <w:sz w:val="24"/>
          <w:szCs w:val="24"/>
        </w:rPr>
        <w:t>beneficiaries’</w:t>
      </w:r>
      <w:r w:rsidRPr="0046318E">
        <w:rPr>
          <w:rFonts w:ascii="Times New Roman" w:eastAsia="Times New Roman" w:hAnsi="Times New Roman" w:cs="Times New Roman"/>
          <w:sz w:val="24"/>
          <w:szCs w:val="24"/>
        </w:rPr>
        <w:t xml:space="preserve"> engagement. </w:t>
      </w:r>
    </w:p>
    <w:p w14:paraId="57B85A20"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 xml:space="preserve">Identified challenges addressing. </w:t>
      </w:r>
    </w:p>
    <w:p w14:paraId="57B85A21" w14:textId="77777777"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As per the present Trustee Act of 2000, a rigid structure is followed within the trust and includes greater discretionary authorities for the trustee. Flexibility allows a trustee to respond effectively to the trust in dynamic market change. This type of reform is essential for the beneficiaries even as their evolving demands are fulfilled by the trustees in such circumstances. Reasonableness primarily tests exclusion and limitation of various clauses which can exclude liability regarding the breach of contract (Dewar, 2023). This test will be performed with such reform so that trustees of an organisation are unable to exploit any sort of discretion. </w:t>
      </w:r>
    </w:p>
    <w:p w14:paraId="57B85A22" w14:textId="299C0782"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Another challenge identified among the trustees is the fear of liability, due to this reason capable individuals also do not take the role of trustees in a trust (Dharshi Wijetunga and Hart, 2023). Providing limited immunity regarding good-faith decisions supports taking professional advice and this removes all sorts of fear among the individual. Trustee indemnity insurance is responsible for mitigating all sorts of risk and this leads to offering a balanced solution. Complexity and </w:t>
      </w:r>
      <w:r w:rsidR="001F0C39" w:rsidRPr="0046318E">
        <w:rPr>
          <w:rFonts w:ascii="Times New Roman" w:eastAsia="Times New Roman" w:hAnsi="Times New Roman" w:cs="Times New Roman"/>
          <w:sz w:val="24"/>
          <w:szCs w:val="24"/>
        </w:rPr>
        <w:t>excessive cost</w:t>
      </w:r>
      <w:r w:rsidRPr="0046318E">
        <w:rPr>
          <w:rFonts w:ascii="Times New Roman" w:eastAsia="Times New Roman" w:hAnsi="Times New Roman" w:cs="Times New Roman"/>
          <w:sz w:val="24"/>
          <w:szCs w:val="24"/>
        </w:rPr>
        <w:t xml:space="preserve"> in case of existing duties a major issue experienced in performing duties of trustees. Simplifying the method and statutory guidance is appropriate for empowering trustees to </w:t>
      </w:r>
      <w:r w:rsidR="001F0C39" w:rsidRPr="0046318E">
        <w:rPr>
          <w:rFonts w:ascii="Times New Roman" w:eastAsia="Times New Roman" w:hAnsi="Times New Roman" w:cs="Times New Roman"/>
          <w:sz w:val="24"/>
          <w:szCs w:val="24"/>
        </w:rPr>
        <w:t>manage</w:t>
      </w:r>
      <w:r w:rsidRPr="0046318E">
        <w:rPr>
          <w:rFonts w:ascii="Times New Roman" w:eastAsia="Times New Roman" w:hAnsi="Times New Roman" w:cs="Times New Roman"/>
          <w:sz w:val="24"/>
          <w:szCs w:val="24"/>
        </w:rPr>
        <w:t xml:space="preserve"> equitable duties in a large trust. Authority must be provided to the trustees as per the present reform to account for periodic consultation with beneficiaries as it can improve engagement. Clear </w:t>
      </w:r>
      <w:r w:rsidRPr="0046318E">
        <w:rPr>
          <w:rFonts w:ascii="Times New Roman" w:eastAsia="Times New Roman" w:hAnsi="Times New Roman" w:cs="Times New Roman"/>
          <w:sz w:val="24"/>
          <w:szCs w:val="24"/>
        </w:rPr>
        <w:lastRenderedPageBreak/>
        <w:t>guidance is required to be introduced in the reform so that competing beneficiary interests can be managed with trust and interest</w:t>
      </w:r>
      <w:r w:rsidR="003C0225" w:rsidRPr="0046318E">
        <w:rPr>
          <w:rFonts w:ascii="Times New Roman" w:eastAsia="Times New Roman" w:hAnsi="Times New Roman" w:cs="Times New Roman"/>
          <w:sz w:val="24"/>
          <w:szCs w:val="24"/>
        </w:rPr>
        <w:t xml:space="preserve">. </w:t>
      </w:r>
    </w:p>
    <w:p w14:paraId="57B85A23"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 xml:space="preserve">Effectiveness of challenges addressed. </w:t>
      </w:r>
    </w:p>
    <w:p w14:paraId="57B85A24" w14:textId="77777777" w:rsidR="00670AC0" w:rsidRPr="0046318E" w:rsidRDefault="008E6B89">
      <w:pPr>
        <w:numPr>
          <w:ilvl w:val="0"/>
          <w:numId w:val="1"/>
        </w:num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Inclusion of flexibility authority among the trustee can be a partial solution to the context as trust goes through a competitive and dynamic environment and only flexibility cannot support the trustee to manage the situation reliably. </w:t>
      </w:r>
    </w:p>
    <w:p w14:paraId="57B85A25" w14:textId="549B751B" w:rsidR="00670AC0" w:rsidRPr="0046318E" w:rsidRDefault="008E6B89">
      <w:pPr>
        <w:numPr>
          <w:ilvl w:val="0"/>
          <w:numId w:val="1"/>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By solving all sorts of challenges within a trust stakeholders' rights can be established, reform will seek settlers' intent, empower all the trustees effectively and support each beneficiary equitably with their interest</w:t>
      </w:r>
      <w:r w:rsidR="003C0225" w:rsidRPr="0046318E">
        <w:rPr>
          <w:rFonts w:ascii="Times New Roman" w:eastAsia="Times New Roman" w:hAnsi="Times New Roman" w:cs="Times New Roman"/>
          <w:sz w:val="24"/>
          <w:szCs w:val="24"/>
        </w:rPr>
        <w:t xml:space="preserve">. </w:t>
      </w:r>
    </w:p>
    <w:p w14:paraId="57B85A26" w14:textId="77777777" w:rsidR="00670AC0" w:rsidRPr="0046318E" w:rsidRDefault="008E6B89">
      <w:pPr>
        <w:numPr>
          <w:ilvl w:val="0"/>
          <w:numId w:val="1"/>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Potentially unintended consequences can be observed due to complexity and risk in large trust. Inclusion of the reforms can solve all sorts of risks and reduce the cost of handling trustee duties over a firm. This reform will allow the trustees to have complete control over the firm in providing for beneficiaries' interest. </w:t>
      </w:r>
    </w:p>
    <w:p w14:paraId="57B85A27"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 xml:space="preserve">Construction &amp; wording </w:t>
      </w:r>
    </w:p>
    <w:p w14:paraId="57B85A28" w14:textId="5E5CB3E9" w:rsidR="00670AC0" w:rsidRPr="0046318E" w:rsidRDefault="008E6B89">
      <w:pPr>
        <w:numPr>
          <w:ilvl w:val="0"/>
          <w:numId w:val="2"/>
        </w:num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The above-proposed clauses must avoid the use of broad wording which may lead to judicial misinterpretation. For example, use of immunity clauses should be limited to defining circumstances and ensuring they are not abused, as this can nullify the sanctity of the rule of law (Okeke </w:t>
      </w:r>
      <w:r w:rsidRPr="0046318E">
        <w:rPr>
          <w:rFonts w:ascii="Times New Roman" w:eastAsia="Times New Roman" w:hAnsi="Times New Roman" w:cs="Times New Roman"/>
          <w:i/>
          <w:sz w:val="24"/>
          <w:szCs w:val="24"/>
        </w:rPr>
        <w:t>et al.,</w:t>
      </w:r>
      <w:r w:rsidRPr="0046318E">
        <w:rPr>
          <w:rFonts w:ascii="Times New Roman" w:eastAsia="Times New Roman" w:hAnsi="Times New Roman" w:cs="Times New Roman"/>
          <w:sz w:val="24"/>
          <w:szCs w:val="24"/>
        </w:rPr>
        <w:t xml:space="preserve"> 2021)</w:t>
      </w:r>
      <w:r w:rsidR="003C0225" w:rsidRPr="0046318E">
        <w:rPr>
          <w:rFonts w:ascii="Times New Roman" w:eastAsia="Times New Roman" w:hAnsi="Times New Roman" w:cs="Times New Roman"/>
          <w:sz w:val="24"/>
          <w:szCs w:val="24"/>
        </w:rPr>
        <w:t xml:space="preserve">. </w:t>
      </w:r>
    </w:p>
    <w:p w14:paraId="57B85A29" w14:textId="77777777" w:rsidR="00670AC0" w:rsidRPr="0046318E" w:rsidRDefault="008E6B89">
      <w:pPr>
        <w:numPr>
          <w:ilvl w:val="0"/>
          <w:numId w:val="2"/>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The inclusion of flexibility required judicial interpretation over the period so that practical clarity can be proven.</w:t>
      </w:r>
    </w:p>
    <w:p w14:paraId="57B85A2A" w14:textId="11D3D7DF" w:rsidR="00670AC0" w:rsidRPr="0046318E" w:rsidRDefault="008E6B89">
      <w:pPr>
        <w:numPr>
          <w:ilvl w:val="0"/>
          <w:numId w:val="2"/>
        </w:numPr>
        <w:spacing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These reforms address major challenges however, additional clauses can specify various limitations regarding discretionary power</w:t>
      </w:r>
      <w:r w:rsidR="003C0225" w:rsidRPr="0046318E">
        <w:rPr>
          <w:rFonts w:ascii="Times New Roman" w:eastAsia="Times New Roman" w:hAnsi="Times New Roman" w:cs="Times New Roman"/>
          <w:sz w:val="24"/>
          <w:szCs w:val="24"/>
        </w:rPr>
        <w:t xml:space="preserve">. </w:t>
      </w:r>
    </w:p>
    <w:p w14:paraId="57B85A2B" w14:textId="77777777" w:rsidR="00670AC0" w:rsidRPr="0046318E" w:rsidRDefault="008E6B89">
      <w:pPr>
        <w:spacing w:before="200" w:line="360" w:lineRule="auto"/>
        <w:jc w:val="both"/>
        <w:rPr>
          <w:rFonts w:ascii="Times New Roman" w:eastAsia="Times New Roman" w:hAnsi="Times New Roman" w:cs="Times New Roman"/>
          <w:b/>
          <w:i/>
          <w:sz w:val="24"/>
          <w:szCs w:val="24"/>
        </w:rPr>
      </w:pPr>
      <w:r w:rsidRPr="0046318E">
        <w:rPr>
          <w:rFonts w:ascii="Times New Roman" w:eastAsia="Times New Roman" w:hAnsi="Times New Roman" w:cs="Times New Roman"/>
          <w:b/>
          <w:i/>
          <w:sz w:val="24"/>
          <w:szCs w:val="24"/>
        </w:rPr>
        <w:t>Interaction with existing rules</w:t>
      </w:r>
    </w:p>
    <w:p w14:paraId="57B85A2C" w14:textId="20944B65"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Proposed reform structure is complemented with all sorts of trust rules such as equality in obligation, flexibility in a dynamic environment, modernisation of outdated provisions and retaining of care fiduciary standards. Such types of reforms over existing frameworks are appropriate for complete asset management</w:t>
      </w:r>
      <w:r w:rsidR="003C0225" w:rsidRPr="0046318E">
        <w:rPr>
          <w:rFonts w:ascii="Times New Roman" w:eastAsia="Times New Roman" w:hAnsi="Times New Roman" w:cs="Times New Roman"/>
          <w:sz w:val="24"/>
          <w:szCs w:val="24"/>
        </w:rPr>
        <w:t xml:space="preserve">. </w:t>
      </w:r>
    </w:p>
    <w:p w14:paraId="57B85A2D" w14:textId="77777777" w:rsidR="00670AC0" w:rsidRPr="0046318E" w:rsidRDefault="008E6B89">
      <w:pPr>
        <w:pStyle w:val="Heading1"/>
        <w:spacing w:before="200"/>
      </w:pPr>
      <w:bookmarkStart w:id="10" w:name="_jy0nco7uiegw" w:colFirst="0" w:colLast="0"/>
      <w:bookmarkStart w:id="11" w:name="_Toc182402934"/>
      <w:bookmarkEnd w:id="10"/>
      <w:r w:rsidRPr="0046318E">
        <w:lastRenderedPageBreak/>
        <w:t>6. Conclusion</w:t>
      </w:r>
      <w:bookmarkEnd w:id="11"/>
      <w:r w:rsidRPr="0046318E">
        <w:t xml:space="preserve"> </w:t>
      </w:r>
    </w:p>
    <w:p w14:paraId="57B85A2E" w14:textId="09846C3F" w:rsidR="00670AC0" w:rsidRPr="0046318E" w:rsidRDefault="008E6B89">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This research thoroughly examines the difficulties associated with trustee duties and offers improvements that can prevent a variety of problems. </w:t>
      </w:r>
      <w:r w:rsidR="00AC6C88" w:rsidRPr="0046318E">
        <w:rPr>
          <w:rFonts w:ascii="Times New Roman" w:eastAsia="Times New Roman" w:hAnsi="Times New Roman" w:cs="Times New Roman"/>
          <w:sz w:val="24"/>
          <w:szCs w:val="24"/>
        </w:rPr>
        <w:t>To</w:t>
      </w:r>
      <w:r w:rsidRPr="0046318E">
        <w:rPr>
          <w:rFonts w:ascii="Times New Roman" w:eastAsia="Times New Roman" w:hAnsi="Times New Roman" w:cs="Times New Roman"/>
          <w:sz w:val="24"/>
          <w:szCs w:val="24"/>
        </w:rPr>
        <w:t xml:space="preserve"> preserve the integrity of the trust and the interests of the beneficiaries, the responsibilities of trustees have historically changed entirely in response to a combination of legislation and case law. A clear, appropriate, and legislative structure that eliminates uncertainty regarding trustee obligations is provided by the Trustee Act of 2000. A strict threshold for equitable obligations under trustee responsibilities may restrict trustee discretion, which may provide difficulties in the event of a market and economic environment that is changing quickly. According to the Act of Trust 2000, trustees must weigh the interests of conflicting beneficiaries, even when doing so presents practical challenges. Trustees may face significant legal expenses, administrative burdens, and resource requirements while managing a big trust's </w:t>
      </w:r>
      <w:proofErr w:type="gramStart"/>
      <w:r w:rsidRPr="0046318E">
        <w:rPr>
          <w:rFonts w:ascii="Times New Roman" w:eastAsia="Times New Roman" w:hAnsi="Times New Roman" w:cs="Times New Roman"/>
          <w:sz w:val="24"/>
          <w:szCs w:val="24"/>
        </w:rPr>
        <w:t>many</w:t>
      </w:r>
      <w:proofErr w:type="gramEnd"/>
      <w:r w:rsidRPr="0046318E">
        <w:rPr>
          <w:rFonts w:ascii="Times New Roman" w:eastAsia="Times New Roman" w:hAnsi="Times New Roman" w:cs="Times New Roman"/>
          <w:sz w:val="24"/>
          <w:szCs w:val="24"/>
        </w:rPr>
        <w:t xml:space="preserve"> legal responsibilities.</w:t>
      </w:r>
    </w:p>
    <w:p w14:paraId="57B85A2F" w14:textId="157A5BFC" w:rsidR="00670AC0" w:rsidRPr="0046318E" w:rsidRDefault="00AC6C88">
      <w:pPr>
        <w:spacing w:before="20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To</w:t>
      </w:r>
      <w:r w:rsidR="008E6B89" w:rsidRPr="0046318E">
        <w:rPr>
          <w:rFonts w:ascii="Times New Roman" w:eastAsia="Times New Roman" w:hAnsi="Times New Roman" w:cs="Times New Roman"/>
          <w:sz w:val="24"/>
          <w:szCs w:val="24"/>
        </w:rPr>
        <w:t xml:space="preserve"> protect the responsibilities of the trustee involved in the trust, a legislative provision must be incorporated into the structure. </w:t>
      </w:r>
      <w:r w:rsidRPr="0046318E">
        <w:rPr>
          <w:rFonts w:ascii="Times New Roman" w:eastAsia="Times New Roman" w:hAnsi="Times New Roman" w:cs="Times New Roman"/>
          <w:sz w:val="24"/>
          <w:szCs w:val="24"/>
        </w:rPr>
        <w:t>To</w:t>
      </w:r>
      <w:r w:rsidR="008E6B89" w:rsidRPr="0046318E">
        <w:rPr>
          <w:rFonts w:ascii="Times New Roman" w:eastAsia="Times New Roman" w:hAnsi="Times New Roman" w:cs="Times New Roman"/>
          <w:sz w:val="24"/>
          <w:szCs w:val="24"/>
        </w:rPr>
        <w:t xml:space="preserve"> avoid long-term personal responsibility, the trustee must be granted qualified immunity </w:t>
      </w:r>
      <w:r w:rsidRPr="0046318E">
        <w:rPr>
          <w:rFonts w:ascii="Times New Roman" w:eastAsia="Times New Roman" w:hAnsi="Times New Roman" w:cs="Times New Roman"/>
          <w:sz w:val="24"/>
          <w:szCs w:val="24"/>
        </w:rPr>
        <w:t>to</w:t>
      </w:r>
      <w:r w:rsidR="008E6B89" w:rsidRPr="0046318E">
        <w:rPr>
          <w:rFonts w:ascii="Times New Roman" w:eastAsia="Times New Roman" w:hAnsi="Times New Roman" w:cs="Times New Roman"/>
          <w:sz w:val="24"/>
          <w:szCs w:val="24"/>
        </w:rPr>
        <w:t xml:space="preserve"> receive health advice. Because it offers limited protection for good-faith decisions, it encourages seeking expert assistance, which allays a person's fears. </w:t>
      </w:r>
      <w:r w:rsidRPr="0046318E">
        <w:rPr>
          <w:rFonts w:ascii="Times New Roman" w:eastAsia="Times New Roman" w:hAnsi="Times New Roman" w:cs="Times New Roman"/>
          <w:sz w:val="24"/>
          <w:szCs w:val="24"/>
        </w:rPr>
        <w:t>To</w:t>
      </w:r>
      <w:r w:rsidR="008E6B89" w:rsidRPr="0046318E">
        <w:rPr>
          <w:rFonts w:ascii="Times New Roman" w:eastAsia="Times New Roman" w:hAnsi="Times New Roman" w:cs="Times New Roman"/>
          <w:sz w:val="24"/>
          <w:szCs w:val="24"/>
        </w:rPr>
        <w:t xml:space="preserve"> provide a well-rounded solution, trustee indemnity insurance </w:t>
      </w:r>
      <w:r w:rsidR="00D86AC1" w:rsidRPr="0046318E">
        <w:rPr>
          <w:rFonts w:ascii="Times New Roman" w:eastAsia="Times New Roman" w:hAnsi="Times New Roman" w:cs="Times New Roman"/>
          <w:sz w:val="24"/>
          <w:szCs w:val="24"/>
        </w:rPr>
        <w:t>oversees</w:t>
      </w:r>
      <w:r w:rsidR="008E6B89" w:rsidRPr="0046318E">
        <w:rPr>
          <w:rFonts w:ascii="Times New Roman" w:eastAsia="Times New Roman" w:hAnsi="Times New Roman" w:cs="Times New Roman"/>
          <w:sz w:val="24"/>
          <w:szCs w:val="24"/>
        </w:rPr>
        <w:t xml:space="preserve"> reducing all types of risk. According to the current reform, the trustees must be given the authority to consult with beneficiaries regularly to increase involvement.</w:t>
      </w:r>
    </w:p>
    <w:p w14:paraId="57B85A30" w14:textId="77777777" w:rsidR="0046318E" w:rsidRDefault="008E6B89">
      <w:pPr>
        <w:rPr>
          <w:rFonts w:ascii="Times New Roman" w:eastAsia="Times New Roman" w:hAnsi="Times New Roman" w:cs="Times New Roman"/>
          <w:b/>
          <w:sz w:val="24"/>
          <w:szCs w:val="24"/>
        </w:rPr>
      </w:pPr>
      <w:bookmarkStart w:id="12" w:name="_9palqewtwdk6" w:colFirst="0" w:colLast="0"/>
      <w:bookmarkStart w:id="13" w:name="_Toc182402935"/>
      <w:bookmarkEnd w:id="12"/>
      <w:r>
        <w:br w:type="page"/>
      </w:r>
    </w:p>
    <w:p w14:paraId="57B85A31" w14:textId="77777777" w:rsidR="00670AC0" w:rsidRPr="0046318E" w:rsidRDefault="008E6B89">
      <w:pPr>
        <w:pStyle w:val="Heading1"/>
      </w:pPr>
      <w:r w:rsidRPr="0046318E">
        <w:lastRenderedPageBreak/>
        <w:t>Reference list</w:t>
      </w:r>
      <w:bookmarkEnd w:id="13"/>
    </w:p>
    <w:p w14:paraId="57B85A32" w14:textId="44F5DAB3"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Aurora Training (2024). </w:t>
      </w:r>
      <w:r w:rsidRPr="0046318E">
        <w:rPr>
          <w:rFonts w:ascii="Times New Roman" w:eastAsia="Times New Roman" w:hAnsi="Times New Roman" w:cs="Times New Roman"/>
          <w:i/>
          <w:sz w:val="24"/>
          <w:szCs w:val="24"/>
        </w:rPr>
        <w:t>Balancing Stakeholder Interests: Ethical Considerations in Decision Making</w:t>
      </w:r>
      <w:r w:rsidRPr="0046318E">
        <w:rPr>
          <w:rFonts w:ascii="Times New Roman" w:eastAsia="Times New Roman" w:hAnsi="Times New Roman" w:cs="Times New Roman"/>
          <w:sz w:val="24"/>
          <w:szCs w:val="24"/>
        </w:rPr>
        <w:t>.</w:t>
      </w:r>
      <w:r w:rsidR="00D725E9">
        <w:rPr>
          <w:rFonts w:ascii="Times New Roman" w:eastAsia="Times New Roman" w:hAnsi="Times New Roman" w:cs="Times New Roman"/>
          <w:sz w:val="24"/>
          <w:szCs w:val="24"/>
        </w:rPr>
        <w:t xml:space="preserve"> </w:t>
      </w:r>
      <w:r w:rsidRPr="0046318E">
        <w:rPr>
          <w:rFonts w:ascii="Times New Roman" w:eastAsia="Times New Roman" w:hAnsi="Times New Roman" w:cs="Times New Roman"/>
          <w:sz w:val="24"/>
          <w:szCs w:val="24"/>
        </w:rPr>
        <w:t>Aurora Training Advantage. Available at:</w:t>
      </w:r>
      <w:hyperlink r:id="rId8">
        <w:r w:rsidR="00670AC0" w:rsidRPr="0046318E">
          <w:rPr>
            <w:rFonts w:ascii="Times New Roman" w:eastAsia="Times New Roman" w:hAnsi="Times New Roman" w:cs="Times New Roman"/>
            <w:sz w:val="24"/>
            <w:szCs w:val="24"/>
          </w:rPr>
          <w:t xml:space="preserve"> </w:t>
        </w:r>
      </w:hyperlink>
      <w:hyperlink r:id="rId9">
        <w:r w:rsidR="00670AC0" w:rsidRPr="0046318E">
          <w:rPr>
            <w:rFonts w:ascii="Times New Roman" w:eastAsia="Times New Roman" w:hAnsi="Times New Roman" w:cs="Times New Roman"/>
            <w:sz w:val="24"/>
            <w:szCs w:val="24"/>
          </w:rPr>
          <w:t>https://auroratrainingadvantage.com/articles/balancing-stakeholder-interests/</w:t>
        </w:r>
      </w:hyperlink>
      <w:r w:rsidRPr="0046318E">
        <w:rPr>
          <w:rFonts w:ascii="Times New Roman" w:eastAsia="Times New Roman" w:hAnsi="Times New Roman" w:cs="Times New Roman"/>
          <w:sz w:val="24"/>
          <w:szCs w:val="24"/>
        </w:rPr>
        <w:t xml:space="preserve"> [Accessed 1</w:t>
      </w:r>
      <w:r w:rsidR="00EC6C86">
        <w:rPr>
          <w:rFonts w:ascii="Times New Roman" w:eastAsia="Times New Roman" w:hAnsi="Times New Roman" w:cs="Times New Roman"/>
          <w:sz w:val="24"/>
          <w:szCs w:val="24"/>
        </w:rPr>
        <w:t>2</w:t>
      </w:r>
      <w:r w:rsidRPr="0046318E">
        <w:rPr>
          <w:rFonts w:ascii="Times New Roman" w:eastAsia="Times New Roman" w:hAnsi="Times New Roman" w:cs="Times New Roman"/>
          <w:sz w:val="24"/>
          <w:szCs w:val="24"/>
        </w:rPr>
        <w:t xml:space="preserve"> Nov. 2024].</w:t>
      </w:r>
    </w:p>
    <w:p w14:paraId="57B85A33" w14:textId="4D2C81A7"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Consilium Asset Management (2022). </w:t>
      </w:r>
      <w:r w:rsidRPr="0046318E">
        <w:rPr>
          <w:rFonts w:ascii="Times New Roman" w:eastAsia="Times New Roman" w:hAnsi="Times New Roman" w:cs="Times New Roman"/>
          <w:i/>
          <w:sz w:val="24"/>
          <w:szCs w:val="24"/>
        </w:rPr>
        <w:t>Trustee Act 2000 | Consilium Asset Management | Bristol</w:t>
      </w:r>
      <w:r w:rsidRPr="0046318E">
        <w:rPr>
          <w:rFonts w:ascii="Times New Roman" w:eastAsia="Times New Roman" w:hAnsi="Times New Roman" w:cs="Times New Roman"/>
          <w:sz w:val="24"/>
          <w:szCs w:val="24"/>
        </w:rPr>
        <w:t>. consilium-ifa.co.uk. Available at:</w:t>
      </w:r>
      <w:hyperlink r:id="rId10">
        <w:r w:rsidR="00670AC0" w:rsidRPr="0046318E">
          <w:rPr>
            <w:rFonts w:ascii="Times New Roman" w:eastAsia="Times New Roman" w:hAnsi="Times New Roman" w:cs="Times New Roman"/>
            <w:sz w:val="24"/>
            <w:szCs w:val="24"/>
          </w:rPr>
          <w:t xml:space="preserve"> </w:t>
        </w:r>
      </w:hyperlink>
      <w:hyperlink r:id="rId11">
        <w:r w:rsidR="00670AC0" w:rsidRPr="0046318E">
          <w:rPr>
            <w:rFonts w:ascii="Times New Roman" w:eastAsia="Times New Roman" w:hAnsi="Times New Roman" w:cs="Times New Roman"/>
            <w:sz w:val="24"/>
            <w:szCs w:val="24"/>
          </w:rPr>
          <w:t>https://consilium-ifa.co.uk/trustee-act-2000/</w:t>
        </w:r>
      </w:hyperlink>
      <w:r w:rsidRPr="0046318E">
        <w:rPr>
          <w:rFonts w:ascii="Times New Roman" w:eastAsia="Times New Roman" w:hAnsi="Times New Roman" w:cs="Times New Roman"/>
          <w:sz w:val="24"/>
          <w:szCs w:val="24"/>
        </w:rPr>
        <w:t xml:space="preserve"> [Accessed 1</w:t>
      </w:r>
      <w:r w:rsidR="00F115A6">
        <w:rPr>
          <w:rFonts w:ascii="Times New Roman" w:eastAsia="Times New Roman" w:hAnsi="Times New Roman" w:cs="Times New Roman"/>
          <w:sz w:val="24"/>
          <w:szCs w:val="24"/>
        </w:rPr>
        <w:t>2</w:t>
      </w:r>
      <w:r w:rsidRPr="0046318E">
        <w:rPr>
          <w:rFonts w:ascii="Times New Roman" w:eastAsia="Times New Roman" w:hAnsi="Times New Roman" w:cs="Times New Roman"/>
          <w:sz w:val="24"/>
          <w:szCs w:val="24"/>
        </w:rPr>
        <w:t xml:space="preserve"> Nov. 2024].</w:t>
      </w:r>
    </w:p>
    <w:p w14:paraId="57B85A34" w14:textId="58D4CB0C"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Dewar, P. (2023). </w:t>
      </w:r>
      <w:r w:rsidRPr="0046318E">
        <w:rPr>
          <w:rFonts w:ascii="Times New Roman" w:eastAsia="Times New Roman" w:hAnsi="Times New Roman" w:cs="Times New Roman"/>
          <w:i/>
          <w:sz w:val="24"/>
          <w:szCs w:val="24"/>
        </w:rPr>
        <w:t>What is the reasonableness test?</w:t>
      </w:r>
      <w:r w:rsidRPr="0046318E">
        <w:rPr>
          <w:rFonts w:ascii="Times New Roman" w:eastAsia="Times New Roman" w:hAnsi="Times New Roman" w:cs="Times New Roman"/>
          <w:sz w:val="24"/>
          <w:szCs w:val="24"/>
        </w:rPr>
        <w:t xml:space="preserve"> RIAA Barker Gillette. Available at:</w:t>
      </w:r>
      <w:hyperlink r:id="rId12">
        <w:r w:rsidR="00670AC0" w:rsidRPr="0046318E">
          <w:rPr>
            <w:rFonts w:ascii="Times New Roman" w:eastAsia="Times New Roman" w:hAnsi="Times New Roman" w:cs="Times New Roman"/>
            <w:sz w:val="24"/>
            <w:szCs w:val="24"/>
          </w:rPr>
          <w:t xml:space="preserve"> </w:t>
        </w:r>
      </w:hyperlink>
      <w:hyperlink r:id="rId13">
        <w:r w:rsidR="00670AC0" w:rsidRPr="0046318E">
          <w:rPr>
            <w:rFonts w:ascii="Times New Roman" w:eastAsia="Times New Roman" w:hAnsi="Times New Roman" w:cs="Times New Roman"/>
            <w:sz w:val="24"/>
            <w:szCs w:val="24"/>
          </w:rPr>
          <w:t>https://www.riaabarkergillette.com/uk/what-is-the-reasonableness-test/</w:t>
        </w:r>
      </w:hyperlink>
      <w:r w:rsidRPr="0046318E">
        <w:rPr>
          <w:rFonts w:ascii="Times New Roman" w:eastAsia="Times New Roman" w:hAnsi="Times New Roman" w:cs="Times New Roman"/>
          <w:sz w:val="24"/>
          <w:szCs w:val="24"/>
        </w:rPr>
        <w:t xml:space="preserve"> [Accessed 1</w:t>
      </w:r>
      <w:r w:rsidR="00F115A6">
        <w:rPr>
          <w:rFonts w:ascii="Times New Roman" w:eastAsia="Times New Roman" w:hAnsi="Times New Roman" w:cs="Times New Roman"/>
          <w:sz w:val="24"/>
          <w:szCs w:val="24"/>
        </w:rPr>
        <w:t>2</w:t>
      </w:r>
      <w:r w:rsidRPr="0046318E">
        <w:rPr>
          <w:rFonts w:ascii="Times New Roman" w:eastAsia="Times New Roman" w:hAnsi="Times New Roman" w:cs="Times New Roman"/>
          <w:sz w:val="24"/>
          <w:szCs w:val="24"/>
        </w:rPr>
        <w:t xml:space="preserve"> Nov. 2024].</w:t>
      </w:r>
    </w:p>
    <w:p w14:paraId="57B85A35" w14:textId="76539A40"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Dharshi Wijetunga and Hart, S. (2023). </w:t>
      </w:r>
      <w:r w:rsidRPr="0046318E">
        <w:rPr>
          <w:rFonts w:ascii="Times New Roman" w:eastAsia="Times New Roman" w:hAnsi="Times New Roman" w:cs="Times New Roman"/>
          <w:i/>
          <w:sz w:val="24"/>
          <w:szCs w:val="24"/>
        </w:rPr>
        <w:t xml:space="preserve">Guiding Trustees: Protecting Trustees </w:t>
      </w:r>
      <w:r w:rsidR="00B55D00" w:rsidRPr="0046318E">
        <w:rPr>
          <w:rFonts w:ascii="Times New Roman" w:eastAsia="Times New Roman" w:hAnsi="Times New Roman" w:cs="Times New Roman"/>
          <w:i/>
          <w:sz w:val="24"/>
          <w:szCs w:val="24"/>
        </w:rPr>
        <w:t>from</w:t>
      </w:r>
      <w:r w:rsidRPr="0046318E">
        <w:rPr>
          <w:rFonts w:ascii="Times New Roman" w:eastAsia="Times New Roman" w:hAnsi="Times New Roman" w:cs="Times New Roman"/>
          <w:i/>
          <w:sz w:val="24"/>
          <w:szCs w:val="24"/>
        </w:rPr>
        <w:t xml:space="preserve"> Loss </w:t>
      </w:r>
      <w:r w:rsidR="00B55D00" w:rsidRPr="0046318E">
        <w:rPr>
          <w:rFonts w:ascii="Times New Roman" w:eastAsia="Times New Roman" w:hAnsi="Times New Roman" w:cs="Times New Roman"/>
          <w:i/>
          <w:sz w:val="24"/>
          <w:szCs w:val="24"/>
        </w:rPr>
        <w:t>and</w:t>
      </w:r>
      <w:r w:rsidRPr="0046318E">
        <w:rPr>
          <w:rFonts w:ascii="Times New Roman" w:eastAsia="Times New Roman" w:hAnsi="Times New Roman" w:cs="Times New Roman"/>
          <w:i/>
          <w:sz w:val="24"/>
          <w:szCs w:val="24"/>
        </w:rPr>
        <w:t xml:space="preserve"> Liability</w:t>
      </w:r>
      <w:r w:rsidRPr="0046318E">
        <w:rPr>
          <w:rFonts w:ascii="Times New Roman" w:eastAsia="Times New Roman" w:hAnsi="Times New Roman" w:cs="Times New Roman"/>
          <w:sz w:val="24"/>
          <w:szCs w:val="24"/>
        </w:rPr>
        <w:t>. CRS. Available at:</w:t>
      </w:r>
      <w:hyperlink r:id="rId14">
        <w:r w:rsidR="00670AC0" w:rsidRPr="0046318E">
          <w:rPr>
            <w:rFonts w:ascii="Times New Roman" w:eastAsia="Times New Roman" w:hAnsi="Times New Roman" w:cs="Times New Roman"/>
            <w:sz w:val="24"/>
            <w:szCs w:val="24"/>
          </w:rPr>
          <w:t xml:space="preserve"> </w:t>
        </w:r>
      </w:hyperlink>
      <w:hyperlink r:id="rId15">
        <w:r w:rsidR="00670AC0" w:rsidRPr="0046318E">
          <w:rPr>
            <w:rFonts w:ascii="Times New Roman" w:eastAsia="Times New Roman" w:hAnsi="Times New Roman" w:cs="Times New Roman"/>
            <w:sz w:val="24"/>
            <w:szCs w:val="24"/>
          </w:rPr>
          <w:t>https://www.charlesrussellspeechlys.com/en/insights/expert-insights/private-client/2023/guiding-trustees-protecting-trustees-from-loss-and-liability/</w:t>
        </w:r>
      </w:hyperlink>
      <w:r w:rsidRPr="0046318E">
        <w:rPr>
          <w:rFonts w:ascii="Times New Roman" w:eastAsia="Times New Roman" w:hAnsi="Times New Roman" w:cs="Times New Roman"/>
          <w:sz w:val="24"/>
          <w:szCs w:val="24"/>
        </w:rPr>
        <w:t xml:space="preserve"> [Accessed 1</w:t>
      </w:r>
      <w:r w:rsidR="00F115A6">
        <w:rPr>
          <w:rFonts w:ascii="Times New Roman" w:eastAsia="Times New Roman" w:hAnsi="Times New Roman" w:cs="Times New Roman"/>
          <w:sz w:val="24"/>
          <w:szCs w:val="24"/>
        </w:rPr>
        <w:t>2</w:t>
      </w:r>
      <w:r w:rsidRPr="0046318E">
        <w:rPr>
          <w:rFonts w:ascii="Times New Roman" w:eastAsia="Times New Roman" w:hAnsi="Times New Roman" w:cs="Times New Roman"/>
          <w:sz w:val="24"/>
          <w:szCs w:val="24"/>
        </w:rPr>
        <w:t xml:space="preserve"> Nov. 2024].</w:t>
      </w:r>
    </w:p>
    <w:p w14:paraId="57B85A36" w14:textId="311B7432"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HOUSE OF LORDS (2024). </w:t>
      </w:r>
      <w:r w:rsidRPr="0046318E">
        <w:rPr>
          <w:rFonts w:ascii="Times New Roman" w:eastAsia="Times New Roman" w:hAnsi="Times New Roman" w:cs="Times New Roman"/>
          <w:i/>
          <w:sz w:val="24"/>
          <w:szCs w:val="24"/>
        </w:rPr>
        <w:t>Speight v Gaunt [1883] UKHL 1 (26 November 1883)</w:t>
      </w:r>
      <w:r w:rsidRPr="0046318E">
        <w:rPr>
          <w:rFonts w:ascii="Times New Roman" w:eastAsia="Times New Roman" w:hAnsi="Times New Roman" w:cs="Times New Roman"/>
          <w:sz w:val="24"/>
          <w:szCs w:val="24"/>
        </w:rPr>
        <w:t>.</w:t>
      </w:r>
      <w:r w:rsidR="00F115A6">
        <w:rPr>
          <w:rFonts w:ascii="Times New Roman" w:eastAsia="Times New Roman" w:hAnsi="Times New Roman" w:cs="Times New Roman"/>
          <w:sz w:val="24"/>
          <w:szCs w:val="24"/>
        </w:rPr>
        <w:t xml:space="preserve"> </w:t>
      </w:r>
      <w:r w:rsidRPr="0046318E">
        <w:rPr>
          <w:rFonts w:ascii="Times New Roman" w:eastAsia="Times New Roman" w:hAnsi="Times New Roman" w:cs="Times New Roman"/>
          <w:sz w:val="24"/>
          <w:szCs w:val="24"/>
        </w:rPr>
        <w:t>Bailii.org. Available at:</w:t>
      </w:r>
      <w:hyperlink r:id="rId16">
        <w:r w:rsidR="00670AC0" w:rsidRPr="0046318E">
          <w:rPr>
            <w:rFonts w:ascii="Times New Roman" w:eastAsia="Times New Roman" w:hAnsi="Times New Roman" w:cs="Times New Roman"/>
            <w:sz w:val="24"/>
            <w:szCs w:val="24"/>
          </w:rPr>
          <w:t xml:space="preserve"> </w:t>
        </w:r>
      </w:hyperlink>
      <w:hyperlink r:id="rId17">
        <w:r w:rsidR="00670AC0" w:rsidRPr="0046318E">
          <w:rPr>
            <w:rFonts w:ascii="Times New Roman" w:eastAsia="Times New Roman" w:hAnsi="Times New Roman" w:cs="Times New Roman"/>
            <w:sz w:val="24"/>
            <w:szCs w:val="24"/>
          </w:rPr>
          <w:t>http://www.bailii.org/uk/cases/UKHL/1883/1.html</w:t>
        </w:r>
      </w:hyperlink>
      <w:r w:rsidRPr="0046318E">
        <w:rPr>
          <w:rFonts w:ascii="Times New Roman" w:eastAsia="Times New Roman" w:hAnsi="Times New Roman" w:cs="Times New Roman"/>
          <w:sz w:val="24"/>
          <w:szCs w:val="24"/>
        </w:rPr>
        <w:t xml:space="preserve"> [Accessed 1</w:t>
      </w:r>
      <w:r w:rsidR="00F115A6">
        <w:rPr>
          <w:rFonts w:ascii="Times New Roman" w:eastAsia="Times New Roman" w:hAnsi="Times New Roman" w:cs="Times New Roman"/>
          <w:sz w:val="24"/>
          <w:szCs w:val="24"/>
        </w:rPr>
        <w:t>2</w:t>
      </w:r>
      <w:r w:rsidRPr="0046318E">
        <w:rPr>
          <w:rFonts w:ascii="Times New Roman" w:eastAsia="Times New Roman" w:hAnsi="Times New Roman" w:cs="Times New Roman"/>
          <w:sz w:val="24"/>
          <w:szCs w:val="24"/>
        </w:rPr>
        <w:t xml:space="preserve"> Nov. 2024].</w:t>
      </w:r>
    </w:p>
    <w:p w14:paraId="57B85A37" w14:textId="694295EA"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Loxton, D. and Angelo, N. (2023). </w:t>
      </w:r>
      <w:r w:rsidRPr="0046318E">
        <w:rPr>
          <w:rFonts w:ascii="Times New Roman" w:eastAsia="Times New Roman" w:hAnsi="Times New Roman" w:cs="Times New Roman"/>
          <w:i/>
          <w:sz w:val="24"/>
          <w:szCs w:val="24"/>
        </w:rPr>
        <w:t xml:space="preserve">Trustees’ limitation of liability: Myths, </w:t>
      </w:r>
      <w:r w:rsidR="003C0225" w:rsidRPr="0046318E">
        <w:rPr>
          <w:rFonts w:ascii="Times New Roman" w:eastAsia="Times New Roman" w:hAnsi="Times New Roman" w:cs="Times New Roman"/>
          <w:i/>
          <w:sz w:val="24"/>
          <w:szCs w:val="24"/>
        </w:rPr>
        <w:t>mysteries,</w:t>
      </w:r>
      <w:r w:rsidRPr="0046318E">
        <w:rPr>
          <w:rFonts w:ascii="Times New Roman" w:eastAsia="Times New Roman" w:hAnsi="Times New Roman" w:cs="Times New Roman"/>
          <w:i/>
          <w:sz w:val="24"/>
          <w:szCs w:val="24"/>
        </w:rPr>
        <w:t xml:space="preserve"> and a model clause</w:t>
      </w:r>
      <w:r w:rsidRPr="0046318E">
        <w:rPr>
          <w:rFonts w:ascii="Times New Roman" w:eastAsia="Times New Roman" w:hAnsi="Times New Roman" w:cs="Times New Roman"/>
          <w:sz w:val="24"/>
          <w:szCs w:val="24"/>
        </w:rPr>
        <w:t>.</w:t>
      </w:r>
      <w:r w:rsidR="00F115A6">
        <w:rPr>
          <w:rFonts w:ascii="Times New Roman" w:eastAsia="Times New Roman" w:hAnsi="Times New Roman" w:cs="Times New Roman"/>
          <w:sz w:val="24"/>
          <w:szCs w:val="24"/>
        </w:rPr>
        <w:t xml:space="preserve"> </w:t>
      </w:r>
      <w:r w:rsidRPr="0046318E">
        <w:rPr>
          <w:rFonts w:ascii="Times New Roman" w:eastAsia="Times New Roman" w:hAnsi="Times New Roman" w:cs="Times New Roman"/>
          <w:sz w:val="24"/>
          <w:szCs w:val="24"/>
        </w:rPr>
        <w:t>Available at:</w:t>
      </w:r>
      <w:hyperlink r:id="rId18">
        <w:r w:rsidR="00670AC0" w:rsidRPr="0046318E">
          <w:rPr>
            <w:rFonts w:ascii="Times New Roman" w:eastAsia="Times New Roman" w:hAnsi="Times New Roman" w:cs="Times New Roman"/>
            <w:sz w:val="24"/>
            <w:szCs w:val="24"/>
          </w:rPr>
          <w:t xml:space="preserve"> </w:t>
        </w:r>
      </w:hyperlink>
      <w:hyperlink r:id="rId19">
        <w:r w:rsidR="00670AC0" w:rsidRPr="0046318E">
          <w:rPr>
            <w:rFonts w:ascii="Times New Roman" w:eastAsia="Times New Roman" w:hAnsi="Times New Roman" w:cs="Times New Roman"/>
            <w:sz w:val="24"/>
            <w:szCs w:val="24"/>
          </w:rPr>
          <w:t>https://na.eventscloud.com/file_uploads/d045f6c93b6fb6c060129bb04324bee0_1ADicconLoxtonNuncioDAngelopaper.pdf</w:t>
        </w:r>
      </w:hyperlink>
      <w:r w:rsidRPr="0046318E">
        <w:rPr>
          <w:rFonts w:ascii="Times New Roman" w:eastAsia="Times New Roman" w:hAnsi="Times New Roman" w:cs="Times New Roman"/>
          <w:sz w:val="24"/>
          <w:szCs w:val="24"/>
        </w:rPr>
        <w:t xml:space="preserve"> [Accessed 1</w:t>
      </w:r>
      <w:r w:rsidR="00F115A6">
        <w:rPr>
          <w:rFonts w:ascii="Times New Roman" w:eastAsia="Times New Roman" w:hAnsi="Times New Roman" w:cs="Times New Roman"/>
          <w:sz w:val="24"/>
          <w:szCs w:val="24"/>
        </w:rPr>
        <w:t>2</w:t>
      </w:r>
      <w:r w:rsidRPr="0046318E">
        <w:rPr>
          <w:rFonts w:ascii="Times New Roman" w:eastAsia="Times New Roman" w:hAnsi="Times New Roman" w:cs="Times New Roman"/>
          <w:sz w:val="24"/>
          <w:szCs w:val="24"/>
        </w:rPr>
        <w:t xml:space="preserve"> Nov. 2024].</w:t>
      </w:r>
    </w:p>
    <w:p w14:paraId="57B85A38" w14:textId="31BDEAA0"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Luftman, D. (2020). </w:t>
      </w:r>
      <w:r w:rsidRPr="0046318E">
        <w:rPr>
          <w:rFonts w:ascii="Times New Roman" w:eastAsia="Times New Roman" w:hAnsi="Times New Roman" w:cs="Times New Roman"/>
          <w:i/>
          <w:sz w:val="24"/>
          <w:szCs w:val="24"/>
        </w:rPr>
        <w:t>What is a Trustee - Trustee Duties and Responsibilities | Trust &amp; Will</w:t>
      </w:r>
      <w:r w:rsidRPr="0046318E">
        <w:rPr>
          <w:rFonts w:ascii="Times New Roman" w:eastAsia="Times New Roman" w:hAnsi="Times New Roman" w:cs="Times New Roman"/>
          <w:sz w:val="24"/>
          <w:szCs w:val="24"/>
        </w:rPr>
        <w:t>. Trust &amp; Will. Available at:</w:t>
      </w:r>
      <w:hyperlink r:id="rId20">
        <w:r w:rsidR="00670AC0" w:rsidRPr="0046318E">
          <w:rPr>
            <w:rFonts w:ascii="Times New Roman" w:eastAsia="Times New Roman" w:hAnsi="Times New Roman" w:cs="Times New Roman"/>
            <w:sz w:val="24"/>
            <w:szCs w:val="24"/>
          </w:rPr>
          <w:t xml:space="preserve"> </w:t>
        </w:r>
      </w:hyperlink>
      <w:hyperlink r:id="rId21">
        <w:r w:rsidR="00670AC0" w:rsidRPr="0046318E">
          <w:rPr>
            <w:rFonts w:ascii="Times New Roman" w:eastAsia="Times New Roman" w:hAnsi="Times New Roman" w:cs="Times New Roman"/>
            <w:sz w:val="24"/>
            <w:szCs w:val="24"/>
          </w:rPr>
          <w:t>https://trustandwill.com/learn/trustee-definition?srsltid=AfmBOor4JsIDuczkRvjoljQOHw33J1OiizERNNx9AJfC1war5AaCK_BB</w:t>
        </w:r>
      </w:hyperlink>
      <w:r w:rsidRPr="0046318E">
        <w:rPr>
          <w:rFonts w:ascii="Times New Roman" w:eastAsia="Times New Roman" w:hAnsi="Times New Roman" w:cs="Times New Roman"/>
          <w:sz w:val="24"/>
          <w:szCs w:val="24"/>
        </w:rPr>
        <w:t xml:space="preserve"> [Accessed 1</w:t>
      </w:r>
      <w:r w:rsidR="00E02D12">
        <w:rPr>
          <w:rFonts w:ascii="Times New Roman" w:eastAsia="Times New Roman" w:hAnsi="Times New Roman" w:cs="Times New Roman"/>
          <w:sz w:val="24"/>
          <w:szCs w:val="24"/>
        </w:rPr>
        <w:t>3</w:t>
      </w:r>
      <w:r w:rsidRPr="0046318E">
        <w:rPr>
          <w:rFonts w:ascii="Times New Roman" w:eastAsia="Times New Roman" w:hAnsi="Times New Roman" w:cs="Times New Roman"/>
          <w:sz w:val="24"/>
          <w:szCs w:val="24"/>
        </w:rPr>
        <w:t xml:space="preserve"> Nov. 2024].</w:t>
      </w:r>
    </w:p>
    <w:p w14:paraId="57B85A39" w14:textId="6777EA49"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Marcão, R., Santos, V. and Martinho, F. (2024). Ethical Grand Strategy: Fostering Trust and Reputation in International Management. </w:t>
      </w:r>
      <w:r w:rsidRPr="0046318E">
        <w:rPr>
          <w:rFonts w:ascii="Times New Roman" w:eastAsia="Times New Roman" w:hAnsi="Times New Roman" w:cs="Times New Roman"/>
          <w:i/>
          <w:sz w:val="24"/>
          <w:szCs w:val="24"/>
        </w:rPr>
        <w:t>IntechOpen eBooks</w:t>
      </w:r>
      <w:r w:rsidR="00FB23C6" w:rsidRPr="0046318E">
        <w:rPr>
          <w:rFonts w:ascii="Times New Roman" w:eastAsia="Times New Roman" w:hAnsi="Times New Roman" w:cs="Times New Roman"/>
          <w:sz w:val="24"/>
          <w:szCs w:val="24"/>
        </w:rPr>
        <w:t xml:space="preserve">. </w:t>
      </w:r>
      <w:r w:rsidR="00E02D12">
        <w:rPr>
          <w:rFonts w:ascii="Times New Roman" w:eastAsia="Times New Roman" w:hAnsi="Times New Roman" w:cs="Times New Roman"/>
          <w:sz w:val="24"/>
          <w:szCs w:val="24"/>
        </w:rPr>
        <w:t xml:space="preserve">Available at: </w:t>
      </w:r>
      <w:hyperlink r:id="rId22">
        <w:r w:rsidR="00670AC0" w:rsidRPr="0046318E">
          <w:rPr>
            <w:rFonts w:ascii="Times New Roman" w:eastAsia="Times New Roman" w:hAnsi="Times New Roman" w:cs="Times New Roman"/>
            <w:sz w:val="24"/>
            <w:szCs w:val="24"/>
          </w:rPr>
          <w:t>https://doi.org/10.5772/intechopen.115280</w:t>
        </w:r>
      </w:hyperlink>
      <w:r w:rsidRPr="0046318E">
        <w:rPr>
          <w:rFonts w:ascii="Times New Roman" w:eastAsia="Times New Roman" w:hAnsi="Times New Roman" w:cs="Times New Roman"/>
          <w:sz w:val="24"/>
          <w:szCs w:val="24"/>
        </w:rPr>
        <w:t>.</w:t>
      </w:r>
      <w:r w:rsidR="00E02D12">
        <w:rPr>
          <w:rFonts w:ascii="Times New Roman" w:eastAsia="Times New Roman" w:hAnsi="Times New Roman" w:cs="Times New Roman"/>
          <w:sz w:val="24"/>
          <w:szCs w:val="24"/>
        </w:rPr>
        <w:t xml:space="preserve"> </w:t>
      </w:r>
      <w:r w:rsidR="00AB1DD3">
        <w:rPr>
          <w:rFonts w:ascii="Times New Roman" w:eastAsia="Times New Roman" w:hAnsi="Times New Roman" w:cs="Times New Roman"/>
          <w:sz w:val="24"/>
          <w:szCs w:val="24"/>
        </w:rPr>
        <w:t xml:space="preserve">[Accessed 13 </w:t>
      </w:r>
      <w:r w:rsidR="00FB23C6">
        <w:rPr>
          <w:rFonts w:ascii="Times New Roman" w:eastAsia="Times New Roman" w:hAnsi="Times New Roman" w:cs="Times New Roman"/>
          <w:sz w:val="24"/>
          <w:szCs w:val="24"/>
        </w:rPr>
        <w:t>Nov</w:t>
      </w:r>
      <w:r w:rsidR="00AB1DD3">
        <w:rPr>
          <w:rFonts w:ascii="Times New Roman" w:eastAsia="Times New Roman" w:hAnsi="Times New Roman" w:cs="Times New Roman"/>
          <w:sz w:val="24"/>
          <w:szCs w:val="24"/>
        </w:rPr>
        <w:t xml:space="preserve"> 2024].</w:t>
      </w:r>
    </w:p>
    <w:p w14:paraId="57B85A3A" w14:textId="2506D108"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lastRenderedPageBreak/>
        <w:t xml:space="preserve">Martin, D. (2024). </w:t>
      </w:r>
      <w:r w:rsidRPr="0046318E">
        <w:rPr>
          <w:rFonts w:ascii="Times New Roman" w:eastAsia="Times New Roman" w:hAnsi="Times New Roman" w:cs="Times New Roman"/>
          <w:i/>
          <w:sz w:val="24"/>
          <w:szCs w:val="24"/>
        </w:rPr>
        <w:t>Balancing the Interests of Different Stakeholders as a Councillor</w:t>
      </w:r>
      <w:r w:rsidRPr="0046318E">
        <w:rPr>
          <w:rFonts w:ascii="Times New Roman" w:eastAsia="Times New Roman" w:hAnsi="Times New Roman" w:cs="Times New Roman"/>
          <w:sz w:val="24"/>
          <w:szCs w:val="24"/>
        </w:rPr>
        <w:t>. Medium. Available at:</w:t>
      </w:r>
      <w:hyperlink r:id="rId23">
        <w:r w:rsidR="00670AC0" w:rsidRPr="0046318E">
          <w:rPr>
            <w:rFonts w:ascii="Times New Roman" w:eastAsia="Times New Roman" w:hAnsi="Times New Roman" w:cs="Times New Roman"/>
            <w:sz w:val="24"/>
            <w:szCs w:val="24"/>
          </w:rPr>
          <w:t xml:space="preserve"> </w:t>
        </w:r>
      </w:hyperlink>
      <w:hyperlink r:id="rId24">
        <w:r w:rsidR="00670AC0" w:rsidRPr="0046318E">
          <w:rPr>
            <w:rFonts w:ascii="Times New Roman" w:eastAsia="Times New Roman" w:hAnsi="Times New Roman" w:cs="Times New Roman"/>
            <w:sz w:val="24"/>
            <w:szCs w:val="24"/>
          </w:rPr>
          <w:t>https://medium.com/@danielmartincouncillor/balancing-the-interests-of-different-stakeholders-as-a-councillor-1609f9826668</w:t>
        </w:r>
      </w:hyperlink>
      <w:r w:rsidRPr="0046318E">
        <w:rPr>
          <w:rFonts w:ascii="Times New Roman" w:eastAsia="Times New Roman" w:hAnsi="Times New Roman" w:cs="Times New Roman"/>
          <w:sz w:val="24"/>
          <w:szCs w:val="24"/>
        </w:rPr>
        <w:t xml:space="preserve"> [Accessed 13 Nov. 2024].</w:t>
      </w:r>
    </w:p>
    <w:p w14:paraId="57B85A3B" w14:textId="24AB1F93"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Mitchell, I. (2022). </w:t>
      </w:r>
      <w:r w:rsidRPr="0046318E">
        <w:rPr>
          <w:rFonts w:ascii="Times New Roman" w:eastAsia="Times New Roman" w:hAnsi="Times New Roman" w:cs="Times New Roman"/>
          <w:i/>
          <w:sz w:val="24"/>
          <w:szCs w:val="24"/>
        </w:rPr>
        <w:t>Duties Of Trustees | Irwin Mitchell Solicitors</w:t>
      </w:r>
      <w:r w:rsidRPr="0046318E">
        <w:rPr>
          <w:rFonts w:ascii="Times New Roman" w:eastAsia="Times New Roman" w:hAnsi="Times New Roman" w:cs="Times New Roman"/>
          <w:sz w:val="24"/>
          <w:szCs w:val="24"/>
        </w:rPr>
        <w:t>.</w:t>
      </w:r>
      <w:r w:rsidR="00AB1DD3">
        <w:rPr>
          <w:rFonts w:ascii="Times New Roman" w:eastAsia="Times New Roman" w:hAnsi="Times New Roman" w:cs="Times New Roman"/>
          <w:sz w:val="24"/>
          <w:szCs w:val="24"/>
        </w:rPr>
        <w:t xml:space="preserve"> </w:t>
      </w:r>
      <w:r w:rsidRPr="0046318E">
        <w:rPr>
          <w:rFonts w:ascii="Times New Roman" w:eastAsia="Times New Roman" w:hAnsi="Times New Roman" w:cs="Times New Roman"/>
          <w:sz w:val="24"/>
          <w:szCs w:val="24"/>
        </w:rPr>
        <w:t>Irwin Mitchell. Available at:</w:t>
      </w:r>
      <w:hyperlink r:id="rId25">
        <w:r w:rsidR="00670AC0" w:rsidRPr="0046318E">
          <w:rPr>
            <w:rFonts w:ascii="Times New Roman" w:eastAsia="Times New Roman" w:hAnsi="Times New Roman" w:cs="Times New Roman"/>
            <w:sz w:val="24"/>
            <w:szCs w:val="24"/>
          </w:rPr>
          <w:t xml:space="preserve"> </w:t>
        </w:r>
      </w:hyperlink>
      <w:hyperlink r:id="rId26">
        <w:r w:rsidR="00670AC0" w:rsidRPr="0046318E">
          <w:rPr>
            <w:rFonts w:ascii="Times New Roman" w:eastAsia="Times New Roman" w:hAnsi="Times New Roman" w:cs="Times New Roman"/>
            <w:sz w:val="24"/>
            <w:szCs w:val="24"/>
          </w:rPr>
          <w:t>https://www.irwinmitchell.com/personal/wills-trusts-estates/trusts/trustee-duties</w:t>
        </w:r>
      </w:hyperlink>
      <w:r w:rsidRPr="0046318E">
        <w:rPr>
          <w:rFonts w:ascii="Times New Roman" w:eastAsia="Times New Roman" w:hAnsi="Times New Roman" w:cs="Times New Roman"/>
          <w:sz w:val="24"/>
          <w:szCs w:val="24"/>
        </w:rPr>
        <w:t xml:space="preserve"> [Accessed 13 Nov. 2024].</w:t>
      </w:r>
    </w:p>
    <w:p w14:paraId="57B85A3C" w14:textId="421AC388"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Newman, A. (2020). </w:t>
      </w:r>
      <w:r w:rsidRPr="0046318E">
        <w:rPr>
          <w:rFonts w:ascii="Times New Roman" w:eastAsia="Times New Roman" w:hAnsi="Times New Roman" w:cs="Times New Roman"/>
          <w:i/>
          <w:sz w:val="24"/>
          <w:szCs w:val="24"/>
        </w:rPr>
        <w:t>THE INTENTION OF THE SETTLOR UNDER THE UNIFORM TRUST CODE: WHOSE PROPERTY IS IT, ANYWAY?</w:t>
      </w:r>
      <w:r w:rsidRPr="0046318E">
        <w:rPr>
          <w:rFonts w:ascii="Times New Roman" w:eastAsia="Times New Roman" w:hAnsi="Times New Roman" w:cs="Times New Roman"/>
          <w:sz w:val="24"/>
          <w:szCs w:val="24"/>
        </w:rPr>
        <w:t xml:space="preserve"> Available at:</w:t>
      </w:r>
      <w:hyperlink r:id="rId27">
        <w:r w:rsidR="00670AC0" w:rsidRPr="0046318E">
          <w:rPr>
            <w:rFonts w:ascii="Times New Roman" w:eastAsia="Times New Roman" w:hAnsi="Times New Roman" w:cs="Times New Roman"/>
            <w:sz w:val="24"/>
            <w:szCs w:val="24"/>
          </w:rPr>
          <w:t xml:space="preserve"> </w:t>
        </w:r>
      </w:hyperlink>
      <w:hyperlink r:id="rId28">
        <w:r w:rsidR="00670AC0" w:rsidRPr="0046318E">
          <w:rPr>
            <w:rFonts w:ascii="Times New Roman" w:eastAsia="Times New Roman" w:hAnsi="Times New Roman" w:cs="Times New Roman"/>
            <w:sz w:val="24"/>
            <w:szCs w:val="24"/>
          </w:rPr>
          <w:t>https://www.uakron.edu/law/lawreview/volumes/v38/docs/Newman384.pdf</w:t>
        </w:r>
      </w:hyperlink>
      <w:r w:rsidRPr="0046318E">
        <w:rPr>
          <w:rFonts w:ascii="Times New Roman" w:eastAsia="Times New Roman" w:hAnsi="Times New Roman" w:cs="Times New Roman"/>
          <w:sz w:val="24"/>
          <w:szCs w:val="24"/>
        </w:rPr>
        <w:t xml:space="preserve"> [Accessed 13 Nov. 2024].</w:t>
      </w:r>
    </w:p>
    <w:p w14:paraId="57B85A3D" w14:textId="5883A0FA"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Okeke, M., Ifeanyi, Mrs, D., Ojukwu, U. and Nnamani, D. (2021). </w:t>
      </w:r>
      <w:r w:rsidRPr="0046318E">
        <w:rPr>
          <w:rFonts w:ascii="Times New Roman" w:eastAsia="Times New Roman" w:hAnsi="Times New Roman" w:cs="Times New Roman"/>
          <w:i/>
          <w:sz w:val="24"/>
          <w:szCs w:val="24"/>
        </w:rPr>
        <w:t>The Implications of Immunity Clause and the Pollution of Excellency for Democratic Consolidation in Nigeria</w:t>
      </w:r>
      <w:r w:rsidRPr="0046318E">
        <w:rPr>
          <w:rFonts w:ascii="Times New Roman" w:eastAsia="Times New Roman" w:hAnsi="Times New Roman" w:cs="Times New Roman"/>
          <w:sz w:val="24"/>
          <w:szCs w:val="24"/>
        </w:rPr>
        <w:t xml:space="preserve">. </w:t>
      </w:r>
      <w:r w:rsidRPr="0046318E">
        <w:rPr>
          <w:rFonts w:ascii="Times New Roman" w:eastAsia="Times New Roman" w:hAnsi="Times New Roman" w:cs="Times New Roman"/>
          <w:i/>
          <w:sz w:val="24"/>
          <w:szCs w:val="24"/>
        </w:rPr>
        <w:t>International Journal of Academic Management Science Research</w:t>
      </w:r>
      <w:r w:rsidRPr="0046318E">
        <w:rPr>
          <w:rFonts w:ascii="Times New Roman" w:eastAsia="Times New Roman" w:hAnsi="Times New Roman" w:cs="Times New Roman"/>
          <w:sz w:val="24"/>
          <w:szCs w:val="24"/>
        </w:rPr>
        <w:t>. Available at:</w:t>
      </w:r>
      <w:hyperlink r:id="rId29">
        <w:r w:rsidR="00670AC0" w:rsidRPr="0046318E">
          <w:rPr>
            <w:rFonts w:ascii="Times New Roman" w:eastAsia="Times New Roman" w:hAnsi="Times New Roman" w:cs="Times New Roman"/>
            <w:sz w:val="24"/>
            <w:szCs w:val="24"/>
          </w:rPr>
          <w:t xml:space="preserve"> </w:t>
        </w:r>
      </w:hyperlink>
      <w:hyperlink r:id="rId30">
        <w:r w:rsidR="00670AC0" w:rsidRPr="0046318E">
          <w:rPr>
            <w:rFonts w:ascii="Times New Roman" w:eastAsia="Times New Roman" w:hAnsi="Times New Roman" w:cs="Times New Roman"/>
            <w:sz w:val="24"/>
            <w:szCs w:val="24"/>
          </w:rPr>
          <w:t>http://ijeais.org/wp-content/uploads/2019/11/IJAMSR191102.pdf</w:t>
        </w:r>
      </w:hyperlink>
      <w:r w:rsidRPr="0046318E">
        <w:rPr>
          <w:rFonts w:ascii="Times New Roman" w:eastAsia="Times New Roman" w:hAnsi="Times New Roman" w:cs="Times New Roman"/>
          <w:sz w:val="24"/>
          <w:szCs w:val="24"/>
        </w:rPr>
        <w:t xml:space="preserve"> [Accessed 13 Nov. 2024].</w:t>
      </w:r>
    </w:p>
    <w:p w14:paraId="57B85A3E" w14:textId="493E5C9A" w:rsidR="00670AC0" w:rsidRPr="0046318E" w:rsidRDefault="008E6B89">
      <w:pPr>
        <w:spacing w:before="240" w:after="240" w:line="360" w:lineRule="auto"/>
        <w:jc w:val="both"/>
        <w:rPr>
          <w:rFonts w:ascii="Times New Roman" w:eastAsia="Times New Roman" w:hAnsi="Times New Roman" w:cs="Times New Roman"/>
          <w:sz w:val="24"/>
          <w:szCs w:val="24"/>
        </w:rPr>
      </w:pPr>
      <w:r w:rsidRPr="0046318E">
        <w:rPr>
          <w:rFonts w:ascii="Times New Roman" w:eastAsia="Times New Roman" w:hAnsi="Times New Roman" w:cs="Times New Roman"/>
          <w:sz w:val="24"/>
          <w:szCs w:val="24"/>
        </w:rPr>
        <w:t xml:space="preserve">Porter, M. (2022). </w:t>
      </w:r>
      <w:r w:rsidRPr="0046318E">
        <w:rPr>
          <w:rFonts w:ascii="Times New Roman" w:eastAsia="Times New Roman" w:hAnsi="Times New Roman" w:cs="Times New Roman"/>
          <w:i/>
          <w:sz w:val="24"/>
          <w:szCs w:val="24"/>
        </w:rPr>
        <w:t>Trustee Risks &amp; How to Avoid Common Pitfalls</w:t>
      </w:r>
      <w:r w:rsidRPr="0046318E">
        <w:rPr>
          <w:rFonts w:ascii="Times New Roman" w:eastAsia="Times New Roman" w:hAnsi="Times New Roman" w:cs="Times New Roman"/>
          <w:sz w:val="24"/>
          <w:szCs w:val="24"/>
        </w:rPr>
        <w:t>. CunninghamLegal. Available at:</w:t>
      </w:r>
      <w:hyperlink r:id="rId31">
        <w:r w:rsidR="00670AC0" w:rsidRPr="0046318E">
          <w:rPr>
            <w:rFonts w:ascii="Times New Roman" w:eastAsia="Times New Roman" w:hAnsi="Times New Roman" w:cs="Times New Roman"/>
            <w:sz w:val="24"/>
            <w:szCs w:val="24"/>
          </w:rPr>
          <w:t xml:space="preserve"> </w:t>
        </w:r>
      </w:hyperlink>
      <w:hyperlink r:id="rId32">
        <w:r w:rsidR="00670AC0" w:rsidRPr="0046318E">
          <w:rPr>
            <w:rFonts w:ascii="Times New Roman" w:eastAsia="Times New Roman" w:hAnsi="Times New Roman" w:cs="Times New Roman"/>
            <w:sz w:val="24"/>
            <w:szCs w:val="24"/>
          </w:rPr>
          <w:t>https://www.cunninghamlegal.com/trustee-risks/</w:t>
        </w:r>
      </w:hyperlink>
      <w:r w:rsidRPr="0046318E">
        <w:rPr>
          <w:rFonts w:ascii="Times New Roman" w:eastAsia="Times New Roman" w:hAnsi="Times New Roman" w:cs="Times New Roman"/>
          <w:sz w:val="24"/>
          <w:szCs w:val="24"/>
        </w:rPr>
        <w:t xml:space="preserve"> [Accessed 13 Nov. 2024].</w:t>
      </w:r>
    </w:p>
    <w:p w14:paraId="57B85A3F" w14:textId="77777777" w:rsidR="00670AC0" w:rsidRPr="0046318E" w:rsidRDefault="00670AC0">
      <w:pPr>
        <w:spacing w:before="200" w:line="360" w:lineRule="auto"/>
        <w:jc w:val="both"/>
        <w:rPr>
          <w:rFonts w:ascii="Times New Roman" w:eastAsia="Times New Roman" w:hAnsi="Times New Roman" w:cs="Times New Roman"/>
          <w:sz w:val="24"/>
          <w:szCs w:val="24"/>
        </w:rPr>
      </w:pPr>
    </w:p>
    <w:p w14:paraId="57B85A40" w14:textId="77777777" w:rsidR="00670AC0" w:rsidRPr="0046318E" w:rsidRDefault="00670AC0">
      <w:pPr>
        <w:spacing w:before="200" w:line="360" w:lineRule="auto"/>
        <w:jc w:val="both"/>
        <w:rPr>
          <w:rFonts w:ascii="Times New Roman" w:eastAsia="Times New Roman" w:hAnsi="Times New Roman" w:cs="Times New Roman"/>
          <w:sz w:val="24"/>
          <w:szCs w:val="24"/>
        </w:rPr>
      </w:pPr>
    </w:p>
    <w:p w14:paraId="57B85A41" w14:textId="77777777" w:rsidR="00670AC0" w:rsidRPr="0046318E" w:rsidRDefault="00670AC0">
      <w:pPr>
        <w:spacing w:before="200" w:line="360" w:lineRule="auto"/>
        <w:jc w:val="both"/>
        <w:rPr>
          <w:rFonts w:ascii="Times New Roman" w:eastAsia="Times New Roman" w:hAnsi="Times New Roman" w:cs="Times New Roman"/>
          <w:sz w:val="24"/>
          <w:szCs w:val="24"/>
        </w:rPr>
      </w:pPr>
    </w:p>
    <w:sectPr w:rsidR="00670AC0" w:rsidRPr="0046318E" w:rsidSect="0046318E">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85A44" w14:textId="77777777" w:rsidR="008E6B89" w:rsidRDefault="008E6B89">
      <w:pPr>
        <w:spacing w:line="240" w:lineRule="auto"/>
      </w:pPr>
      <w:r>
        <w:separator/>
      </w:r>
    </w:p>
  </w:endnote>
  <w:endnote w:type="continuationSeparator" w:id="0">
    <w:p w14:paraId="57B85A45" w14:textId="77777777" w:rsidR="008E6B89" w:rsidRDefault="008E6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85A46" w14:textId="77777777" w:rsidR="00670AC0" w:rsidRDefault="008E6B89">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46318E">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85A42" w14:textId="77777777" w:rsidR="008E6B89" w:rsidRDefault="008E6B89">
      <w:pPr>
        <w:spacing w:line="240" w:lineRule="auto"/>
      </w:pPr>
      <w:r>
        <w:separator/>
      </w:r>
    </w:p>
  </w:footnote>
  <w:footnote w:type="continuationSeparator" w:id="0">
    <w:p w14:paraId="57B85A43" w14:textId="77777777" w:rsidR="008E6B89" w:rsidRDefault="008E6B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62396"/>
    <w:multiLevelType w:val="hybridMultilevel"/>
    <w:tmpl w:val="2C401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D11A9"/>
    <w:multiLevelType w:val="multilevel"/>
    <w:tmpl w:val="8C423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4B3BE5"/>
    <w:multiLevelType w:val="multilevel"/>
    <w:tmpl w:val="E30E2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537F42"/>
    <w:multiLevelType w:val="multilevel"/>
    <w:tmpl w:val="AF468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481305"/>
    <w:multiLevelType w:val="multilevel"/>
    <w:tmpl w:val="96361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1A7CA4"/>
    <w:multiLevelType w:val="hybridMultilevel"/>
    <w:tmpl w:val="6DB41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856C0A"/>
    <w:multiLevelType w:val="multilevel"/>
    <w:tmpl w:val="0C883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0494986">
    <w:abstractNumId w:val="6"/>
  </w:num>
  <w:num w:numId="2" w16cid:durableId="344675347">
    <w:abstractNumId w:val="2"/>
  </w:num>
  <w:num w:numId="3" w16cid:durableId="956638607">
    <w:abstractNumId w:val="4"/>
  </w:num>
  <w:num w:numId="4" w16cid:durableId="1726101402">
    <w:abstractNumId w:val="1"/>
  </w:num>
  <w:num w:numId="5" w16cid:durableId="781605321">
    <w:abstractNumId w:val="3"/>
  </w:num>
  <w:num w:numId="6" w16cid:durableId="632835067">
    <w:abstractNumId w:val="0"/>
  </w:num>
  <w:num w:numId="7" w16cid:durableId="1494881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AC0"/>
    <w:rsid w:val="00051BC5"/>
    <w:rsid w:val="000B6FA8"/>
    <w:rsid w:val="001A3541"/>
    <w:rsid w:val="001F0C39"/>
    <w:rsid w:val="0028371F"/>
    <w:rsid w:val="002E10C9"/>
    <w:rsid w:val="003312FD"/>
    <w:rsid w:val="003C0225"/>
    <w:rsid w:val="00406B10"/>
    <w:rsid w:val="0046318E"/>
    <w:rsid w:val="004D0B49"/>
    <w:rsid w:val="004E1E8C"/>
    <w:rsid w:val="00513B7B"/>
    <w:rsid w:val="005820B6"/>
    <w:rsid w:val="005954D4"/>
    <w:rsid w:val="00613849"/>
    <w:rsid w:val="00670AC0"/>
    <w:rsid w:val="006D7FE6"/>
    <w:rsid w:val="006E014F"/>
    <w:rsid w:val="0070309F"/>
    <w:rsid w:val="007714D4"/>
    <w:rsid w:val="008E6B89"/>
    <w:rsid w:val="00A13F95"/>
    <w:rsid w:val="00AB1DD3"/>
    <w:rsid w:val="00AC6C88"/>
    <w:rsid w:val="00B5324C"/>
    <w:rsid w:val="00B55D00"/>
    <w:rsid w:val="00BA77B9"/>
    <w:rsid w:val="00BC6B8D"/>
    <w:rsid w:val="00CC7B56"/>
    <w:rsid w:val="00D725E9"/>
    <w:rsid w:val="00D86AC1"/>
    <w:rsid w:val="00E01E32"/>
    <w:rsid w:val="00E02D12"/>
    <w:rsid w:val="00EC6C86"/>
    <w:rsid w:val="00F115A6"/>
    <w:rsid w:val="00FB23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859F2"/>
  <w15:docId w15:val="{7C757F6D-F8D8-4AAF-ACD7-95E50D8E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46318E"/>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6318E"/>
    <w:pPr>
      <w:spacing w:after="100"/>
    </w:pPr>
  </w:style>
  <w:style w:type="character" w:styleId="Hyperlink">
    <w:name w:val="Hyperlink"/>
    <w:basedOn w:val="DefaultParagraphFont"/>
    <w:uiPriority w:val="99"/>
    <w:unhideWhenUsed/>
    <w:rsid w:val="0046318E"/>
    <w:rPr>
      <w:color w:val="0000FF" w:themeColor="hyperlink"/>
      <w:u w:val="single"/>
    </w:rPr>
  </w:style>
  <w:style w:type="character" w:styleId="UnresolvedMention">
    <w:name w:val="Unresolved Mention"/>
    <w:basedOn w:val="DefaultParagraphFont"/>
    <w:uiPriority w:val="99"/>
    <w:semiHidden/>
    <w:unhideWhenUsed/>
    <w:rsid w:val="00E02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riaabarkergillette.com/uk/what-is-the-reasonableness-test/" TargetMode="External"/><Relationship Id="rId18" Type="http://schemas.openxmlformats.org/officeDocument/2006/relationships/hyperlink" Target="https://na.eventscloud.com/file_uploads/d045f6c93b6fb6c060129bb04324bee0_1ADicconLoxtonNuncioDAngelopaper.pdf" TargetMode="External"/><Relationship Id="rId26" Type="http://schemas.openxmlformats.org/officeDocument/2006/relationships/hyperlink" Target="https://www.irwinmitchell.com/personal/wills-trusts-estates/trusts/trustee-duties" TargetMode="External"/><Relationship Id="rId3" Type="http://schemas.openxmlformats.org/officeDocument/2006/relationships/styles" Target="styles.xml"/><Relationship Id="rId21" Type="http://schemas.openxmlformats.org/officeDocument/2006/relationships/hyperlink" Target="https://trustandwill.com/learn/trustee-definition?srsltid=AfmBOor4JsIDuczkRvjoljQOHw33J1OiizERNNx9AJfC1war5AaCK_BB"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iaabarkergillette.com/uk/what-is-the-reasonableness-test/" TargetMode="External"/><Relationship Id="rId17" Type="http://schemas.openxmlformats.org/officeDocument/2006/relationships/hyperlink" Target="http://www.bailii.org/uk/cases/UKHL/1883/1.html" TargetMode="External"/><Relationship Id="rId25" Type="http://schemas.openxmlformats.org/officeDocument/2006/relationships/hyperlink" Target="https://www.irwinmitchell.com/personal/wills-trusts-estates/trusts/trustee-dutie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ailii.org/uk/cases/UKHL/1883/1.html" TargetMode="External"/><Relationship Id="rId20" Type="http://schemas.openxmlformats.org/officeDocument/2006/relationships/hyperlink" Target="https://trustandwill.com/learn/trustee-definition?srsltid=AfmBOor4JsIDuczkRvjoljQOHw33J1OiizERNNx9AJfC1war5AaCK_BB" TargetMode="External"/><Relationship Id="rId29" Type="http://schemas.openxmlformats.org/officeDocument/2006/relationships/hyperlink" Target="http://ijeais.org/wp-content/uploads/2019/11/IJAMSR19110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ilium-ifa.co.uk/trustee-act-2000/" TargetMode="External"/><Relationship Id="rId24" Type="http://schemas.openxmlformats.org/officeDocument/2006/relationships/hyperlink" Target="https://medium.com/@danielmartincouncillor/balancing-the-interests-of-different-stakeholders-as-a-councillor-1609f9826668" TargetMode="External"/><Relationship Id="rId32" Type="http://schemas.openxmlformats.org/officeDocument/2006/relationships/hyperlink" Target="https://www.cunninghamlegal.com/trustee-risks/" TargetMode="External"/><Relationship Id="rId5" Type="http://schemas.openxmlformats.org/officeDocument/2006/relationships/webSettings" Target="webSettings.xml"/><Relationship Id="rId15" Type="http://schemas.openxmlformats.org/officeDocument/2006/relationships/hyperlink" Target="https://www.charlesrussellspeechlys.com/en/insights/expert-insights/private-client/2023/guiding-trustees-protecting-trustees-from-loss-and-liability/" TargetMode="External"/><Relationship Id="rId23" Type="http://schemas.openxmlformats.org/officeDocument/2006/relationships/hyperlink" Target="https://medium.com/@danielmartincouncillor/balancing-the-interests-of-different-stakeholders-as-a-councillor-1609f9826668" TargetMode="External"/><Relationship Id="rId28" Type="http://schemas.openxmlformats.org/officeDocument/2006/relationships/hyperlink" Target="https://www.uakron.edu/law/lawreview/volumes/v38/docs/Newman384.pdf" TargetMode="External"/><Relationship Id="rId10" Type="http://schemas.openxmlformats.org/officeDocument/2006/relationships/hyperlink" Target="https://consilium-ifa.co.uk/trustee-act-2000/" TargetMode="External"/><Relationship Id="rId19" Type="http://schemas.openxmlformats.org/officeDocument/2006/relationships/hyperlink" Target="https://na.eventscloud.com/file_uploads/d045f6c93b6fb6c060129bb04324bee0_1ADicconLoxtonNuncioDAngelopaper.pdf" TargetMode="External"/><Relationship Id="rId31" Type="http://schemas.openxmlformats.org/officeDocument/2006/relationships/hyperlink" Target="https://www.cunninghamlegal.com/trustee-risks/" TargetMode="External"/><Relationship Id="rId4" Type="http://schemas.openxmlformats.org/officeDocument/2006/relationships/settings" Target="settings.xml"/><Relationship Id="rId9" Type="http://schemas.openxmlformats.org/officeDocument/2006/relationships/hyperlink" Target="https://auroratrainingadvantage.com/articles/balancing-stakeholder-interests/" TargetMode="External"/><Relationship Id="rId14" Type="http://schemas.openxmlformats.org/officeDocument/2006/relationships/hyperlink" Target="https://www.charlesrussellspeechlys.com/en/insights/expert-insights/private-client/2023/guiding-trustees-protecting-trustees-from-loss-and-liability/" TargetMode="External"/><Relationship Id="rId22" Type="http://schemas.openxmlformats.org/officeDocument/2006/relationships/hyperlink" Target="https://doi.org/10.5772/intechopen.115280" TargetMode="External"/><Relationship Id="rId27" Type="http://schemas.openxmlformats.org/officeDocument/2006/relationships/hyperlink" Target="https://www.uakron.edu/law/lawreview/volumes/v38/docs/Newman384.pdf" TargetMode="External"/><Relationship Id="rId30" Type="http://schemas.openxmlformats.org/officeDocument/2006/relationships/hyperlink" Target="http://ijeais.org/wp-content/uploads/2019/11/IJAMSR191102.pdf" TargetMode="External"/><Relationship Id="rId35" Type="http://schemas.openxmlformats.org/officeDocument/2006/relationships/theme" Target="theme/theme1.xml"/><Relationship Id="rId8" Type="http://schemas.openxmlformats.org/officeDocument/2006/relationships/hyperlink" Target="https://auroratrainingadvantage.com/articles/balancing-stakeholder-inter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AC489-AB3B-43C2-8ED8-94BB8E33C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3061</Words>
  <Characters>17452</Characters>
  <Application>Microsoft Office Word</Application>
  <DocSecurity>0</DocSecurity>
  <Lines>145</Lines>
  <Paragraphs>40</Paragraphs>
  <ScaleCrop>false</ScaleCrop>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Maciejewska</dc:creator>
  <cp:lastModifiedBy>Sylwia Maciejewska</cp:lastModifiedBy>
  <cp:revision>31</cp:revision>
  <dcterms:created xsi:type="dcterms:W3CDTF">2024-11-15T08:59:00Z</dcterms:created>
  <dcterms:modified xsi:type="dcterms:W3CDTF">2024-11-15T10:01:00Z</dcterms:modified>
</cp:coreProperties>
</file>