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1188" w:type="dxa"/>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70"/>
        <w:gridCol w:w="7218"/>
      </w:tblGrid>
      <w:tr w:rsidR="008F611C" w14:paraId="1D1CFE74" w14:textId="77777777" w:rsidTr="00E815CC">
        <w:tblPrEx>
          <w:tblCellMar>
            <w:top w:w="0" w:type="dxa"/>
            <w:bottom w:w="0" w:type="dxa"/>
          </w:tblCellMar>
        </w:tblPrEx>
        <w:trPr>
          <w:trHeight w:val="714"/>
        </w:trPr>
        <w:tc>
          <w:tcPr>
            <w:tcW w:w="3970" w:type="dxa"/>
            <w:tcBorders>
              <w:top w:val="single" w:sz="4" w:space="0" w:color="808080" w:themeColor="background1" w:themeShade="80"/>
            </w:tcBorders>
            <w:shd w:val="clear" w:color="auto" w:fill="BFBFBF" w:themeFill="background1" w:themeFillShade="BF"/>
          </w:tcPr>
          <w:p w14:paraId="6F5F5A39" w14:textId="77777777" w:rsidR="008F611C" w:rsidRDefault="008F611C" w:rsidP="00E815CC">
            <w:pPr>
              <w:rPr>
                <w:b/>
                <w:bCs/>
                <w:sz w:val="48"/>
                <w:szCs w:val="48"/>
              </w:rPr>
            </w:pPr>
            <w:r>
              <w:rPr>
                <w:b/>
                <w:bCs/>
                <w:sz w:val="48"/>
                <w:szCs w:val="48"/>
              </w:rPr>
              <w:t>Student name</w:t>
            </w:r>
          </w:p>
        </w:tc>
        <w:tc>
          <w:tcPr>
            <w:tcW w:w="7218" w:type="dxa"/>
          </w:tcPr>
          <w:p w14:paraId="38151D97" w14:textId="77777777" w:rsidR="008F611C" w:rsidRDefault="008F611C" w:rsidP="00E815CC">
            <w:pPr>
              <w:rPr>
                <w:b/>
                <w:bCs/>
                <w:sz w:val="48"/>
                <w:szCs w:val="48"/>
              </w:rPr>
            </w:pPr>
            <w:r w:rsidRPr="002D402B">
              <w:rPr>
                <w:b/>
                <w:bCs/>
                <w:sz w:val="48"/>
                <w:szCs w:val="48"/>
              </w:rPr>
              <w:t>kate igbinigie</w:t>
            </w:r>
          </w:p>
        </w:tc>
      </w:tr>
      <w:tr w:rsidR="008F611C" w14:paraId="0F796FF6" w14:textId="77777777" w:rsidTr="00E815CC">
        <w:tblPrEx>
          <w:tblCellMar>
            <w:top w:w="0" w:type="dxa"/>
            <w:bottom w:w="0" w:type="dxa"/>
          </w:tblCellMar>
        </w:tblPrEx>
        <w:trPr>
          <w:trHeight w:val="1169"/>
        </w:trPr>
        <w:tc>
          <w:tcPr>
            <w:tcW w:w="3970" w:type="dxa"/>
            <w:shd w:val="clear" w:color="auto" w:fill="BFBFBF" w:themeFill="background1" w:themeFillShade="BF"/>
          </w:tcPr>
          <w:p w14:paraId="7C5A5E63" w14:textId="77777777" w:rsidR="008F611C" w:rsidRDefault="008F611C" w:rsidP="00E815CC">
            <w:pPr>
              <w:rPr>
                <w:b/>
                <w:bCs/>
                <w:sz w:val="48"/>
                <w:szCs w:val="48"/>
              </w:rPr>
            </w:pPr>
            <w:r>
              <w:rPr>
                <w:b/>
                <w:bCs/>
                <w:sz w:val="48"/>
                <w:szCs w:val="48"/>
              </w:rPr>
              <w:t>Student number</w:t>
            </w:r>
          </w:p>
        </w:tc>
        <w:tc>
          <w:tcPr>
            <w:tcW w:w="7218" w:type="dxa"/>
          </w:tcPr>
          <w:p w14:paraId="31E3E949" w14:textId="77777777" w:rsidR="008F611C" w:rsidRDefault="008F611C" w:rsidP="00E815CC">
            <w:pPr>
              <w:rPr>
                <w:b/>
                <w:bCs/>
                <w:sz w:val="48"/>
                <w:szCs w:val="48"/>
              </w:rPr>
            </w:pPr>
            <w:r>
              <w:rPr>
                <w:b/>
                <w:bCs/>
                <w:sz w:val="48"/>
                <w:szCs w:val="48"/>
              </w:rPr>
              <w:t>2334466</w:t>
            </w:r>
          </w:p>
        </w:tc>
      </w:tr>
    </w:tbl>
    <w:tbl>
      <w:tblPr>
        <w:tblW w:w="11199" w:type="dxa"/>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63"/>
        <w:gridCol w:w="5585"/>
        <w:gridCol w:w="2551"/>
      </w:tblGrid>
      <w:tr w:rsidR="008F611C" w:rsidRPr="002D402B" w14:paraId="35C2CA05" w14:textId="77777777" w:rsidTr="00E815CC">
        <w:trPr>
          <w:trHeight w:val="983"/>
        </w:trPr>
        <w:tc>
          <w:tcPr>
            <w:tcW w:w="306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0C8ED0F" w14:textId="77777777" w:rsidR="008F611C" w:rsidRPr="002D402B" w:rsidRDefault="008F611C" w:rsidP="00E815CC">
            <w:pPr>
              <w:rPr>
                <w:b/>
                <w:bCs/>
                <w:sz w:val="48"/>
                <w:szCs w:val="48"/>
              </w:rPr>
            </w:pPr>
            <w:r w:rsidRPr="002D402B">
              <w:rPr>
                <w:b/>
                <w:bCs/>
                <w:sz w:val="48"/>
                <w:szCs w:val="48"/>
              </w:rPr>
              <w:t>Programme:</w:t>
            </w:r>
          </w:p>
        </w:tc>
        <w:tc>
          <w:tcPr>
            <w:tcW w:w="8136" w:type="dxa"/>
            <w:gridSpan w:val="2"/>
            <w:tcBorders>
              <w:top w:val="single" w:sz="4" w:space="0" w:color="auto"/>
              <w:left w:val="single" w:sz="4" w:space="0" w:color="auto"/>
              <w:bottom w:val="single" w:sz="4" w:space="0" w:color="auto"/>
              <w:right w:val="single" w:sz="4" w:space="0" w:color="auto"/>
            </w:tcBorders>
            <w:hideMark/>
          </w:tcPr>
          <w:p w14:paraId="773B373B" w14:textId="77777777" w:rsidR="008F611C" w:rsidRPr="002D402B" w:rsidRDefault="008F611C" w:rsidP="00E815CC">
            <w:pPr>
              <w:rPr>
                <w:b/>
                <w:bCs/>
                <w:sz w:val="48"/>
                <w:szCs w:val="48"/>
              </w:rPr>
            </w:pPr>
            <w:r w:rsidRPr="002D402B">
              <w:rPr>
                <w:b/>
                <w:bCs/>
                <w:sz w:val="48"/>
                <w:szCs w:val="48"/>
              </w:rPr>
              <w:t>BSc Health and Social Care</w:t>
            </w:r>
          </w:p>
        </w:tc>
      </w:tr>
      <w:tr w:rsidR="008F611C" w:rsidRPr="002D402B" w14:paraId="5C9BA977" w14:textId="77777777" w:rsidTr="00E815CC">
        <w:tc>
          <w:tcPr>
            <w:tcW w:w="306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CCCF7C3" w14:textId="77777777" w:rsidR="008F611C" w:rsidRPr="002D402B" w:rsidRDefault="008F611C" w:rsidP="00E815CC">
            <w:pPr>
              <w:rPr>
                <w:b/>
                <w:bCs/>
                <w:sz w:val="48"/>
                <w:szCs w:val="48"/>
              </w:rPr>
            </w:pPr>
            <w:r w:rsidRPr="002D402B">
              <w:rPr>
                <w:b/>
                <w:bCs/>
                <w:sz w:val="48"/>
                <w:szCs w:val="48"/>
              </w:rPr>
              <w:t>Module:</w:t>
            </w:r>
          </w:p>
        </w:tc>
        <w:tc>
          <w:tcPr>
            <w:tcW w:w="8136" w:type="dxa"/>
            <w:gridSpan w:val="2"/>
            <w:tcBorders>
              <w:top w:val="single" w:sz="4" w:space="0" w:color="auto"/>
              <w:left w:val="single" w:sz="4" w:space="0" w:color="auto"/>
              <w:bottom w:val="single" w:sz="4" w:space="0" w:color="auto"/>
              <w:right w:val="single" w:sz="4" w:space="0" w:color="auto"/>
            </w:tcBorders>
            <w:hideMark/>
          </w:tcPr>
          <w:p w14:paraId="2E49B46E" w14:textId="77777777" w:rsidR="008F611C" w:rsidRPr="002D402B" w:rsidRDefault="008F611C" w:rsidP="00E815CC">
            <w:pPr>
              <w:rPr>
                <w:b/>
                <w:bCs/>
                <w:sz w:val="48"/>
                <w:szCs w:val="48"/>
              </w:rPr>
            </w:pPr>
            <w:r w:rsidRPr="002D402B">
              <w:rPr>
                <w:b/>
                <w:bCs/>
                <w:sz w:val="48"/>
                <w:szCs w:val="48"/>
              </w:rPr>
              <w:t>Principles of Health and Social Care Practice</w:t>
            </w:r>
          </w:p>
        </w:tc>
      </w:tr>
      <w:tr w:rsidR="008F611C" w:rsidRPr="002D402B" w14:paraId="3F5AB867" w14:textId="77777777" w:rsidTr="00E815CC">
        <w:trPr>
          <w:gridAfter w:val="1"/>
          <w:wAfter w:w="2551" w:type="dxa"/>
        </w:trPr>
        <w:tc>
          <w:tcPr>
            <w:tcW w:w="306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AC11B56" w14:textId="77777777" w:rsidR="008F611C" w:rsidRPr="002D402B" w:rsidRDefault="008F611C" w:rsidP="00E815CC">
            <w:pPr>
              <w:rPr>
                <w:b/>
                <w:bCs/>
                <w:sz w:val="48"/>
                <w:szCs w:val="48"/>
              </w:rPr>
            </w:pPr>
            <w:r w:rsidRPr="002D402B">
              <w:rPr>
                <w:b/>
                <w:bCs/>
                <w:sz w:val="48"/>
                <w:szCs w:val="48"/>
              </w:rPr>
              <w:t>Module code:</w:t>
            </w:r>
          </w:p>
        </w:tc>
        <w:tc>
          <w:tcPr>
            <w:tcW w:w="5585" w:type="dxa"/>
            <w:tcBorders>
              <w:top w:val="single" w:sz="4" w:space="0" w:color="auto"/>
              <w:left w:val="single" w:sz="4" w:space="0" w:color="auto"/>
              <w:bottom w:val="single" w:sz="4" w:space="0" w:color="auto"/>
              <w:right w:val="single" w:sz="4" w:space="0" w:color="auto"/>
            </w:tcBorders>
            <w:hideMark/>
          </w:tcPr>
          <w:p w14:paraId="3D429BAB" w14:textId="77777777" w:rsidR="008F611C" w:rsidRPr="002D402B" w:rsidRDefault="008F611C" w:rsidP="00E815CC">
            <w:pPr>
              <w:rPr>
                <w:b/>
                <w:bCs/>
                <w:sz w:val="48"/>
                <w:szCs w:val="48"/>
              </w:rPr>
            </w:pPr>
            <w:r w:rsidRPr="002D402B">
              <w:rPr>
                <w:b/>
                <w:bCs/>
                <w:sz w:val="48"/>
                <w:szCs w:val="48"/>
              </w:rPr>
              <w:t>BMHP5016</w:t>
            </w:r>
          </w:p>
        </w:tc>
      </w:tr>
    </w:tbl>
    <w:p w14:paraId="3DDC2733" w14:textId="24945BCB" w:rsidR="00460B5A" w:rsidRPr="00BC15A4" w:rsidRDefault="00460B5A" w:rsidP="00460B5A">
      <w:pPr>
        <w:rPr>
          <w:rFonts w:cs="Aharoni"/>
          <w:b/>
          <w:bCs/>
          <w:u w:val="single"/>
        </w:rPr>
      </w:pPr>
      <w:r w:rsidRPr="009562D3">
        <w:rPr>
          <w:rFonts w:asciiTheme="minorBidi" w:hAnsiTheme="minorBidi"/>
          <w:b/>
          <w:bCs/>
          <w:sz w:val="23"/>
          <w:szCs w:val="23"/>
        </w:rPr>
        <w:t xml:space="preserve"> </w:t>
      </w:r>
    </w:p>
    <w:p w14:paraId="51336CFC" w14:textId="77777777" w:rsidR="008F611C" w:rsidRDefault="008F611C" w:rsidP="00460B5A">
      <w:pPr>
        <w:spacing w:line="360" w:lineRule="auto"/>
        <w:rPr>
          <w:rFonts w:ascii="Arial" w:hAnsi="Arial" w:cs="Arial"/>
          <w:b/>
          <w:bCs/>
          <w:sz w:val="52"/>
          <w:szCs w:val="52"/>
          <w:u w:val="single"/>
        </w:rPr>
      </w:pPr>
    </w:p>
    <w:p w14:paraId="4DDCA622" w14:textId="77777777" w:rsidR="008F611C" w:rsidRDefault="008F611C" w:rsidP="00460B5A">
      <w:pPr>
        <w:spacing w:line="360" w:lineRule="auto"/>
        <w:rPr>
          <w:rFonts w:ascii="Arial" w:hAnsi="Arial" w:cs="Arial"/>
          <w:b/>
          <w:bCs/>
          <w:sz w:val="52"/>
          <w:szCs w:val="52"/>
          <w:u w:val="single"/>
        </w:rPr>
      </w:pPr>
    </w:p>
    <w:p w14:paraId="7F0655D0" w14:textId="77777777" w:rsidR="008F611C" w:rsidRDefault="008F611C" w:rsidP="00460B5A">
      <w:pPr>
        <w:spacing w:line="360" w:lineRule="auto"/>
        <w:rPr>
          <w:rFonts w:ascii="Arial" w:hAnsi="Arial" w:cs="Arial"/>
          <w:b/>
          <w:bCs/>
          <w:sz w:val="52"/>
          <w:szCs w:val="52"/>
          <w:u w:val="single"/>
        </w:rPr>
      </w:pPr>
    </w:p>
    <w:p w14:paraId="5A5D6374" w14:textId="77777777" w:rsidR="008F611C" w:rsidRDefault="008F611C" w:rsidP="00460B5A">
      <w:pPr>
        <w:spacing w:line="360" w:lineRule="auto"/>
        <w:rPr>
          <w:rFonts w:ascii="Arial" w:hAnsi="Arial" w:cs="Arial"/>
          <w:b/>
          <w:bCs/>
          <w:sz w:val="52"/>
          <w:szCs w:val="52"/>
          <w:u w:val="single"/>
        </w:rPr>
      </w:pPr>
    </w:p>
    <w:p w14:paraId="338D820A" w14:textId="77777777" w:rsidR="008F611C" w:rsidRDefault="008F611C" w:rsidP="00460B5A">
      <w:pPr>
        <w:spacing w:line="360" w:lineRule="auto"/>
        <w:rPr>
          <w:rFonts w:ascii="Arial" w:hAnsi="Arial" w:cs="Arial"/>
          <w:b/>
          <w:bCs/>
          <w:sz w:val="52"/>
          <w:szCs w:val="52"/>
          <w:u w:val="single"/>
        </w:rPr>
      </w:pPr>
    </w:p>
    <w:p w14:paraId="7F6A141A" w14:textId="77777777" w:rsidR="008F611C" w:rsidRDefault="008F611C" w:rsidP="00460B5A">
      <w:pPr>
        <w:spacing w:line="360" w:lineRule="auto"/>
        <w:rPr>
          <w:rFonts w:ascii="Arial" w:hAnsi="Arial" w:cs="Arial"/>
          <w:b/>
          <w:bCs/>
          <w:sz w:val="52"/>
          <w:szCs w:val="52"/>
          <w:u w:val="single"/>
        </w:rPr>
      </w:pPr>
    </w:p>
    <w:p w14:paraId="3A31ED05" w14:textId="77777777" w:rsidR="008F611C" w:rsidRDefault="008F611C" w:rsidP="00460B5A">
      <w:pPr>
        <w:spacing w:line="360" w:lineRule="auto"/>
        <w:rPr>
          <w:rFonts w:ascii="Arial" w:hAnsi="Arial" w:cs="Arial"/>
          <w:b/>
          <w:bCs/>
          <w:sz w:val="52"/>
          <w:szCs w:val="52"/>
          <w:u w:val="single"/>
        </w:rPr>
      </w:pPr>
    </w:p>
    <w:p w14:paraId="41D8AAA4" w14:textId="285EA7CB" w:rsidR="00460B5A" w:rsidRPr="00BC15A4" w:rsidRDefault="00460B5A" w:rsidP="00460B5A">
      <w:pPr>
        <w:spacing w:line="360" w:lineRule="auto"/>
        <w:rPr>
          <w:rFonts w:ascii="Arial" w:hAnsi="Arial" w:cs="Arial"/>
          <w:b/>
          <w:bCs/>
          <w:sz w:val="52"/>
          <w:szCs w:val="52"/>
          <w:u w:val="single"/>
        </w:rPr>
      </w:pPr>
      <w:r w:rsidRPr="00BC15A4">
        <w:rPr>
          <w:rFonts w:ascii="Arial" w:hAnsi="Arial" w:cs="Arial"/>
          <w:b/>
          <w:bCs/>
          <w:sz w:val="52"/>
          <w:szCs w:val="52"/>
          <w:u w:val="single"/>
        </w:rPr>
        <w:lastRenderedPageBreak/>
        <w:t xml:space="preserve">  Task 1: Reflection on the Importance of Principles of Health and Social Care</w:t>
      </w:r>
    </w:p>
    <w:p w14:paraId="30172A9F" w14:textId="77777777" w:rsidR="00460B5A" w:rsidRPr="008937AB" w:rsidRDefault="00460B5A" w:rsidP="00460B5A">
      <w:pPr>
        <w:rPr>
          <w:rFonts w:cs="Aharoni"/>
          <w:b/>
          <w:bCs/>
          <w:u w:val="single"/>
        </w:rPr>
      </w:pPr>
    </w:p>
    <w:p w14:paraId="03CAF5D3" w14:textId="77777777" w:rsidR="00460B5A" w:rsidRPr="00975856" w:rsidRDefault="00460B5A" w:rsidP="00460B5A">
      <w:r w:rsidRPr="00975856">
        <w:t xml:space="preserve">In health and social care, the way we treat people matters just as much as the treatment itself. Principles like </w:t>
      </w:r>
      <w:r w:rsidRPr="00203588">
        <w:t>person centred</w:t>
      </w:r>
      <w:r w:rsidRPr="00975856">
        <w:t xml:space="preserve"> care, partnership working, and ethics play a major role in making sure people receive care that is respectful, safe, and tailored to their needs. These values do not just exist on </w:t>
      </w:r>
      <w:r w:rsidRPr="00203588">
        <w:t>paper they</w:t>
      </w:r>
      <w:r w:rsidRPr="00975856">
        <w:t xml:space="preserve"> shape how professionals work every day to improve the lives of those they support.</w:t>
      </w:r>
    </w:p>
    <w:p w14:paraId="1C454DE3" w14:textId="339DF83D" w:rsidR="00460B5A" w:rsidRPr="00975856" w:rsidRDefault="00460B5A" w:rsidP="00460B5A">
      <w:r w:rsidRPr="00203588">
        <w:t>Person centred</w:t>
      </w:r>
      <w:r w:rsidRPr="00975856">
        <w:t xml:space="preserve"> care is </w:t>
      </w:r>
      <w:r w:rsidRPr="00203588">
        <w:t>the</w:t>
      </w:r>
      <w:r w:rsidRPr="00975856">
        <w:t xml:space="preserve"> most important of all. It means putting the person at the heart of everything, listening to what matters to them and involving them in their own care decisions. This idea comes from Carl Rogers’ humanistic theory, which teaches that people are the experts in their own lives and thrive when they are respected and empowered (Rogers, 1951). In practice, this could be something as simple as asking someone what time </w:t>
      </w:r>
      <w:r w:rsidR="00832749" w:rsidRPr="00975856">
        <w:t>they would</w:t>
      </w:r>
      <w:r w:rsidRPr="00975856">
        <w:t xml:space="preserve"> like their meals or involving them in planning their treatment. In the UK, this approach is supported by the Care Act 2014, which gives people the legal right to have a say in their care and support plans (Care Act 2014).</w:t>
      </w:r>
    </w:p>
    <w:p w14:paraId="29C9B3B7" w14:textId="77777777" w:rsidR="00460B5A" w:rsidRPr="00975856" w:rsidRDefault="00460B5A" w:rsidP="00460B5A">
      <w:r w:rsidRPr="00975856">
        <w:t xml:space="preserve">Partnership working is another key principle. No one professional or service can meet </w:t>
      </w:r>
      <w:r w:rsidRPr="00203588">
        <w:t>all</w:t>
      </w:r>
      <w:r w:rsidRPr="00975856">
        <w:t xml:space="preserve"> a person’s needs. </w:t>
      </w:r>
      <w:r w:rsidRPr="00203588">
        <w:t>Collaborating with</w:t>
      </w:r>
      <w:r w:rsidRPr="00975856">
        <w:t xml:space="preserve"> other </w:t>
      </w:r>
      <w:r w:rsidRPr="00203588">
        <w:t>professionals like</w:t>
      </w:r>
      <w:r w:rsidRPr="00975856">
        <w:t xml:space="preserve"> nurses, social workers, and mental health </w:t>
      </w:r>
      <w:r w:rsidRPr="00203588">
        <w:t>teams as</w:t>
      </w:r>
      <w:r w:rsidRPr="00975856">
        <w:t xml:space="preserve"> well as involving the person’s family, can really improve outcomes. Bronfenbrenner’s ecological systems theory shows that people are affected by different layers of their environment, so it makes sense that </w:t>
      </w:r>
      <w:r w:rsidRPr="00203588">
        <w:t>joined up</w:t>
      </w:r>
      <w:r w:rsidRPr="00975856">
        <w:t xml:space="preserve"> care works best (Bronfenbrenner, 1979). For example, when a social worker and GP work together to support an older person living alone, that person is more likely to get the help they need before things get worse. In the UK, Integrated Care Systems (ICS) are now being used to promote this kind of teamwork (DHSC, 2021).</w:t>
      </w:r>
    </w:p>
    <w:p w14:paraId="3A003A70" w14:textId="5C4938C7" w:rsidR="00460B5A" w:rsidRPr="00975856" w:rsidRDefault="00460B5A" w:rsidP="00460B5A">
      <w:r w:rsidRPr="00975856">
        <w:t xml:space="preserve">Finally, ethics are crucial in guiding professionals to do the right thing, especially in complex or sensitive situations. The four main principles of </w:t>
      </w:r>
      <w:r w:rsidRPr="00203588">
        <w:t>ethics autonomy</w:t>
      </w:r>
      <w:r w:rsidRPr="00975856">
        <w:t xml:space="preserve">, beneficence, nonmaleficence, and </w:t>
      </w:r>
      <w:r w:rsidRPr="00203588">
        <w:t>justice help</w:t>
      </w:r>
      <w:r w:rsidRPr="00975856">
        <w:t xml:space="preserve"> us make decisions that are fair and respectful (Beauchamp and Childress, 2019). For instance, supporting </w:t>
      </w:r>
      <w:r w:rsidR="00832749" w:rsidRPr="00975856">
        <w:t>someone is</w:t>
      </w:r>
      <w:r w:rsidRPr="00975856">
        <w:t xml:space="preserve"> right to refuse treatment, even if </w:t>
      </w:r>
      <w:r w:rsidR="00832749" w:rsidRPr="00975856">
        <w:t>it is</w:t>
      </w:r>
      <w:r w:rsidRPr="00975856">
        <w:t xml:space="preserve"> not what </w:t>
      </w:r>
      <w:r w:rsidR="00832749" w:rsidRPr="00975856">
        <w:t>we would</w:t>
      </w:r>
      <w:r w:rsidRPr="00975856">
        <w:t xml:space="preserve"> choose for them, can be difficult but necessary. Ethical codes from organisations like the HCPC and NMC help professionals act with honesty, integrity, and accountability (HCPC, 2023).</w:t>
      </w:r>
    </w:p>
    <w:p w14:paraId="35CEB50D" w14:textId="2F5DA7D7" w:rsidR="00460B5A" w:rsidRPr="00203588" w:rsidRDefault="00460B5A" w:rsidP="00460B5A">
      <w:r w:rsidRPr="00975856">
        <w:t xml:space="preserve">Altogether, these principles work </w:t>
      </w:r>
      <w:r w:rsidRPr="00203588">
        <w:t xml:space="preserve">together </w:t>
      </w:r>
      <w:r w:rsidRPr="00975856">
        <w:t xml:space="preserve">to improve the quality of care. </w:t>
      </w:r>
      <w:r w:rsidRPr="00203588">
        <w:t>Person centred</w:t>
      </w:r>
      <w:r w:rsidRPr="00975856">
        <w:t xml:space="preserve"> care ensures that people feel heard and valued. Partnership working makes services more </w:t>
      </w:r>
      <w:r w:rsidRPr="00203588">
        <w:t>joined up</w:t>
      </w:r>
      <w:r w:rsidRPr="00975856">
        <w:t xml:space="preserve"> and efficient. And ethics provide a strong moral compass. They also encourage professionals to reflect on their own values and improve their practice over time. In a diverse society like the UK, </w:t>
      </w:r>
      <w:r w:rsidRPr="00975856">
        <w:lastRenderedPageBreak/>
        <w:t xml:space="preserve">where people have many </w:t>
      </w:r>
      <w:r w:rsidR="00020D92" w:rsidRPr="00975856">
        <w:t>diverse needs</w:t>
      </w:r>
      <w:r w:rsidRPr="00975856">
        <w:t xml:space="preserve">, beliefs, and backgrounds, these principles help us deliver care that is not just </w:t>
      </w:r>
      <w:r w:rsidRPr="00203588">
        <w:t>effective but</w:t>
      </w:r>
      <w:r w:rsidRPr="00975856">
        <w:t xml:space="preserve"> also compassionate and fair.</w:t>
      </w:r>
    </w:p>
    <w:p w14:paraId="56048FCF" w14:textId="77777777" w:rsidR="00460B5A" w:rsidRDefault="00460B5A" w:rsidP="00460B5A">
      <w:pPr>
        <w:shd w:val="clear" w:color="auto" w:fill="FFFFFF"/>
        <w:spacing w:after="0" w:line="240" w:lineRule="auto"/>
        <w:rPr>
          <w:rFonts w:ascii="Arial" w:eastAsia="Times New Roman" w:hAnsi="Arial" w:cs="Arial"/>
          <w:b/>
          <w:bCs/>
          <w:color w:val="222222"/>
          <w:kern w:val="0"/>
          <w:sz w:val="56"/>
          <w:szCs w:val="56"/>
          <w:u w:val="single"/>
          <w:shd w:val="clear" w:color="auto" w:fill="FFFFFF"/>
          <w:lang w:eastAsia="en-GB"/>
          <w14:ligatures w14:val="none"/>
        </w:rPr>
      </w:pPr>
    </w:p>
    <w:p w14:paraId="080DDB1C" w14:textId="77777777" w:rsidR="00460B5A" w:rsidRDefault="00460B5A" w:rsidP="00460B5A">
      <w:pPr>
        <w:shd w:val="clear" w:color="auto" w:fill="FFFFFF"/>
        <w:spacing w:after="0" w:line="240" w:lineRule="auto"/>
        <w:rPr>
          <w:rFonts w:ascii="Arial" w:eastAsia="Times New Roman" w:hAnsi="Arial" w:cs="Arial"/>
          <w:b/>
          <w:bCs/>
          <w:color w:val="222222"/>
          <w:kern w:val="0"/>
          <w:sz w:val="56"/>
          <w:szCs w:val="56"/>
          <w:u w:val="single"/>
          <w:shd w:val="clear" w:color="auto" w:fill="FFFFFF"/>
          <w:lang w:eastAsia="en-GB"/>
          <w14:ligatures w14:val="none"/>
        </w:rPr>
      </w:pPr>
    </w:p>
    <w:p w14:paraId="79101F67" w14:textId="23057D7B" w:rsidR="005C7B56" w:rsidRPr="00183CEA" w:rsidRDefault="00460B5A"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932C3D">
        <w:rPr>
          <w:rFonts w:ascii="Arial" w:eastAsia="Times New Roman" w:hAnsi="Arial" w:cs="Arial"/>
          <w:b/>
          <w:bCs/>
          <w:color w:val="222222"/>
          <w:kern w:val="0"/>
          <w:sz w:val="56"/>
          <w:szCs w:val="56"/>
          <w:u w:val="single"/>
          <w:shd w:val="clear" w:color="auto" w:fill="FFFFFF"/>
          <w:lang w:eastAsia="en-GB"/>
          <w14:ligatures w14:val="none"/>
        </w:rPr>
        <w:t>Task 2: Practical Examples of Concepts in Practice</w:t>
      </w:r>
      <w:r w:rsidRPr="00932C3D">
        <w:rPr>
          <w:rFonts w:ascii="Arial" w:eastAsia="Times New Roman" w:hAnsi="Arial" w:cs="Arial"/>
          <w:b/>
          <w:bCs/>
          <w:color w:val="222222"/>
          <w:kern w:val="0"/>
          <w:sz w:val="56"/>
          <w:szCs w:val="56"/>
          <w:u w:val="single"/>
          <w:lang w:eastAsia="en-GB"/>
          <w14:ligatures w14:val="none"/>
        </w:rPr>
        <w:br/>
      </w:r>
      <w:r w:rsidRPr="00932C3D">
        <w:rPr>
          <w:rFonts w:ascii="Arial" w:eastAsia="Times New Roman" w:hAnsi="Arial" w:cs="Arial"/>
          <w:color w:val="222222"/>
          <w:kern w:val="0"/>
          <w:sz w:val="24"/>
          <w:szCs w:val="24"/>
          <w:lang w:eastAsia="en-GB"/>
          <w14:ligatures w14:val="none"/>
        </w:rPr>
        <w:br/>
      </w:r>
      <w:r w:rsidR="005C7B56" w:rsidRPr="00183CEA">
        <w:rPr>
          <w:rFonts w:ascii="Arial" w:eastAsia="Times New Roman" w:hAnsi="Arial" w:cs="Arial"/>
          <w:kern w:val="0"/>
          <w:sz w:val="24"/>
          <w:szCs w:val="24"/>
          <w:lang w:eastAsia="en-GB"/>
          <w14:ligatures w14:val="none"/>
        </w:rPr>
        <w:t xml:space="preserve">The case involved </w:t>
      </w:r>
      <w:r w:rsidR="00344433">
        <w:rPr>
          <w:rFonts w:ascii="Arial" w:eastAsia="Times New Roman" w:hAnsi="Arial" w:cs="Arial"/>
          <w:kern w:val="0"/>
          <w:sz w:val="24"/>
          <w:szCs w:val="24"/>
          <w:lang w:eastAsia="en-GB"/>
          <w14:ligatures w14:val="none"/>
        </w:rPr>
        <w:t>Mr Ben</w:t>
      </w:r>
      <w:r w:rsidR="00BA0093" w:rsidRPr="0088498C">
        <w:rPr>
          <w:rFonts w:ascii="Arial" w:eastAsia="Times New Roman" w:hAnsi="Arial" w:cs="Arial"/>
          <w:kern w:val="0"/>
          <w:sz w:val="24"/>
          <w:szCs w:val="24"/>
          <w:lang w:eastAsia="en-GB"/>
          <w14:ligatures w14:val="none"/>
        </w:rPr>
        <w:t>en</w:t>
      </w:r>
      <w:r w:rsidR="005C7B56" w:rsidRPr="00183CEA">
        <w:rPr>
          <w:rFonts w:ascii="Arial" w:eastAsia="Times New Roman" w:hAnsi="Arial" w:cs="Arial"/>
          <w:kern w:val="0"/>
          <w:sz w:val="24"/>
          <w:szCs w:val="24"/>
          <w:lang w:eastAsia="en-GB"/>
          <w14:ligatures w14:val="none"/>
        </w:rPr>
        <w:t>, an 86</w:t>
      </w:r>
      <w:r w:rsidR="00AF043D">
        <w:rPr>
          <w:rFonts w:ascii="Arial" w:eastAsia="Times New Roman" w:hAnsi="Arial" w:cs="Arial"/>
          <w:kern w:val="0"/>
          <w:sz w:val="24"/>
          <w:szCs w:val="24"/>
          <w:lang w:eastAsia="en-GB"/>
          <w14:ligatures w14:val="none"/>
        </w:rPr>
        <w:t xml:space="preserve"> </w:t>
      </w:r>
      <w:r w:rsidR="005C7B56" w:rsidRPr="00183CEA">
        <w:rPr>
          <w:rFonts w:ascii="Arial" w:eastAsia="Times New Roman" w:hAnsi="Arial" w:cs="Arial"/>
          <w:kern w:val="0"/>
          <w:sz w:val="24"/>
          <w:szCs w:val="24"/>
          <w:lang w:eastAsia="en-GB"/>
          <w14:ligatures w14:val="none"/>
        </w:rPr>
        <w:t>year</w:t>
      </w:r>
      <w:r w:rsidR="00AF043D">
        <w:rPr>
          <w:rFonts w:ascii="Arial" w:eastAsia="Times New Roman" w:hAnsi="Arial" w:cs="Arial"/>
          <w:kern w:val="0"/>
          <w:sz w:val="24"/>
          <w:szCs w:val="24"/>
          <w:lang w:eastAsia="en-GB"/>
          <w14:ligatures w14:val="none"/>
        </w:rPr>
        <w:t xml:space="preserve"> </w:t>
      </w:r>
      <w:r w:rsidR="005C7B56" w:rsidRPr="00183CEA">
        <w:rPr>
          <w:rFonts w:ascii="Arial" w:eastAsia="Times New Roman" w:hAnsi="Arial" w:cs="Arial"/>
          <w:kern w:val="0"/>
          <w:sz w:val="24"/>
          <w:szCs w:val="24"/>
          <w:lang w:eastAsia="en-GB"/>
          <w14:ligatures w14:val="none"/>
        </w:rPr>
        <w:t>old resident with moderate Alzheimer’s disease who was experiencing escalating agitation and withdrawal. Traditional task</w:t>
      </w:r>
      <w:r w:rsidR="00AF043D">
        <w:rPr>
          <w:rFonts w:ascii="Arial" w:eastAsia="Times New Roman" w:hAnsi="Arial" w:cs="Arial"/>
          <w:kern w:val="0"/>
          <w:sz w:val="24"/>
          <w:szCs w:val="24"/>
          <w:lang w:eastAsia="en-GB"/>
          <w14:ligatures w14:val="none"/>
        </w:rPr>
        <w:t xml:space="preserve"> </w:t>
      </w:r>
      <w:r w:rsidR="005C7B56" w:rsidRPr="00183CEA">
        <w:rPr>
          <w:rFonts w:ascii="Arial" w:eastAsia="Times New Roman" w:hAnsi="Arial" w:cs="Arial"/>
          <w:kern w:val="0"/>
          <w:sz w:val="24"/>
          <w:szCs w:val="24"/>
          <w:lang w:eastAsia="en-GB"/>
          <w14:ligatures w14:val="none"/>
        </w:rPr>
        <w:t xml:space="preserve">oriented routines were proving ineffective in meeting his individual needs. In response, the home’s management team introduced a personalised care plan that prioritised </w:t>
      </w:r>
      <w:r w:rsidR="00344433">
        <w:rPr>
          <w:rFonts w:ascii="Arial" w:eastAsia="Times New Roman" w:hAnsi="Arial" w:cs="Arial"/>
          <w:kern w:val="0"/>
          <w:sz w:val="24"/>
          <w:szCs w:val="24"/>
          <w:lang w:eastAsia="en-GB"/>
          <w14:ligatures w14:val="none"/>
        </w:rPr>
        <w:t>Mr Ben</w:t>
      </w:r>
      <w:r w:rsidR="00A951A0">
        <w:rPr>
          <w:rFonts w:ascii="Arial" w:eastAsia="Times New Roman" w:hAnsi="Arial" w:cs="Arial"/>
          <w:kern w:val="0"/>
          <w:sz w:val="24"/>
          <w:szCs w:val="24"/>
          <w:lang w:eastAsia="en-GB"/>
          <w14:ligatures w14:val="none"/>
        </w:rPr>
        <w:t>en</w:t>
      </w:r>
      <w:r w:rsidR="005C7B56" w:rsidRPr="00183CEA">
        <w:rPr>
          <w:rFonts w:ascii="Arial" w:eastAsia="Times New Roman" w:hAnsi="Arial" w:cs="Arial"/>
          <w:kern w:val="0"/>
          <w:sz w:val="24"/>
          <w:szCs w:val="24"/>
          <w:lang w:eastAsia="en-GB"/>
          <w14:ligatures w14:val="none"/>
        </w:rPr>
        <w:t>’s preferences, biography, and daily rhythms, consistent with NICE (2018) guidance on dementia care and the CQC’s (2022) requirement for care that is responsive, safe, and person</w:t>
      </w:r>
      <w:r w:rsidR="00AF043D">
        <w:rPr>
          <w:rFonts w:ascii="Arial" w:eastAsia="Times New Roman" w:hAnsi="Arial" w:cs="Arial"/>
          <w:kern w:val="0"/>
          <w:sz w:val="24"/>
          <w:szCs w:val="24"/>
          <w:lang w:eastAsia="en-GB"/>
          <w14:ligatures w14:val="none"/>
        </w:rPr>
        <w:t xml:space="preserve"> </w:t>
      </w:r>
      <w:r w:rsidR="005C7B56" w:rsidRPr="00183CEA">
        <w:rPr>
          <w:rFonts w:ascii="Arial" w:eastAsia="Times New Roman" w:hAnsi="Arial" w:cs="Arial"/>
          <w:kern w:val="0"/>
          <w:sz w:val="24"/>
          <w:szCs w:val="24"/>
          <w:lang w:eastAsia="en-GB"/>
          <w14:ligatures w14:val="none"/>
        </w:rPr>
        <w:t>centred.</w:t>
      </w:r>
    </w:p>
    <w:p w14:paraId="7A91B937" w14:textId="4E6DF672"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183CEA">
        <w:rPr>
          <w:rFonts w:ascii="Arial" w:eastAsia="Times New Roman" w:hAnsi="Arial" w:cs="Arial"/>
          <w:kern w:val="0"/>
          <w:sz w:val="24"/>
          <w:szCs w:val="24"/>
          <w:lang w:eastAsia="en-GB"/>
          <w14:ligatures w14:val="none"/>
        </w:rPr>
        <w:t>Effective communication was identified as the first area for improvement. Many staff members had limited training in dementia</w:t>
      </w:r>
      <w:r w:rsidR="00AF043D">
        <w:rPr>
          <w:rFonts w:ascii="Arial" w:eastAsia="Times New Roman" w:hAnsi="Arial" w:cs="Arial"/>
          <w:kern w:val="0"/>
          <w:sz w:val="24"/>
          <w:szCs w:val="24"/>
          <w:lang w:eastAsia="en-GB"/>
          <w14:ligatures w14:val="none"/>
        </w:rPr>
        <w:t xml:space="preserve"> </w:t>
      </w:r>
      <w:r w:rsidRPr="00183CEA">
        <w:rPr>
          <w:rFonts w:ascii="Arial" w:eastAsia="Times New Roman" w:hAnsi="Arial" w:cs="Arial"/>
          <w:kern w:val="0"/>
          <w:sz w:val="24"/>
          <w:szCs w:val="24"/>
          <w:lang w:eastAsia="en-GB"/>
          <w14:ligatures w14:val="none"/>
        </w:rPr>
        <w:t xml:space="preserve">specific communication. To address this, the home introduced tailored communication training sessions based on NICE (2018) recommendations, emphasising clear, simple language, </w:t>
      </w:r>
      <w:r w:rsidR="00776321" w:rsidRPr="00183CEA">
        <w:rPr>
          <w:rFonts w:ascii="Arial" w:eastAsia="Times New Roman" w:hAnsi="Arial" w:cs="Arial"/>
          <w:kern w:val="0"/>
          <w:sz w:val="24"/>
          <w:szCs w:val="24"/>
          <w:lang w:eastAsia="en-GB"/>
          <w14:ligatures w14:val="none"/>
        </w:rPr>
        <w:t>non</w:t>
      </w:r>
      <w:r w:rsidR="00776321">
        <w:rPr>
          <w:rFonts w:ascii="Arial" w:eastAsia="Times New Roman" w:hAnsi="Arial" w:cs="Arial"/>
          <w:kern w:val="0"/>
          <w:sz w:val="24"/>
          <w:szCs w:val="24"/>
          <w:lang w:eastAsia="en-GB"/>
          <w14:ligatures w14:val="none"/>
        </w:rPr>
        <w:t>-</w:t>
      </w:r>
      <w:r w:rsidR="00776321" w:rsidRPr="00183CEA">
        <w:rPr>
          <w:rFonts w:ascii="Arial" w:eastAsia="Times New Roman" w:hAnsi="Arial" w:cs="Arial"/>
          <w:kern w:val="0"/>
          <w:sz w:val="24"/>
          <w:szCs w:val="24"/>
          <w:lang w:eastAsia="en-GB"/>
          <w14:ligatures w14:val="none"/>
        </w:rPr>
        <w:t>verbal</w:t>
      </w:r>
      <w:r w:rsidRPr="00183CEA">
        <w:rPr>
          <w:rFonts w:ascii="Arial" w:eastAsia="Times New Roman" w:hAnsi="Arial" w:cs="Arial"/>
          <w:kern w:val="0"/>
          <w:sz w:val="24"/>
          <w:szCs w:val="24"/>
          <w:lang w:eastAsia="en-GB"/>
          <w14:ligatures w14:val="none"/>
        </w:rPr>
        <w:t xml:space="preserve"> reassurance, and active listening. Life story work was incorporated, using photographs and personal anecdotes from </w:t>
      </w:r>
      <w:r w:rsidR="00344433">
        <w:rPr>
          <w:rFonts w:ascii="Arial" w:eastAsia="Times New Roman" w:hAnsi="Arial" w:cs="Arial"/>
          <w:kern w:val="0"/>
          <w:sz w:val="24"/>
          <w:szCs w:val="24"/>
          <w:lang w:eastAsia="en-GB"/>
          <w14:ligatures w14:val="none"/>
        </w:rPr>
        <w:t>Mr Ben</w:t>
      </w:r>
      <w:r w:rsidR="00EA2049">
        <w:rPr>
          <w:rFonts w:ascii="Arial" w:eastAsia="Times New Roman" w:hAnsi="Arial" w:cs="Arial"/>
          <w:kern w:val="0"/>
          <w:sz w:val="24"/>
          <w:szCs w:val="24"/>
          <w:lang w:eastAsia="en-GB"/>
          <w14:ligatures w14:val="none"/>
        </w:rPr>
        <w:t>en</w:t>
      </w:r>
      <w:r w:rsidRPr="00183CEA">
        <w:rPr>
          <w:rFonts w:ascii="Arial" w:eastAsia="Times New Roman" w:hAnsi="Arial" w:cs="Arial"/>
          <w:kern w:val="0"/>
          <w:sz w:val="24"/>
          <w:szCs w:val="24"/>
          <w:lang w:eastAsia="en-GB"/>
          <w14:ligatures w14:val="none"/>
        </w:rPr>
        <w:t>’s past as a gardener to aid engagement and reduce distress. This approach empowered him to participate in daily activities and contributed to a more trusting relationship between him and the staff. Effective communication is widely recognised as central to person</w:t>
      </w:r>
      <w:r w:rsidR="00AF043D">
        <w:rPr>
          <w:rFonts w:ascii="Arial" w:eastAsia="Times New Roman" w:hAnsi="Arial" w:cs="Arial"/>
          <w:kern w:val="0"/>
          <w:sz w:val="24"/>
          <w:szCs w:val="24"/>
          <w:lang w:eastAsia="en-GB"/>
          <w14:ligatures w14:val="none"/>
        </w:rPr>
        <w:t xml:space="preserve"> </w:t>
      </w:r>
      <w:r w:rsidRPr="00183CEA">
        <w:rPr>
          <w:rFonts w:ascii="Arial" w:eastAsia="Times New Roman" w:hAnsi="Arial" w:cs="Arial"/>
          <w:kern w:val="0"/>
          <w:sz w:val="24"/>
          <w:szCs w:val="24"/>
          <w:lang w:eastAsia="en-GB"/>
          <w14:ligatures w14:val="none"/>
        </w:rPr>
        <w:t>centred care, supporting autonomy and dignity (McCormack &amp; McCance, 2017).</w:t>
      </w:r>
    </w:p>
    <w:p w14:paraId="437B5B0E" w14:textId="006F26C6"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5C7B56">
        <w:rPr>
          <w:rFonts w:ascii="Arial" w:eastAsia="Times New Roman" w:hAnsi="Arial" w:cs="Arial"/>
          <w:kern w:val="0"/>
          <w:sz w:val="24"/>
          <w:szCs w:val="24"/>
          <w:lang w:eastAsia="en-GB"/>
          <w14:ligatures w14:val="none"/>
        </w:rPr>
        <w:t>The second principle, collaboration, consisted of establishing a multidisciplinary approach to ensure consistency and accountability. Weekly</w:t>
      </w:r>
      <w:r w:rsidRPr="00183CEA">
        <w:rPr>
          <w:rFonts w:ascii="Arial" w:eastAsia="Times New Roman" w:hAnsi="Arial" w:cs="Arial"/>
          <w:kern w:val="0"/>
          <w:sz w:val="24"/>
          <w:szCs w:val="24"/>
          <w:lang w:eastAsia="en-GB"/>
          <w14:ligatures w14:val="none"/>
        </w:rPr>
        <w:t xml:space="preserve"> care meetings included the home’s registered manager, the nursing team, an occupational therapist, and </w:t>
      </w:r>
      <w:r w:rsidR="00344433">
        <w:rPr>
          <w:rFonts w:ascii="Arial" w:eastAsia="Times New Roman" w:hAnsi="Arial" w:cs="Arial"/>
          <w:kern w:val="0"/>
          <w:sz w:val="24"/>
          <w:szCs w:val="24"/>
          <w:lang w:eastAsia="en-GB"/>
          <w14:ligatures w14:val="none"/>
        </w:rPr>
        <w:t>Mr Ben</w:t>
      </w:r>
      <w:r w:rsidR="00764B3E">
        <w:rPr>
          <w:rFonts w:ascii="Arial" w:eastAsia="Times New Roman" w:hAnsi="Arial" w:cs="Arial"/>
          <w:kern w:val="0"/>
          <w:sz w:val="24"/>
          <w:szCs w:val="24"/>
          <w:lang w:eastAsia="en-GB"/>
          <w14:ligatures w14:val="none"/>
        </w:rPr>
        <w:t>en</w:t>
      </w:r>
      <w:r w:rsidRPr="00183CEA">
        <w:rPr>
          <w:rFonts w:ascii="Arial" w:eastAsia="Times New Roman" w:hAnsi="Arial" w:cs="Arial"/>
          <w:kern w:val="0"/>
          <w:sz w:val="24"/>
          <w:szCs w:val="24"/>
          <w:lang w:eastAsia="en-GB"/>
          <w14:ligatures w14:val="none"/>
        </w:rPr>
        <w:t xml:space="preserve">’s family members. Collaborative planning ensured that interventions, such as reminiscence therapy and structured activity sessions, were aligned with </w:t>
      </w:r>
      <w:r w:rsidR="00344433">
        <w:rPr>
          <w:rFonts w:ascii="Arial" w:eastAsia="Times New Roman" w:hAnsi="Arial" w:cs="Arial"/>
          <w:kern w:val="0"/>
          <w:sz w:val="24"/>
          <w:szCs w:val="24"/>
          <w:lang w:eastAsia="en-GB"/>
          <w14:ligatures w14:val="none"/>
        </w:rPr>
        <w:t>Mr Ben</w:t>
      </w:r>
      <w:r w:rsidR="00763898">
        <w:rPr>
          <w:rFonts w:ascii="Arial" w:eastAsia="Times New Roman" w:hAnsi="Arial" w:cs="Arial"/>
          <w:kern w:val="0"/>
          <w:sz w:val="24"/>
          <w:szCs w:val="24"/>
          <w:lang w:eastAsia="en-GB"/>
          <w14:ligatures w14:val="none"/>
        </w:rPr>
        <w:t>en</w:t>
      </w:r>
      <w:r w:rsidRPr="00183CEA">
        <w:rPr>
          <w:rFonts w:ascii="Arial" w:eastAsia="Times New Roman" w:hAnsi="Arial" w:cs="Arial"/>
          <w:kern w:val="0"/>
          <w:sz w:val="24"/>
          <w:szCs w:val="24"/>
          <w:lang w:eastAsia="en-GB"/>
          <w14:ligatures w14:val="none"/>
        </w:rPr>
        <w:t xml:space="preserve">’s preferences and clinical needs. This integrated approach reflects the Health and Care Act 2022, which promotes </w:t>
      </w:r>
      <w:r w:rsidR="00832749" w:rsidRPr="00183CEA">
        <w:rPr>
          <w:rFonts w:ascii="Arial" w:eastAsia="Times New Roman" w:hAnsi="Arial" w:cs="Arial"/>
          <w:kern w:val="0"/>
          <w:sz w:val="24"/>
          <w:szCs w:val="24"/>
          <w:lang w:eastAsia="en-GB"/>
          <w14:ligatures w14:val="none"/>
        </w:rPr>
        <w:t>joined up</w:t>
      </w:r>
      <w:r w:rsidRPr="00183CEA">
        <w:rPr>
          <w:rFonts w:ascii="Arial" w:eastAsia="Times New Roman" w:hAnsi="Arial" w:cs="Arial"/>
          <w:kern w:val="0"/>
          <w:sz w:val="24"/>
          <w:szCs w:val="24"/>
          <w:lang w:eastAsia="en-GB"/>
          <w14:ligatures w14:val="none"/>
        </w:rPr>
        <w:t xml:space="preserve"> working between health and social care providers to improve outcomes. Collaborative working also embodies the 6Cs of Nursing, particularly </w:t>
      </w:r>
      <w:r w:rsidRPr="00183CEA">
        <w:rPr>
          <w:rFonts w:ascii="Arial" w:eastAsia="Times New Roman" w:hAnsi="Arial" w:cs="Arial"/>
          <w:i/>
          <w:iCs/>
          <w:kern w:val="0"/>
          <w:sz w:val="24"/>
          <w:szCs w:val="24"/>
          <w:lang w:eastAsia="en-GB"/>
          <w14:ligatures w14:val="none"/>
        </w:rPr>
        <w:t>commitment</w:t>
      </w:r>
      <w:r w:rsidRPr="00183CEA">
        <w:rPr>
          <w:rFonts w:ascii="Arial" w:eastAsia="Times New Roman" w:hAnsi="Arial" w:cs="Arial"/>
          <w:kern w:val="0"/>
          <w:sz w:val="24"/>
          <w:szCs w:val="24"/>
          <w:lang w:eastAsia="en-GB"/>
          <w14:ligatures w14:val="none"/>
        </w:rPr>
        <w:t xml:space="preserve"> and </w:t>
      </w:r>
      <w:r w:rsidRPr="00183CEA">
        <w:rPr>
          <w:rFonts w:ascii="Arial" w:eastAsia="Times New Roman" w:hAnsi="Arial" w:cs="Arial"/>
          <w:i/>
          <w:iCs/>
          <w:kern w:val="0"/>
          <w:sz w:val="24"/>
          <w:szCs w:val="24"/>
          <w:lang w:eastAsia="en-GB"/>
          <w14:ligatures w14:val="none"/>
        </w:rPr>
        <w:t>competence</w:t>
      </w:r>
      <w:r w:rsidRPr="00183CEA">
        <w:rPr>
          <w:rFonts w:ascii="Arial" w:eastAsia="Times New Roman" w:hAnsi="Arial" w:cs="Arial"/>
          <w:kern w:val="0"/>
          <w:sz w:val="24"/>
          <w:szCs w:val="24"/>
          <w:lang w:eastAsia="en-GB"/>
          <w14:ligatures w14:val="none"/>
        </w:rPr>
        <w:t xml:space="preserve"> (NHS England, 2016), by ensuring staff possess the knowledge and motivation to deliver high</w:t>
      </w:r>
      <w:r w:rsidR="00AF043D">
        <w:rPr>
          <w:rFonts w:ascii="Arial" w:eastAsia="Times New Roman" w:hAnsi="Arial" w:cs="Arial"/>
          <w:kern w:val="0"/>
          <w:sz w:val="24"/>
          <w:szCs w:val="24"/>
          <w:lang w:eastAsia="en-GB"/>
          <w14:ligatures w14:val="none"/>
        </w:rPr>
        <w:t xml:space="preserve"> </w:t>
      </w:r>
      <w:r w:rsidRPr="00183CEA">
        <w:rPr>
          <w:rFonts w:ascii="Arial" w:eastAsia="Times New Roman" w:hAnsi="Arial" w:cs="Arial"/>
          <w:kern w:val="0"/>
          <w:sz w:val="24"/>
          <w:szCs w:val="24"/>
          <w:lang w:eastAsia="en-GB"/>
          <w14:ligatures w14:val="none"/>
        </w:rPr>
        <w:t>quality, coordinated care.</w:t>
      </w:r>
    </w:p>
    <w:p w14:paraId="6E610D76" w14:textId="3A1B76F2"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183CEA">
        <w:rPr>
          <w:rFonts w:ascii="Arial" w:eastAsia="Times New Roman" w:hAnsi="Arial" w:cs="Arial"/>
          <w:kern w:val="0"/>
          <w:sz w:val="24"/>
          <w:szCs w:val="24"/>
          <w:lang w:eastAsia="en-GB"/>
          <w14:ligatures w14:val="none"/>
        </w:rPr>
        <w:t xml:space="preserve">The third principle, compassion, underpinned all care interactions. Staff adopted a “slow care” philosophy, prioritising </w:t>
      </w:r>
      <w:r w:rsidR="00832749" w:rsidRPr="00183CEA">
        <w:rPr>
          <w:rFonts w:ascii="Arial" w:eastAsia="Times New Roman" w:hAnsi="Arial" w:cs="Arial"/>
          <w:kern w:val="0"/>
          <w:sz w:val="24"/>
          <w:szCs w:val="24"/>
          <w:lang w:eastAsia="en-GB"/>
          <w14:ligatures w14:val="none"/>
        </w:rPr>
        <w:t>empathy,</w:t>
      </w:r>
      <w:r w:rsidRPr="00183CEA">
        <w:rPr>
          <w:rFonts w:ascii="Arial" w:eastAsia="Times New Roman" w:hAnsi="Arial" w:cs="Arial"/>
          <w:kern w:val="0"/>
          <w:sz w:val="24"/>
          <w:szCs w:val="24"/>
          <w:lang w:eastAsia="en-GB"/>
          <w14:ligatures w14:val="none"/>
        </w:rPr>
        <w:t xml:space="preserve"> and emotional </w:t>
      </w:r>
      <w:r w:rsidR="007F2EF2" w:rsidRPr="00183CEA">
        <w:rPr>
          <w:rFonts w:ascii="Arial" w:eastAsia="Times New Roman" w:hAnsi="Arial" w:cs="Arial"/>
          <w:kern w:val="0"/>
          <w:sz w:val="24"/>
          <w:szCs w:val="24"/>
          <w:lang w:eastAsia="en-GB"/>
          <w14:ligatures w14:val="none"/>
        </w:rPr>
        <w:t>atonement</w:t>
      </w:r>
      <w:r w:rsidRPr="00183CEA">
        <w:rPr>
          <w:rFonts w:ascii="Arial" w:eastAsia="Times New Roman" w:hAnsi="Arial" w:cs="Arial"/>
          <w:kern w:val="0"/>
          <w:sz w:val="24"/>
          <w:szCs w:val="24"/>
          <w:lang w:eastAsia="en-GB"/>
          <w14:ligatures w14:val="none"/>
        </w:rPr>
        <w:t xml:space="preserve"> over task completion. When </w:t>
      </w:r>
      <w:r w:rsidR="00344433">
        <w:rPr>
          <w:rFonts w:ascii="Arial" w:eastAsia="Times New Roman" w:hAnsi="Arial" w:cs="Arial"/>
          <w:kern w:val="0"/>
          <w:sz w:val="24"/>
          <w:szCs w:val="24"/>
          <w:lang w:eastAsia="en-GB"/>
          <w14:ligatures w14:val="none"/>
        </w:rPr>
        <w:t>Mr Ben</w:t>
      </w:r>
      <w:r w:rsidR="00716800">
        <w:rPr>
          <w:rFonts w:ascii="Arial" w:eastAsia="Times New Roman" w:hAnsi="Arial" w:cs="Arial"/>
          <w:kern w:val="0"/>
          <w:sz w:val="24"/>
          <w:szCs w:val="24"/>
          <w:lang w:eastAsia="en-GB"/>
          <w14:ligatures w14:val="none"/>
        </w:rPr>
        <w:t>en</w:t>
      </w:r>
      <w:r w:rsidRPr="00183CEA">
        <w:rPr>
          <w:rFonts w:ascii="Arial" w:eastAsia="Times New Roman" w:hAnsi="Arial" w:cs="Arial"/>
          <w:kern w:val="0"/>
          <w:sz w:val="24"/>
          <w:szCs w:val="24"/>
          <w:lang w:eastAsia="en-GB"/>
          <w14:ligatures w14:val="none"/>
        </w:rPr>
        <w:t xml:space="preserve"> displayed anxiety during personal care, staff responded calmly, playing familiar music and offering reassurance through gentle touch rather </w:t>
      </w:r>
      <w:r w:rsidRPr="00183CEA">
        <w:rPr>
          <w:rFonts w:ascii="Arial" w:eastAsia="Times New Roman" w:hAnsi="Arial" w:cs="Arial"/>
          <w:kern w:val="0"/>
          <w:sz w:val="24"/>
          <w:szCs w:val="24"/>
          <w:lang w:eastAsia="en-GB"/>
          <w14:ligatures w14:val="none"/>
        </w:rPr>
        <w:lastRenderedPageBreak/>
        <w:t>than pharmacological intervention. Compassionate care in dementia settings is vital for promoting psychological comfort and a sense of belonging (Nolan et al., 2006).</w:t>
      </w:r>
    </w:p>
    <w:p w14:paraId="1C4E5EDB" w14:textId="05D38A9A"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183CEA">
        <w:rPr>
          <w:rFonts w:ascii="Arial" w:eastAsia="Times New Roman" w:hAnsi="Arial" w:cs="Arial"/>
          <w:kern w:val="0"/>
          <w:sz w:val="24"/>
          <w:szCs w:val="24"/>
          <w:lang w:eastAsia="en-GB"/>
          <w14:ligatures w14:val="none"/>
        </w:rPr>
        <w:t xml:space="preserve">The outcomes were notable. Within three months, </w:t>
      </w:r>
      <w:r w:rsidR="00344433">
        <w:rPr>
          <w:rFonts w:ascii="Arial" w:eastAsia="Times New Roman" w:hAnsi="Arial" w:cs="Arial"/>
          <w:kern w:val="0"/>
          <w:sz w:val="24"/>
          <w:szCs w:val="24"/>
          <w:lang w:eastAsia="en-GB"/>
          <w14:ligatures w14:val="none"/>
        </w:rPr>
        <w:t>Mr Ben</w:t>
      </w:r>
      <w:r w:rsidRPr="00183CEA">
        <w:rPr>
          <w:rFonts w:ascii="Arial" w:eastAsia="Times New Roman" w:hAnsi="Arial" w:cs="Arial"/>
          <w:kern w:val="0"/>
          <w:sz w:val="24"/>
          <w:szCs w:val="24"/>
          <w:lang w:eastAsia="en-GB"/>
          <w14:ligatures w14:val="none"/>
        </w:rPr>
        <w:t xml:space="preserve"> </w:t>
      </w:r>
      <w:r w:rsidR="00832749" w:rsidRPr="00183CEA">
        <w:rPr>
          <w:rFonts w:ascii="Arial" w:eastAsia="Times New Roman" w:hAnsi="Arial" w:cs="Arial"/>
          <w:kern w:val="0"/>
          <w:sz w:val="24"/>
          <w:szCs w:val="24"/>
          <w:lang w:eastAsia="en-GB"/>
          <w14:ligatures w14:val="none"/>
        </w:rPr>
        <w:t>agitation,</w:t>
      </w:r>
      <w:r w:rsidRPr="00183CEA">
        <w:rPr>
          <w:rFonts w:ascii="Arial" w:eastAsia="Times New Roman" w:hAnsi="Arial" w:cs="Arial"/>
          <w:kern w:val="0"/>
          <w:sz w:val="24"/>
          <w:szCs w:val="24"/>
          <w:lang w:eastAsia="en-GB"/>
          <w14:ligatures w14:val="none"/>
        </w:rPr>
        <w:t xml:space="preserve"> and resistance to care significantly reduced, his sleep improved, and he began voluntarily joining group gardening activities. Staff reported enhanced morale and teamwork, indicating that person</w:t>
      </w:r>
      <w:r w:rsidR="00AF043D">
        <w:rPr>
          <w:rFonts w:ascii="Arial" w:eastAsia="Times New Roman" w:hAnsi="Arial" w:cs="Arial"/>
          <w:kern w:val="0"/>
          <w:sz w:val="24"/>
          <w:szCs w:val="24"/>
          <w:lang w:eastAsia="en-GB"/>
          <w14:ligatures w14:val="none"/>
        </w:rPr>
        <w:t xml:space="preserve"> </w:t>
      </w:r>
      <w:r w:rsidRPr="00183CEA">
        <w:rPr>
          <w:rFonts w:ascii="Arial" w:eastAsia="Times New Roman" w:hAnsi="Arial" w:cs="Arial"/>
          <w:kern w:val="0"/>
          <w:sz w:val="24"/>
          <w:szCs w:val="24"/>
          <w:lang w:eastAsia="en-GB"/>
          <w14:ligatures w14:val="none"/>
        </w:rPr>
        <w:t>centred approaches benefit both residents and professionals.</w:t>
      </w:r>
    </w:p>
    <w:p w14:paraId="0599BC1F" w14:textId="77777777"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183CEA">
        <w:rPr>
          <w:rFonts w:ascii="Arial" w:eastAsia="Times New Roman" w:hAnsi="Arial" w:cs="Arial"/>
          <w:kern w:val="0"/>
          <w:sz w:val="24"/>
          <w:szCs w:val="24"/>
          <w:lang w:eastAsia="en-GB"/>
          <w14:ligatures w14:val="none"/>
        </w:rPr>
        <w:t>Challenges included initial resistance to change and staff time constraints. These were mitigated by implementing short reflective handovers, staff mentoring, and digital care records that streamlined communication. This aligns with CQC recommendations for continuous improvement and learning cultures within care environments.</w:t>
      </w:r>
    </w:p>
    <w:p w14:paraId="75D2AC74" w14:textId="7D631D1C" w:rsidR="005C7B56" w:rsidRPr="00183CEA" w:rsidRDefault="001E284E" w:rsidP="005C7B56">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005C7B56" w:rsidRPr="00183CEA">
        <w:rPr>
          <w:rFonts w:ascii="Arial" w:eastAsia="Times New Roman" w:hAnsi="Arial" w:cs="Arial"/>
          <w:kern w:val="0"/>
          <w:sz w:val="24"/>
          <w:szCs w:val="24"/>
          <w:lang w:eastAsia="en-GB"/>
          <w14:ligatures w14:val="none"/>
        </w:rPr>
        <w:t>his case illustrates how embedding communication, collaboration, and compassion within a care home setting can deliver measurable benefits for service users and staff alike. By grounding practice in national policy frameworks such as the Health and Care Act 2022, NICE dementia guidance, and the 6Cs, the initiative demonstrated that person</w:t>
      </w:r>
      <w:r w:rsidR="00AF043D">
        <w:rPr>
          <w:rFonts w:ascii="Arial" w:eastAsia="Times New Roman" w:hAnsi="Arial" w:cs="Arial"/>
          <w:kern w:val="0"/>
          <w:sz w:val="24"/>
          <w:szCs w:val="24"/>
          <w:lang w:eastAsia="en-GB"/>
          <w14:ligatures w14:val="none"/>
        </w:rPr>
        <w:t xml:space="preserve"> </w:t>
      </w:r>
      <w:r w:rsidR="005C7B56" w:rsidRPr="00183CEA">
        <w:rPr>
          <w:rFonts w:ascii="Arial" w:eastAsia="Times New Roman" w:hAnsi="Arial" w:cs="Arial"/>
          <w:kern w:val="0"/>
          <w:sz w:val="24"/>
          <w:szCs w:val="24"/>
          <w:lang w:eastAsia="en-GB"/>
          <w14:ligatures w14:val="none"/>
        </w:rPr>
        <w:t>centred principles are not only ethical imperatives but also drivers of quality improvement in contemporary UK social care.</w:t>
      </w:r>
    </w:p>
    <w:p w14:paraId="169B6BA9" w14:textId="2E2ECB03" w:rsidR="00460B5A" w:rsidRPr="00E6682C" w:rsidRDefault="00460B5A" w:rsidP="00460B5A">
      <w:pPr>
        <w:shd w:val="clear" w:color="auto" w:fill="FFFFFF"/>
        <w:spacing w:after="0" w:line="240" w:lineRule="auto"/>
        <w:rPr>
          <w:rFonts w:ascii="Arial" w:eastAsia="Times New Roman" w:hAnsi="Arial" w:cs="Arial"/>
          <w:color w:val="222222"/>
          <w:kern w:val="0"/>
          <w:sz w:val="24"/>
          <w:szCs w:val="24"/>
          <w:shd w:val="clear" w:color="auto" w:fill="FFFFFF"/>
          <w:lang w:eastAsia="en-GB"/>
          <w14:ligatures w14:val="none"/>
        </w:rPr>
      </w:pPr>
      <w:r w:rsidRPr="00932C3D">
        <w:rPr>
          <w:rFonts w:ascii="Arial" w:eastAsia="Times New Roman" w:hAnsi="Arial" w:cs="Arial"/>
          <w:color w:val="222222"/>
          <w:kern w:val="0"/>
          <w:sz w:val="24"/>
          <w:szCs w:val="24"/>
          <w:lang w:eastAsia="en-GB"/>
          <w14:ligatures w14:val="none"/>
        </w:rPr>
        <w:br/>
      </w:r>
    </w:p>
    <w:p w14:paraId="637DE57E" w14:textId="77777777" w:rsidR="00460B5A" w:rsidRDefault="00460B5A" w:rsidP="00460B5A">
      <w:pPr>
        <w:shd w:val="clear" w:color="auto" w:fill="FFFFFF"/>
        <w:spacing w:after="0" w:line="240" w:lineRule="auto"/>
        <w:rPr>
          <w:rFonts w:ascii="Arial" w:eastAsia="Times New Roman" w:hAnsi="Arial" w:cs="Arial"/>
          <w:b/>
          <w:bCs/>
          <w:color w:val="222222"/>
          <w:kern w:val="0"/>
          <w:sz w:val="56"/>
          <w:szCs w:val="56"/>
          <w:u w:val="single"/>
          <w:lang w:eastAsia="en-GB"/>
          <w14:ligatures w14:val="none"/>
        </w:rPr>
      </w:pPr>
    </w:p>
    <w:p w14:paraId="1494C800" w14:textId="25087D95" w:rsidR="00041F81" w:rsidRPr="003D680E" w:rsidRDefault="00460B5A" w:rsidP="00041F81">
      <w:pPr>
        <w:shd w:val="clear" w:color="auto" w:fill="FFFFFF"/>
        <w:spacing w:after="0" w:line="240" w:lineRule="auto"/>
        <w:rPr>
          <w:rFonts w:ascii="Arial" w:eastAsia="Times New Roman" w:hAnsi="Arial" w:cs="Arial"/>
          <w:kern w:val="0"/>
          <w:lang w:eastAsia="en-GB"/>
          <w14:ligatures w14:val="none"/>
        </w:rPr>
      </w:pPr>
      <w:r w:rsidRPr="00E27BA2">
        <w:rPr>
          <w:rFonts w:ascii="Arial" w:eastAsia="Times New Roman" w:hAnsi="Arial" w:cs="Arial"/>
          <w:b/>
          <w:bCs/>
          <w:color w:val="222222"/>
          <w:kern w:val="0"/>
          <w:sz w:val="56"/>
          <w:szCs w:val="56"/>
          <w:u w:val="single"/>
          <w:lang w:eastAsia="en-GB"/>
          <w14:ligatures w14:val="none"/>
        </w:rPr>
        <w:t>Task 3: Reflective Account Using Gibbs’ Reflective Cycle</w:t>
      </w:r>
      <w:r w:rsidRPr="00E27BA2">
        <w:rPr>
          <w:rFonts w:ascii="Arial" w:eastAsia="Times New Roman" w:hAnsi="Arial" w:cs="Arial"/>
          <w:b/>
          <w:bCs/>
          <w:color w:val="222222"/>
          <w:kern w:val="0"/>
          <w:sz w:val="56"/>
          <w:szCs w:val="56"/>
          <w:u w:val="single"/>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52"/>
          <w:szCs w:val="52"/>
          <w:u w:val="single"/>
          <w:lang w:eastAsia="en-GB"/>
          <w14:ligatures w14:val="none"/>
        </w:rPr>
        <w:t>Introduction</w:t>
      </w:r>
      <w:r w:rsidRPr="00E27BA2">
        <w:rPr>
          <w:rFonts w:ascii="Arial" w:eastAsia="Times New Roman" w:hAnsi="Arial" w:cs="Arial"/>
          <w:b/>
          <w:bCs/>
          <w:color w:val="222222"/>
          <w:kern w:val="0"/>
          <w:sz w:val="52"/>
          <w:szCs w:val="52"/>
          <w:u w:val="single"/>
          <w:lang w:eastAsia="en-GB"/>
          <w14:ligatures w14:val="none"/>
        </w:rPr>
        <w:br/>
      </w:r>
      <w:r w:rsidRPr="00E27BA2">
        <w:rPr>
          <w:rFonts w:ascii="Arial" w:eastAsia="Times New Roman" w:hAnsi="Arial" w:cs="Arial"/>
          <w:color w:val="222222"/>
          <w:kern w:val="0"/>
          <w:sz w:val="24"/>
          <w:szCs w:val="24"/>
          <w:lang w:eastAsia="en-GB"/>
          <w14:ligatures w14:val="none"/>
        </w:rPr>
        <w:br/>
        <w:t>Reflection is a critical component of professional development within health and social care, allowing practitioners to evaluate experiences, identify learning, and improve future practice. Gibbs’ Reflective Cycle (1988) provides a structured model that incorporates six stages: description, feelings, evaluation, analysis, conclusion, and action plan. This essay applies Gibbs’ model to a personal experience of working with an older adult diagnosed with dementia in a residential care setting. The reflection considers person</w:t>
      </w:r>
      <w:r w:rsidR="00AF043D">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centred care, partnership working, and ethics in practice, linking to relevant legislation and guidance, including the Care Act 2014, the NHS Constitution (NHS England, 2021), and the Mental Capacity Act 2005.</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t>Description</w:t>
      </w:r>
      <w:r w:rsidRPr="00E27BA2">
        <w:rPr>
          <w:rFonts w:ascii="Arial" w:eastAsia="Times New Roman" w:hAnsi="Arial" w:cs="Arial"/>
          <w:b/>
          <w:bCs/>
          <w:color w:val="222222"/>
          <w:kern w:val="0"/>
          <w:sz w:val="48"/>
          <w:szCs w:val="48"/>
          <w:u w:val="single"/>
          <w:lang w:eastAsia="en-GB"/>
          <w14:ligatures w14:val="none"/>
        </w:rPr>
        <w:br/>
      </w:r>
      <w:r w:rsidRPr="00E27BA2">
        <w:rPr>
          <w:rFonts w:ascii="Arial" w:eastAsia="Times New Roman" w:hAnsi="Arial" w:cs="Arial"/>
          <w:color w:val="222222"/>
          <w:kern w:val="0"/>
          <w:sz w:val="24"/>
          <w:szCs w:val="24"/>
          <w:lang w:eastAsia="en-GB"/>
          <w14:ligatures w14:val="none"/>
        </w:rPr>
        <w:br/>
        <w:t xml:space="preserve">During a recent placement in a residential care home, I was involved in supporting an older adult with moderate dementia. The resident often became agitated in the evenings, a phenomenon known as “sundowning.” On one occasion, the individual </w:t>
      </w:r>
      <w:r w:rsidRPr="00E27BA2">
        <w:rPr>
          <w:rFonts w:ascii="Arial" w:eastAsia="Times New Roman" w:hAnsi="Arial" w:cs="Arial"/>
          <w:color w:val="222222"/>
          <w:kern w:val="0"/>
          <w:sz w:val="24"/>
          <w:szCs w:val="24"/>
          <w:lang w:eastAsia="en-GB"/>
          <w14:ligatures w14:val="none"/>
        </w:rPr>
        <w:lastRenderedPageBreak/>
        <w:t>refused to participate in personal care, expressing distress and shouting at staff. I was asked to assist alongside a senior healthcare assistant. Rather than insisting on immediate compliance, the senior colleague suggested using reminiscence activities by showing the resident old photographs from their life history folder. After a short while, the resident calmed down, engaged in conversation, and later accepted support with personal care. This situation highlighted the importance of applying person</w:t>
      </w:r>
      <w:r w:rsidR="00AF043D">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centred care, effective teamwork, and ethical considerations.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br/>
        <w:t>Feelings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 xml:space="preserve">Initially, I felt anxious and uncertain about how to respond, as the resident’s distress was intense and I did not want to cause further upset. I also felt inadequate, questioning whether I had the skills to </w:t>
      </w:r>
      <w:r w:rsidR="00776321" w:rsidRPr="00E27BA2">
        <w:rPr>
          <w:rFonts w:ascii="Arial" w:eastAsia="Times New Roman" w:hAnsi="Arial" w:cs="Arial"/>
          <w:color w:val="222222"/>
          <w:kern w:val="0"/>
          <w:sz w:val="24"/>
          <w:szCs w:val="24"/>
          <w:lang w:eastAsia="en-GB"/>
          <w14:ligatures w14:val="none"/>
        </w:rPr>
        <w:t>de</w:t>
      </w:r>
      <w:r w:rsidR="00776321">
        <w:rPr>
          <w:rFonts w:ascii="Arial" w:eastAsia="Times New Roman" w:hAnsi="Arial" w:cs="Arial"/>
          <w:color w:val="222222"/>
          <w:kern w:val="0"/>
          <w:sz w:val="24"/>
          <w:szCs w:val="24"/>
          <w:lang w:eastAsia="en-GB"/>
          <w14:ligatures w14:val="none"/>
        </w:rPr>
        <w:t>-</w:t>
      </w:r>
      <w:r w:rsidR="00776321" w:rsidRPr="00E27BA2">
        <w:rPr>
          <w:rFonts w:ascii="Arial" w:eastAsia="Times New Roman" w:hAnsi="Arial" w:cs="Arial"/>
          <w:color w:val="222222"/>
          <w:kern w:val="0"/>
          <w:sz w:val="24"/>
          <w:szCs w:val="24"/>
          <w:lang w:eastAsia="en-GB"/>
          <w14:ligatures w14:val="none"/>
        </w:rPr>
        <w:t>escalate</w:t>
      </w:r>
      <w:r w:rsidRPr="00E27BA2">
        <w:rPr>
          <w:rFonts w:ascii="Arial" w:eastAsia="Times New Roman" w:hAnsi="Arial" w:cs="Arial"/>
          <w:color w:val="222222"/>
          <w:kern w:val="0"/>
          <w:sz w:val="24"/>
          <w:szCs w:val="24"/>
          <w:lang w:eastAsia="en-GB"/>
          <w14:ligatures w14:val="none"/>
        </w:rPr>
        <w:t xml:space="preserve"> the situation effectively. However, observing the senior staff member use a compassionate and personalised approach reassured me. I felt relief when the intervention was </w:t>
      </w:r>
      <w:r w:rsidR="00832749" w:rsidRPr="00E27BA2">
        <w:rPr>
          <w:rFonts w:ascii="Arial" w:eastAsia="Times New Roman" w:hAnsi="Arial" w:cs="Arial"/>
          <w:color w:val="222222"/>
          <w:kern w:val="0"/>
          <w:sz w:val="24"/>
          <w:szCs w:val="24"/>
          <w:lang w:eastAsia="en-GB"/>
          <w14:ligatures w14:val="none"/>
        </w:rPr>
        <w:t>successful,</w:t>
      </w:r>
      <w:r w:rsidRPr="00E27BA2">
        <w:rPr>
          <w:rFonts w:ascii="Arial" w:eastAsia="Times New Roman" w:hAnsi="Arial" w:cs="Arial"/>
          <w:color w:val="222222"/>
          <w:kern w:val="0"/>
          <w:sz w:val="24"/>
          <w:szCs w:val="24"/>
          <w:lang w:eastAsia="en-GB"/>
          <w14:ligatures w14:val="none"/>
        </w:rPr>
        <w:t xml:space="preserve"> and the resident’s dignity was maintained. Reflecting afterwards, I recognised a sense of pride in learning from this experience, but also an awareness of the need to build confidence in managing similar situations.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t>Evaluation</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Several positive aspects emerged from this incident. The use of life history work and reminiscence therapy was effective in reducing agitation, consistent with NICE (2018) guidance on dementia care. This reinforced the value of tailoring interventions to the individual’s preferences and history. Teamwork also played a crucial role; the collaborative approach allowed me to learn from an experienced colleague and ensured that the resident received compassionate care.</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 xml:space="preserve">However, there were areas for improvement. I realised that my initial hesitation could have delayed the delivery of appropriate care. While I eventually contributed by supporting the activity, I could have been more </w:t>
      </w:r>
      <w:r w:rsidR="00020D92" w:rsidRPr="00E27BA2">
        <w:rPr>
          <w:rFonts w:ascii="Arial" w:eastAsia="Times New Roman" w:hAnsi="Arial" w:cs="Arial"/>
          <w:color w:val="222222"/>
          <w:kern w:val="0"/>
          <w:sz w:val="24"/>
          <w:szCs w:val="24"/>
          <w:lang w:eastAsia="en-GB"/>
          <w14:ligatures w14:val="none"/>
        </w:rPr>
        <w:t>initiative</w:t>
      </w:r>
      <w:r w:rsidR="00AF043D">
        <w:rPr>
          <w:rFonts w:ascii="Arial" w:eastAsia="Times New Roman" w:hAnsi="Arial" w:cs="Arial"/>
          <w:color w:val="222222"/>
          <w:kern w:val="0"/>
          <w:sz w:val="24"/>
          <w:szCs w:val="24"/>
          <w:lang w:eastAsia="en-GB"/>
          <w14:ligatures w14:val="none"/>
        </w:rPr>
        <w:t xml:space="preserve"> </w:t>
      </w:r>
      <w:r w:rsidR="00020D92" w:rsidRPr="00E27BA2">
        <w:rPr>
          <w:rFonts w:ascii="Arial" w:eastAsia="Times New Roman" w:hAnsi="Arial" w:cs="Arial"/>
          <w:color w:val="222222"/>
          <w:kern w:val="0"/>
          <w:sz w:val="24"/>
          <w:szCs w:val="24"/>
          <w:lang w:eastAsia="en-GB"/>
          <w14:ligatures w14:val="none"/>
        </w:rPr>
        <w:t>taking</w:t>
      </w:r>
      <w:r w:rsidRPr="00E27BA2">
        <w:rPr>
          <w:rFonts w:ascii="Arial" w:eastAsia="Times New Roman" w:hAnsi="Arial" w:cs="Arial"/>
          <w:color w:val="222222"/>
          <w:kern w:val="0"/>
          <w:sz w:val="24"/>
          <w:szCs w:val="24"/>
          <w:lang w:eastAsia="en-GB"/>
          <w14:ligatures w14:val="none"/>
        </w:rPr>
        <w:t xml:space="preserve"> in suggesting alternative strategies. Additionally, while the outcome was positive, there was limited communication with the resident’s family about how reminiscence techniques were being used. Involving relatives could have strengthened the approach and ensured continuity of person</w:t>
      </w:r>
      <w:r w:rsidR="00AF043D">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centred care.</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br/>
        <w:t>Analysis</w:t>
      </w:r>
      <w:r w:rsidRPr="00E27BA2">
        <w:rPr>
          <w:rFonts w:ascii="Arial" w:eastAsia="Times New Roman" w:hAnsi="Arial" w:cs="Arial"/>
          <w:b/>
          <w:bCs/>
          <w:color w:val="222222"/>
          <w:kern w:val="0"/>
          <w:sz w:val="48"/>
          <w:szCs w:val="48"/>
          <w:u w:val="single"/>
          <w:lang w:eastAsia="en-GB"/>
          <w14:ligatures w14:val="none"/>
        </w:rPr>
        <w:br/>
      </w:r>
      <w:r w:rsidRPr="00E27BA2">
        <w:rPr>
          <w:rFonts w:ascii="Arial" w:eastAsia="Times New Roman" w:hAnsi="Arial" w:cs="Arial"/>
          <w:color w:val="222222"/>
          <w:kern w:val="0"/>
          <w:sz w:val="24"/>
          <w:szCs w:val="24"/>
          <w:lang w:eastAsia="en-GB"/>
          <w14:ligatures w14:val="none"/>
        </w:rPr>
        <w:br/>
        <w:t>This experience can be understood through theoretical and policy frameworks. Person</w:t>
      </w:r>
      <w:r w:rsidR="00AF043D">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centred care is a cornerstone of health and social care practice (NHS England, 2021). By drawing on the resident’s life history, the intervention respected their individuality and upheld their dignity. This aligns with Kitwood’s (1997) theory of personhood in dementia care, which emphasises the importance of recognising individuals’ unique identities.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lastRenderedPageBreak/>
        <w:t xml:space="preserve">Partnership working was also evident. The success of the intervention depended on collaboration within the care team, highlighting the significance of </w:t>
      </w:r>
      <w:r w:rsidR="00630B8A" w:rsidRPr="00E27BA2">
        <w:rPr>
          <w:rFonts w:ascii="Arial" w:eastAsia="Times New Roman" w:hAnsi="Arial" w:cs="Arial"/>
          <w:color w:val="222222"/>
          <w:kern w:val="0"/>
          <w:sz w:val="24"/>
          <w:szCs w:val="24"/>
          <w:lang w:eastAsia="en-GB"/>
          <w14:ligatures w14:val="none"/>
        </w:rPr>
        <w:t>multi</w:t>
      </w:r>
      <w:r w:rsidR="00630B8A">
        <w:rPr>
          <w:rFonts w:ascii="Arial" w:eastAsia="Times New Roman" w:hAnsi="Arial" w:cs="Arial"/>
          <w:color w:val="222222"/>
          <w:kern w:val="0"/>
          <w:sz w:val="24"/>
          <w:szCs w:val="24"/>
          <w:lang w:eastAsia="en-GB"/>
          <w14:ligatures w14:val="none"/>
        </w:rPr>
        <w:t>-</w:t>
      </w:r>
      <w:r w:rsidR="00630B8A" w:rsidRPr="00E27BA2">
        <w:rPr>
          <w:rFonts w:ascii="Arial" w:eastAsia="Times New Roman" w:hAnsi="Arial" w:cs="Arial"/>
          <w:color w:val="222222"/>
          <w:kern w:val="0"/>
          <w:sz w:val="24"/>
          <w:szCs w:val="24"/>
          <w:lang w:eastAsia="en-GB"/>
          <w14:ligatures w14:val="none"/>
        </w:rPr>
        <w:t>agency</w:t>
      </w:r>
      <w:r w:rsidRPr="00E27BA2">
        <w:rPr>
          <w:rFonts w:ascii="Arial" w:eastAsia="Times New Roman" w:hAnsi="Arial" w:cs="Arial"/>
          <w:color w:val="222222"/>
          <w:kern w:val="0"/>
          <w:sz w:val="24"/>
          <w:szCs w:val="24"/>
          <w:lang w:eastAsia="en-GB"/>
          <w14:ligatures w14:val="none"/>
        </w:rPr>
        <w:t xml:space="preserve"> and team</w:t>
      </w:r>
      <w:r w:rsidR="00AF043D">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based approaches as promoted by the Health and Social Care Act 2012 (Department of Health and Social Care, 2012). However, the limited involvement of the resident’s family suggests an area where partnership could have been strengthened. Family members often provide valuable insights that enhance personalised interventions (Brooker and Latham, 2015).</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 xml:space="preserve">Ethical considerations were central to this situation. Respecting the resident’s autonomy while ensuring their wellbeing reflected the principles of beneficence and </w:t>
      </w:r>
      <w:r w:rsidR="00776321" w:rsidRPr="00E27BA2">
        <w:rPr>
          <w:rFonts w:ascii="Arial" w:eastAsia="Times New Roman" w:hAnsi="Arial" w:cs="Arial"/>
          <w:color w:val="222222"/>
          <w:kern w:val="0"/>
          <w:sz w:val="24"/>
          <w:szCs w:val="24"/>
          <w:lang w:eastAsia="en-GB"/>
          <w14:ligatures w14:val="none"/>
        </w:rPr>
        <w:t>non</w:t>
      </w:r>
      <w:r w:rsidR="00776321">
        <w:rPr>
          <w:rFonts w:ascii="Arial" w:eastAsia="Times New Roman" w:hAnsi="Arial" w:cs="Arial"/>
          <w:color w:val="222222"/>
          <w:kern w:val="0"/>
          <w:sz w:val="24"/>
          <w:szCs w:val="24"/>
          <w:lang w:eastAsia="en-GB"/>
          <w14:ligatures w14:val="none"/>
        </w:rPr>
        <w:t>-</w:t>
      </w:r>
      <w:r w:rsidR="00776321" w:rsidRPr="00E27BA2">
        <w:rPr>
          <w:rFonts w:ascii="Arial" w:eastAsia="Times New Roman" w:hAnsi="Arial" w:cs="Arial"/>
          <w:color w:val="222222"/>
          <w:kern w:val="0"/>
          <w:sz w:val="24"/>
          <w:szCs w:val="24"/>
          <w:lang w:eastAsia="en-GB"/>
          <w14:ligatures w14:val="none"/>
        </w:rPr>
        <w:t>maleficence</w:t>
      </w:r>
      <w:r w:rsidRPr="00E27BA2">
        <w:rPr>
          <w:rFonts w:ascii="Arial" w:eastAsia="Times New Roman" w:hAnsi="Arial" w:cs="Arial"/>
          <w:color w:val="222222"/>
          <w:kern w:val="0"/>
          <w:sz w:val="24"/>
          <w:szCs w:val="24"/>
          <w:lang w:eastAsia="en-GB"/>
          <w14:ligatures w14:val="none"/>
        </w:rPr>
        <w:t xml:space="preserve"> (Beauchamp and Childress, 2019). Although the individual initially refused care, the approach taken avoided coercion and instead prioritised trust</w:t>
      </w:r>
      <w:r w:rsidR="00AF043D">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building. The Mental Capacity Act 2005 stipulates that individuals must be supported to make their own decisions wherever possible, and only when capacity is lacking should best interest decisions be made. In this case, the resident retained the capacity to engage once supported appropriately, meaning their rights were upheld.</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t>Conclusion</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Reflecting on this experience has highlighted the practical application of person</w:t>
      </w:r>
      <w:r w:rsidR="00AF043D">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 xml:space="preserve">centred care, partnership working, and ethical practice. I learned that compassionate, individualised interventions can significantly reduce distress and promote dignity. The experience also emphasised the importance of teamwork and the value of learning from colleagues. However, I also identified areas for development, particularly in being more </w:t>
      </w:r>
      <w:r w:rsidR="00020D92" w:rsidRPr="00E27BA2">
        <w:rPr>
          <w:rFonts w:ascii="Arial" w:eastAsia="Times New Roman" w:hAnsi="Arial" w:cs="Arial"/>
          <w:color w:val="222222"/>
          <w:kern w:val="0"/>
          <w:sz w:val="24"/>
          <w:szCs w:val="24"/>
          <w:lang w:eastAsia="en-GB"/>
          <w14:ligatures w14:val="none"/>
        </w:rPr>
        <w:t>initiative</w:t>
      </w:r>
      <w:r w:rsidR="00AF043D">
        <w:rPr>
          <w:rFonts w:ascii="Arial" w:eastAsia="Times New Roman" w:hAnsi="Arial" w:cs="Arial"/>
          <w:color w:val="222222"/>
          <w:kern w:val="0"/>
          <w:sz w:val="24"/>
          <w:szCs w:val="24"/>
          <w:lang w:eastAsia="en-GB"/>
          <w14:ligatures w14:val="none"/>
        </w:rPr>
        <w:t xml:space="preserve"> </w:t>
      </w:r>
      <w:r w:rsidR="00020D92" w:rsidRPr="00E27BA2">
        <w:rPr>
          <w:rFonts w:ascii="Arial" w:eastAsia="Times New Roman" w:hAnsi="Arial" w:cs="Arial"/>
          <w:color w:val="222222"/>
          <w:kern w:val="0"/>
          <w:sz w:val="24"/>
          <w:szCs w:val="24"/>
          <w:lang w:eastAsia="en-GB"/>
          <w14:ligatures w14:val="none"/>
        </w:rPr>
        <w:t>taking</w:t>
      </w:r>
      <w:r w:rsidRPr="00E27BA2">
        <w:rPr>
          <w:rFonts w:ascii="Arial" w:eastAsia="Times New Roman" w:hAnsi="Arial" w:cs="Arial"/>
          <w:color w:val="222222"/>
          <w:kern w:val="0"/>
          <w:sz w:val="24"/>
          <w:szCs w:val="24"/>
          <w:lang w:eastAsia="en-GB"/>
          <w14:ligatures w14:val="none"/>
        </w:rPr>
        <w:t xml:space="preserve"> and confident when supporting distressed individuals, and in involving families more effectively in care planning.</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Action Plan</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185668">
        <w:rPr>
          <w:rFonts w:ascii="Arial" w:eastAsia="Times New Roman" w:hAnsi="Arial" w:cs="Arial"/>
          <w:b/>
          <w:bCs/>
          <w:color w:val="222222"/>
          <w:kern w:val="0"/>
          <w:sz w:val="52"/>
          <w:szCs w:val="52"/>
          <w:u w:val="single"/>
          <w:lang w:eastAsia="en-GB"/>
          <w14:ligatures w14:val="none"/>
        </w:rPr>
        <w:t>In future practice, I intend to:</w:t>
      </w:r>
      <w:r w:rsidRPr="00185668">
        <w:rPr>
          <w:rFonts w:ascii="Arial" w:eastAsia="Times New Roman" w:hAnsi="Arial" w:cs="Arial"/>
          <w:b/>
          <w:bCs/>
          <w:color w:val="222222"/>
          <w:kern w:val="0"/>
          <w:sz w:val="52"/>
          <w:szCs w:val="52"/>
          <w:u w:val="single"/>
          <w:lang w:eastAsia="en-GB"/>
          <w14:ligatures w14:val="none"/>
        </w:rPr>
        <w:br/>
      </w:r>
      <w:r w:rsidRPr="00E27BA2">
        <w:rPr>
          <w:rFonts w:ascii="Arial" w:eastAsia="Times New Roman" w:hAnsi="Arial" w:cs="Arial"/>
          <w:color w:val="222222"/>
          <w:kern w:val="0"/>
          <w:sz w:val="24"/>
          <w:szCs w:val="24"/>
          <w:lang w:eastAsia="en-GB"/>
          <w14:ligatures w14:val="none"/>
        </w:rPr>
        <w:br/>
        <w:t>1. Develop my confidence in managing distress by undertaking additional training in dementia care and behavioural management strategies.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2. Strengthen partnership working by actively involving families in care planning and seeking their input on strategies that may be effective.</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3. Enhance my knowledge of person</w:t>
      </w:r>
      <w:r w:rsidR="00AF043D">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centred care approaches by engaging with current NICE guidelines and research on dementia care interventions.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4. Reflect regularly using structured models such as Gibbs’ cycle to consolidate learning and identify ongoing improvements.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lastRenderedPageBreak/>
        <w:br/>
        <w:t>By implementing these actions, I aim to enhance my competence, deliver more effective support, and ensure that practice remains consistent with policy, theory, and ethical principles.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56"/>
          <w:szCs w:val="56"/>
          <w:u w:val="single"/>
          <w:lang w:eastAsia="en-GB"/>
          <w14:ligatures w14:val="none"/>
        </w:rPr>
        <w:t>References</w:t>
      </w:r>
      <w:r>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00041F81" w:rsidRPr="003D680E">
        <w:rPr>
          <w:rFonts w:ascii="Arial" w:eastAsia="Times New Roman" w:hAnsi="Arial" w:cs="Arial"/>
          <w:kern w:val="0"/>
          <w:lang w:eastAsia="en-GB"/>
          <w14:ligatures w14:val="none"/>
        </w:rPr>
        <w:t>Beauchamp, T.L. and Childress, J.F. (2019) Principles of Biomedical Ethics. 8th edn. New York: Oxford University Press.</w:t>
      </w:r>
    </w:p>
    <w:p w14:paraId="2AC95389"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Bronfenbrenner, U. (1979) The Ecology of Human Development: Experiments by Nature and Design. Cambridge, MA: Harvard University Press.</w:t>
      </w:r>
    </w:p>
    <w:p w14:paraId="089676B4" w14:textId="687C84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Brooker, </w:t>
      </w:r>
      <w:proofErr w:type="gramStart"/>
      <w:r w:rsidRPr="00041F81">
        <w:rPr>
          <w:rFonts w:ascii="Arial" w:eastAsia="Times New Roman" w:hAnsi="Arial" w:cs="Arial"/>
          <w:kern w:val="0"/>
          <w:lang w:eastAsia="en-GB"/>
          <w14:ligatures w14:val="none"/>
        </w:rPr>
        <w:t>D.</w:t>
      </w:r>
      <w:proofErr w:type="gramEnd"/>
      <w:r w:rsidRPr="00041F81">
        <w:rPr>
          <w:rFonts w:ascii="Arial" w:eastAsia="Times New Roman" w:hAnsi="Arial" w:cs="Arial"/>
          <w:kern w:val="0"/>
          <w:lang w:eastAsia="en-GB"/>
          <w14:ligatures w14:val="none"/>
        </w:rPr>
        <w:t xml:space="preserve"> and Latham, I. (2015) Person</w:t>
      </w:r>
      <w:r w:rsidR="00AF043D">
        <w:rPr>
          <w:rFonts w:ascii="Arial" w:eastAsia="Times New Roman" w:hAnsi="Arial" w:cs="Arial"/>
          <w:kern w:val="0"/>
          <w:lang w:eastAsia="en-GB"/>
          <w14:ligatures w14:val="none"/>
        </w:rPr>
        <w:t xml:space="preserve"> </w:t>
      </w:r>
      <w:r w:rsidRPr="00041F81">
        <w:rPr>
          <w:rFonts w:ascii="Arial" w:eastAsia="Times New Roman" w:hAnsi="Arial" w:cs="Arial"/>
          <w:kern w:val="0"/>
          <w:lang w:eastAsia="en-GB"/>
          <w14:ligatures w14:val="none"/>
        </w:rPr>
        <w:t>centred Dementia Care: Making Services Better. 2nd edn. London: Jessica Kingsley Publishers.</w:t>
      </w:r>
    </w:p>
    <w:p w14:paraId="0F549942"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Care Act 2014 (c.23) (2014) London: The Stationery Office. Available at: </w:t>
      </w:r>
      <w:hyperlink r:id="rId4" w:tgtFrame="_new" w:history="1">
        <w:r w:rsidRPr="00041F81">
          <w:rPr>
            <w:rStyle w:val="Hyperlink"/>
            <w:rFonts w:ascii="Arial" w:eastAsia="Times New Roman" w:hAnsi="Arial" w:cs="Arial"/>
            <w:kern w:val="0"/>
            <w:u w:val="none"/>
            <w:lang w:eastAsia="en-GB"/>
            <w14:ligatures w14:val="none"/>
          </w:rPr>
          <w:t>https://www.legislation.gov.uk/ukpga/2014/23/contents/enacted</w:t>
        </w:r>
      </w:hyperlink>
      <w:r w:rsidRPr="00041F81">
        <w:rPr>
          <w:rFonts w:ascii="Arial" w:eastAsia="Times New Roman" w:hAnsi="Arial" w:cs="Arial"/>
          <w:kern w:val="0"/>
          <w:lang w:eastAsia="en-GB"/>
          <w14:ligatures w14:val="none"/>
        </w:rPr>
        <w:t xml:space="preserve"> (Accessed: 1 October 2025).</w:t>
      </w:r>
    </w:p>
    <w:p w14:paraId="3B881F7E"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Care Quality Commission (CQC) (2022) What we do. Available at: </w:t>
      </w:r>
      <w:hyperlink r:id="rId5" w:tgtFrame="_new" w:history="1">
        <w:r w:rsidRPr="00041F81">
          <w:rPr>
            <w:rStyle w:val="Hyperlink"/>
            <w:rFonts w:ascii="Arial" w:eastAsia="Times New Roman" w:hAnsi="Arial" w:cs="Arial"/>
            <w:kern w:val="0"/>
            <w:u w:val="none"/>
            <w:lang w:eastAsia="en-GB"/>
            <w14:ligatures w14:val="none"/>
          </w:rPr>
          <w:t>https://www.cqc.org.uk</w:t>
        </w:r>
      </w:hyperlink>
      <w:r w:rsidRPr="00041F81">
        <w:rPr>
          <w:rFonts w:ascii="Arial" w:eastAsia="Times New Roman" w:hAnsi="Arial" w:cs="Arial"/>
          <w:kern w:val="0"/>
          <w:lang w:eastAsia="en-GB"/>
          <w14:ligatures w14:val="none"/>
        </w:rPr>
        <w:t xml:space="preserve"> (Accessed: 17 October 2025).</w:t>
      </w:r>
    </w:p>
    <w:p w14:paraId="702CE62F"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Department of Health and Social Care (DHSC) (2012) Health and Social Care Act 2012. London: HMSO. Available at: </w:t>
      </w:r>
      <w:hyperlink r:id="rId6" w:tgtFrame="_new" w:history="1">
        <w:r w:rsidRPr="00041F81">
          <w:rPr>
            <w:rStyle w:val="Hyperlink"/>
            <w:rFonts w:ascii="Arial" w:eastAsia="Times New Roman" w:hAnsi="Arial" w:cs="Arial"/>
            <w:kern w:val="0"/>
            <w:u w:val="none"/>
            <w:lang w:eastAsia="en-GB"/>
            <w14:ligatures w14:val="none"/>
          </w:rPr>
          <w:t>https://www.legislation.gov.uk/ukpga/2012/7/contents</w:t>
        </w:r>
      </w:hyperlink>
      <w:r w:rsidRPr="00041F81">
        <w:rPr>
          <w:rFonts w:ascii="Arial" w:eastAsia="Times New Roman" w:hAnsi="Arial" w:cs="Arial"/>
          <w:kern w:val="0"/>
          <w:lang w:eastAsia="en-GB"/>
          <w14:ligatures w14:val="none"/>
        </w:rPr>
        <w:t xml:space="preserve"> (Accessed: 3 October 2025).</w:t>
      </w:r>
    </w:p>
    <w:p w14:paraId="058788DF"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Department of Health and Social Care (DHSC) (2014) Care Act 2014. London: HMSO. Available at: </w:t>
      </w:r>
      <w:hyperlink r:id="rId7" w:tgtFrame="_new" w:history="1">
        <w:r w:rsidRPr="00041F81">
          <w:rPr>
            <w:rStyle w:val="Hyperlink"/>
            <w:rFonts w:ascii="Arial" w:eastAsia="Times New Roman" w:hAnsi="Arial" w:cs="Arial"/>
            <w:kern w:val="0"/>
            <w:u w:val="none"/>
            <w:lang w:eastAsia="en-GB"/>
            <w14:ligatures w14:val="none"/>
          </w:rPr>
          <w:t>https://www.legislation.gov.uk/ukpga/2014/23/contents</w:t>
        </w:r>
      </w:hyperlink>
      <w:r w:rsidRPr="00041F81">
        <w:rPr>
          <w:rFonts w:ascii="Arial" w:eastAsia="Times New Roman" w:hAnsi="Arial" w:cs="Arial"/>
          <w:kern w:val="0"/>
          <w:lang w:eastAsia="en-GB"/>
          <w14:ligatures w14:val="none"/>
        </w:rPr>
        <w:t xml:space="preserve"> (Accessed: 3 October 2025).</w:t>
      </w:r>
    </w:p>
    <w:p w14:paraId="3B9A86CA"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Department of Health and Social Care (DHSC) (2021) Working in partnership. Available at: </w:t>
      </w:r>
      <w:hyperlink r:id="rId8" w:tgtFrame="_new" w:history="1">
        <w:r w:rsidRPr="00041F81">
          <w:rPr>
            <w:rStyle w:val="Hyperlink"/>
            <w:rFonts w:ascii="Arial" w:eastAsia="Times New Roman" w:hAnsi="Arial" w:cs="Arial"/>
            <w:kern w:val="0"/>
            <w:u w:val="none"/>
            <w:lang w:eastAsia="en-GB"/>
            <w14:ligatures w14:val="none"/>
          </w:rPr>
          <w:t>https://www.gov.uk/government/publications/workinginpartnership</w:t>
        </w:r>
      </w:hyperlink>
      <w:r w:rsidRPr="00041F81">
        <w:rPr>
          <w:rFonts w:ascii="Arial" w:eastAsia="Times New Roman" w:hAnsi="Arial" w:cs="Arial"/>
          <w:kern w:val="0"/>
          <w:lang w:eastAsia="en-GB"/>
          <w14:ligatures w14:val="none"/>
        </w:rPr>
        <w:t xml:space="preserve"> (Accessed: 1 October 2025).</w:t>
      </w:r>
    </w:p>
    <w:p w14:paraId="3231BA91" w14:textId="742E647B"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Department of Health and Social Care (DHSC) (2022) Health and Care Act 2022. Available at: </w:t>
      </w:r>
      <w:hyperlink r:id="rId9" w:tgtFrame="_new" w:history="1">
        <w:r w:rsidRPr="00041F81">
          <w:rPr>
            <w:rStyle w:val="Hyperlink"/>
            <w:rFonts w:ascii="Arial" w:eastAsia="Times New Roman" w:hAnsi="Arial" w:cs="Arial"/>
            <w:kern w:val="0"/>
            <w:u w:val="none"/>
            <w:lang w:eastAsia="en-GB"/>
            <w14:ligatures w14:val="none"/>
          </w:rPr>
          <w:t>https://www.gov.uk/government/collections/health</w:t>
        </w:r>
        <w:r w:rsidR="00AF043D">
          <w:rPr>
            <w:rStyle w:val="Hyperlink"/>
            <w:rFonts w:ascii="Arial" w:eastAsia="Times New Roman" w:hAnsi="Arial" w:cs="Arial"/>
            <w:kern w:val="0"/>
            <w:u w:val="none"/>
            <w:lang w:eastAsia="en-GB"/>
            <w14:ligatures w14:val="none"/>
          </w:rPr>
          <w:t xml:space="preserve"> </w:t>
        </w:r>
        <w:r w:rsidRPr="00041F81">
          <w:rPr>
            <w:rStyle w:val="Hyperlink"/>
            <w:rFonts w:ascii="Arial" w:eastAsia="Times New Roman" w:hAnsi="Arial" w:cs="Arial"/>
            <w:kern w:val="0"/>
            <w:u w:val="none"/>
            <w:lang w:eastAsia="en-GB"/>
            <w14:ligatures w14:val="none"/>
          </w:rPr>
          <w:t>and</w:t>
        </w:r>
        <w:r w:rsidR="00AF043D">
          <w:rPr>
            <w:rStyle w:val="Hyperlink"/>
            <w:rFonts w:ascii="Arial" w:eastAsia="Times New Roman" w:hAnsi="Arial" w:cs="Arial"/>
            <w:kern w:val="0"/>
            <w:u w:val="none"/>
            <w:lang w:eastAsia="en-GB"/>
            <w14:ligatures w14:val="none"/>
          </w:rPr>
          <w:t xml:space="preserve"> </w:t>
        </w:r>
        <w:r w:rsidRPr="00041F81">
          <w:rPr>
            <w:rStyle w:val="Hyperlink"/>
            <w:rFonts w:ascii="Arial" w:eastAsia="Times New Roman" w:hAnsi="Arial" w:cs="Arial"/>
            <w:kern w:val="0"/>
            <w:u w:val="none"/>
            <w:lang w:eastAsia="en-GB"/>
            <w14:ligatures w14:val="none"/>
          </w:rPr>
          <w:t>care</w:t>
        </w:r>
        <w:r w:rsidR="00AF043D">
          <w:rPr>
            <w:rStyle w:val="Hyperlink"/>
            <w:rFonts w:ascii="Arial" w:eastAsia="Times New Roman" w:hAnsi="Arial" w:cs="Arial"/>
            <w:kern w:val="0"/>
            <w:u w:val="none"/>
            <w:lang w:eastAsia="en-GB"/>
            <w14:ligatures w14:val="none"/>
          </w:rPr>
          <w:t xml:space="preserve"> </w:t>
        </w:r>
        <w:r w:rsidRPr="00041F81">
          <w:rPr>
            <w:rStyle w:val="Hyperlink"/>
            <w:rFonts w:ascii="Arial" w:eastAsia="Times New Roman" w:hAnsi="Arial" w:cs="Arial"/>
            <w:kern w:val="0"/>
            <w:u w:val="none"/>
            <w:lang w:eastAsia="en-GB"/>
            <w14:ligatures w14:val="none"/>
          </w:rPr>
          <w:t>act</w:t>
        </w:r>
        <w:r w:rsidR="00AF043D">
          <w:rPr>
            <w:rStyle w:val="Hyperlink"/>
            <w:rFonts w:ascii="Arial" w:eastAsia="Times New Roman" w:hAnsi="Arial" w:cs="Arial"/>
            <w:kern w:val="0"/>
            <w:u w:val="none"/>
            <w:lang w:eastAsia="en-GB"/>
            <w14:ligatures w14:val="none"/>
          </w:rPr>
          <w:t xml:space="preserve"> </w:t>
        </w:r>
        <w:r w:rsidRPr="00041F81">
          <w:rPr>
            <w:rStyle w:val="Hyperlink"/>
            <w:rFonts w:ascii="Arial" w:eastAsia="Times New Roman" w:hAnsi="Arial" w:cs="Arial"/>
            <w:kern w:val="0"/>
            <w:u w:val="none"/>
            <w:lang w:eastAsia="en-GB"/>
            <w14:ligatures w14:val="none"/>
          </w:rPr>
          <w:t>2022</w:t>
        </w:r>
      </w:hyperlink>
      <w:r w:rsidRPr="00041F81">
        <w:rPr>
          <w:rFonts w:ascii="Arial" w:eastAsia="Times New Roman" w:hAnsi="Arial" w:cs="Arial"/>
          <w:kern w:val="0"/>
          <w:lang w:eastAsia="en-GB"/>
          <w14:ligatures w14:val="none"/>
        </w:rPr>
        <w:t xml:space="preserve"> (Accessed: 17 October 2025).</w:t>
      </w:r>
    </w:p>
    <w:p w14:paraId="38CF1595" w14:textId="3D4EDA0E"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General Medical Council (GMC) (2013) Consent: Patients and Doctors Making Decisions Together. London: GMC. Available at: https://www.gmc</w:t>
      </w:r>
      <w:r w:rsidR="00AF043D">
        <w:rPr>
          <w:rFonts w:ascii="Arial" w:eastAsia="Times New Roman" w:hAnsi="Arial" w:cs="Arial"/>
          <w:kern w:val="0"/>
          <w:lang w:eastAsia="en-GB"/>
          <w14:ligatures w14:val="none"/>
        </w:rPr>
        <w:t xml:space="preserve"> </w:t>
      </w:r>
      <w:r w:rsidRPr="00041F81">
        <w:rPr>
          <w:rFonts w:ascii="Arial" w:eastAsia="Times New Roman" w:hAnsi="Arial" w:cs="Arial"/>
          <w:kern w:val="0"/>
          <w:lang w:eastAsia="en-GB"/>
          <w14:ligatures w14:val="none"/>
        </w:rPr>
        <w:t>uk.org/</w:t>
      </w:r>
      <w:r w:rsidR="0073796B" w:rsidRPr="00041F81">
        <w:rPr>
          <w:rFonts w:ascii="Arial" w:eastAsia="Times New Roman" w:hAnsi="Arial" w:cs="Arial"/>
          <w:kern w:val="0"/>
          <w:lang w:eastAsia="en-GB"/>
          <w14:ligatures w14:val="none"/>
        </w:rPr>
        <w:t>ethical guidance</w:t>
      </w:r>
      <w:r w:rsidRPr="00041F81">
        <w:rPr>
          <w:rFonts w:ascii="Arial" w:eastAsia="Times New Roman" w:hAnsi="Arial" w:cs="Arial"/>
          <w:kern w:val="0"/>
          <w:lang w:eastAsia="en-GB"/>
          <w14:ligatures w14:val="none"/>
        </w:rPr>
        <w:t>/ethicalguidancefordoctors/consent (Accessed: 3 October 2025).</w:t>
      </w:r>
    </w:p>
    <w:p w14:paraId="7B7BC4D9"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Gibbs, G. (1988) Learning by Doing: A Guide to Teaching and Learning Methods. Oxford: Oxford Polytechnic.</w:t>
      </w:r>
    </w:p>
    <w:p w14:paraId="563BC339" w14:textId="248074AC"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Health and Care Professions Council (HCPC) (2023) Standards of Conduct, Performance and Ethics. Available at: https://www.hcpc</w:t>
      </w:r>
      <w:r w:rsidR="00AF043D">
        <w:rPr>
          <w:rFonts w:ascii="Arial" w:eastAsia="Times New Roman" w:hAnsi="Arial" w:cs="Arial"/>
          <w:kern w:val="0"/>
          <w:lang w:eastAsia="en-GB"/>
          <w14:ligatures w14:val="none"/>
        </w:rPr>
        <w:t xml:space="preserve"> </w:t>
      </w:r>
      <w:r w:rsidRPr="00041F81">
        <w:rPr>
          <w:rFonts w:ascii="Arial" w:eastAsia="Times New Roman" w:hAnsi="Arial" w:cs="Arial"/>
          <w:kern w:val="0"/>
          <w:lang w:eastAsia="en-GB"/>
          <w14:ligatures w14:val="none"/>
        </w:rPr>
        <w:t>uk.org/standards/standardsofconductperformanceandethics/ (Accessed: 1 October 2025).</w:t>
      </w:r>
    </w:p>
    <w:p w14:paraId="4DBD4E6D"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Kitwood, T. (1997) Dementia Reconsidered: The Person Comes First. Buckingham: Open University Press.</w:t>
      </w:r>
    </w:p>
    <w:p w14:paraId="72769AF0" w14:textId="5C97DEE6"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McCormack, B. and McCance, T. (2017) Person</w:t>
      </w:r>
      <w:r w:rsidR="00AF043D">
        <w:rPr>
          <w:rFonts w:ascii="Arial" w:eastAsia="Times New Roman" w:hAnsi="Arial" w:cs="Arial"/>
          <w:kern w:val="0"/>
          <w:lang w:eastAsia="en-GB"/>
          <w14:ligatures w14:val="none"/>
        </w:rPr>
        <w:t xml:space="preserve"> </w:t>
      </w:r>
      <w:r w:rsidRPr="00041F81">
        <w:rPr>
          <w:rFonts w:ascii="Arial" w:eastAsia="Times New Roman" w:hAnsi="Arial" w:cs="Arial"/>
          <w:kern w:val="0"/>
          <w:lang w:eastAsia="en-GB"/>
          <w14:ligatures w14:val="none"/>
        </w:rPr>
        <w:t>Centred Practice in Nursing and Health Care: Theory and Practice. 2nd edn. Oxford: Wiley</w:t>
      </w:r>
      <w:r w:rsidR="00AF043D">
        <w:rPr>
          <w:rFonts w:ascii="Arial" w:eastAsia="Times New Roman" w:hAnsi="Arial" w:cs="Arial"/>
          <w:kern w:val="0"/>
          <w:lang w:eastAsia="en-GB"/>
          <w14:ligatures w14:val="none"/>
        </w:rPr>
        <w:t xml:space="preserve"> </w:t>
      </w:r>
      <w:r w:rsidRPr="00041F81">
        <w:rPr>
          <w:rFonts w:ascii="Arial" w:eastAsia="Times New Roman" w:hAnsi="Arial" w:cs="Arial"/>
          <w:kern w:val="0"/>
          <w:lang w:eastAsia="en-GB"/>
          <w14:ligatures w14:val="none"/>
        </w:rPr>
        <w:t>Blackwell.</w:t>
      </w:r>
    </w:p>
    <w:p w14:paraId="4B22E63E"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Mental Capacity Act 2005 (c.9) (2005) London: HMSO. Available at: </w:t>
      </w:r>
      <w:hyperlink r:id="rId10" w:tgtFrame="_new" w:history="1">
        <w:r w:rsidRPr="00041F81">
          <w:rPr>
            <w:rStyle w:val="Hyperlink"/>
            <w:rFonts w:ascii="Arial" w:eastAsia="Times New Roman" w:hAnsi="Arial" w:cs="Arial"/>
            <w:kern w:val="0"/>
            <w:u w:val="none"/>
            <w:lang w:eastAsia="en-GB"/>
            <w14:ligatures w14:val="none"/>
          </w:rPr>
          <w:t>https://www.legislation.gov.uk/ukpga/2005/9/contents</w:t>
        </w:r>
      </w:hyperlink>
      <w:r w:rsidRPr="00041F81">
        <w:rPr>
          <w:rFonts w:ascii="Arial" w:eastAsia="Times New Roman" w:hAnsi="Arial" w:cs="Arial"/>
          <w:kern w:val="0"/>
          <w:lang w:eastAsia="en-GB"/>
          <w14:ligatures w14:val="none"/>
        </w:rPr>
        <w:t xml:space="preserve"> (Accessed: 3 October 2025).</w:t>
      </w:r>
    </w:p>
    <w:p w14:paraId="14E7B882"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NHS England (2016) Leading Change, Adding Value: The 6Cs in Action. Available at: </w:t>
      </w:r>
      <w:hyperlink r:id="rId11" w:tgtFrame="_new" w:history="1">
        <w:r w:rsidRPr="00041F81">
          <w:rPr>
            <w:rStyle w:val="Hyperlink"/>
            <w:rFonts w:ascii="Arial" w:eastAsia="Times New Roman" w:hAnsi="Arial" w:cs="Arial"/>
            <w:kern w:val="0"/>
            <w:u w:val="none"/>
            <w:lang w:eastAsia="en-GB"/>
            <w14:ligatures w14:val="none"/>
          </w:rPr>
          <w:t>https://www.england.nhs.uk/leadingchange</w:t>
        </w:r>
      </w:hyperlink>
      <w:r w:rsidRPr="00041F81">
        <w:rPr>
          <w:rFonts w:ascii="Arial" w:eastAsia="Times New Roman" w:hAnsi="Arial" w:cs="Arial"/>
          <w:kern w:val="0"/>
          <w:lang w:eastAsia="en-GB"/>
          <w14:ligatures w14:val="none"/>
        </w:rPr>
        <w:t xml:space="preserve"> (Accessed: 17 October 2025).</w:t>
      </w:r>
    </w:p>
    <w:p w14:paraId="189E20DB" w14:textId="5DF83FFB"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NHS England (2021) The NHS Constitution for England. London: NHS England. Available at: </w:t>
      </w:r>
      <w:hyperlink r:id="rId12" w:tgtFrame="_new" w:history="1">
        <w:r w:rsidRPr="00041F81">
          <w:rPr>
            <w:rStyle w:val="Hyperlink"/>
            <w:rFonts w:ascii="Arial" w:eastAsia="Times New Roman" w:hAnsi="Arial" w:cs="Arial"/>
            <w:kern w:val="0"/>
            <w:u w:val="none"/>
            <w:lang w:eastAsia="en-GB"/>
            <w14:ligatures w14:val="none"/>
          </w:rPr>
          <w:t>https://www.gov.uk/government/publications/the</w:t>
        </w:r>
        <w:r w:rsidR="00AF043D">
          <w:rPr>
            <w:rStyle w:val="Hyperlink"/>
            <w:rFonts w:ascii="Arial" w:eastAsia="Times New Roman" w:hAnsi="Arial" w:cs="Arial"/>
            <w:kern w:val="0"/>
            <w:u w:val="none"/>
            <w:lang w:eastAsia="en-GB"/>
            <w14:ligatures w14:val="none"/>
          </w:rPr>
          <w:t xml:space="preserve"> </w:t>
        </w:r>
        <w:r w:rsidRPr="00041F81">
          <w:rPr>
            <w:rStyle w:val="Hyperlink"/>
            <w:rFonts w:ascii="Arial" w:eastAsia="Times New Roman" w:hAnsi="Arial" w:cs="Arial"/>
            <w:kern w:val="0"/>
            <w:u w:val="none"/>
            <w:lang w:eastAsia="en-GB"/>
            <w14:ligatures w14:val="none"/>
          </w:rPr>
          <w:t>nhs</w:t>
        </w:r>
        <w:r w:rsidR="00AF043D">
          <w:rPr>
            <w:rStyle w:val="Hyperlink"/>
            <w:rFonts w:ascii="Arial" w:eastAsia="Times New Roman" w:hAnsi="Arial" w:cs="Arial"/>
            <w:kern w:val="0"/>
            <w:u w:val="none"/>
            <w:lang w:eastAsia="en-GB"/>
            <w14:ligatures w14:val="none"/>
          </w:rPr>
          <w:t xml:space="preserve"> </w:t>
        </w:r>
        <w:r w:rsidRPr="00041F81">
          <w:rPr>
            <w:rStyle w:val="Hyperlink"/>
            <w:rFonts w:ascii="Arial" w:eastAsia="Times New Roman" w:hAnsi="Arial" w:cs="Arial"/>
            <w:kern w:val="0"/>
            <w:u w:val="none"/>
            <w:lang w:eastAsia="en-GB"/>
            <w14:ligatures w14:val="none"/>
          </w:rPr>
          <w:t>constitution</w:t>
        </w:r>
        <w:r w:rsidR="00AF043D">
          <w:rPr>
            <w:rStyle w:val="Hyperlink"/>
            <w:rFonts w:ascii="Arial" w:eastAsia="Times New Roman" w:hAnsi="Arial" w:cs="Arial"/>
            <w:kern w:val="0"/>
            <w:u w:val="none"/>
            <w:lang w:eastAsia="en-GB"/>
            <w14:ligatures w14:val="none"/>
          </w:rPr>
          <w:t xml:space="preserve"> </w:t>
        </w:r>
        <w:r w:rsidRPr="00041F81">
          <w:rPr>
            <w:rStyle w:val="Hyperlink"/>
            <w:rFonts w:ascii="Arial" w:eastAsia="Times New Roman" w:hAnsi="Arial" w:cs="Arial"/>
            <w:kern w:val="0"/>
            <w:u w:val="none"/>
            <w:lang w:eastAsia="en-GB"/>
            <w14:ligatures w14:val="none"/>
          </w:rPr>
          <w:t>for</w:t>
        </w:r>
        <w:r w:rsidR="00AF043D">
          <w:rPr>
            <w:rStyle w:val="Hyperlink"/>
            <w:rFonts w:ascii="Arial" w:eastAsia="Times New Roman" w:hAnsi="Arial" w:cs="Arial"/>
            <w:kern w:val="0"/>
            <w:u w:val="none"/>
            <w:lang w:eastAsia="en-GB"/>
            <w14:ligatures w14:val="none"/>
          </w:rPr>
          <w:t xml:space="preserve"> </w:t>
        </w:r>
        <w:r w:rsidRPr="00041F81">
          <w:rPr>
            <w:rStyle w:val="Hyperlink"/>
            <w:rFonts w:ascii="Arial" w:eastAsia="Times New Roman" w:hAnsi="Arial" w:cs="Arial"/>
            <w:kern w:val="0"/>
            <w:u w:val="none"/>
            <w:lang w:eastAsia="en-GB"/>
            <w14:ligatures w14:val="none"/>
          </w:rPr>
          <w:t>england</w:t>
        </w:r>
      </w:hyperlink>
      <w:r w:rsidRPr="00041F81">
        <w:rPr>
          <w:rFonts w:ascii="Arial" w:eastAsia="Times New Roman" w:hAnsi="Arial" w:cs="Arial"/>
          <w:kern w:val="0"/>
          <w:lang w:eastAsia="en-GB"/>
          <w14:ligatures w14:val="none"/>
        </w:rPr>
        <w:t xml:space="preserve"> (Accessed: 3 October 2025).</w:t>
      </w:r>
    </w:p>
    <w:p w14:paraId="055F2BEF"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lastRenderedPageBreak/>
        <w:t xml:space="preserve">NICE (2018) Dementia: Assessment, Management and Support for People Living with Dementia and Their Carers (NG97). London: NICE. Available at: </w:t>
      </w:r>
      <w:hyperlink r:id="rId13" w:tgtFrame="_new" w:history="1">
        <w:r w:rsidRPr="00041F81">
          <w:rPr>
            <w:rStyle w:val="Hyperlink"/>
            <w:rFonts w:ascii="Arial" w:eastAsia="Times New Roman" w:hAnsi="Arial" w:cs="Arial"/>
            <w:kern w:val="0"/>
            <w:u w:val="none"/>
            <w:lang w:eastAsia="en-GB"/>
            <w14:ligatures w14:val="none"/>
          </w:rPr>
          <w:t>https://www.nice.org.uk/guidance/ng97</w:t>
        </w:r>
      </w:hyperlink>
      <w:r w:rsidRPr="00041F81">
        <w:rPr>
          <w:rFonts w:ascii="Arial" w:eastAsia="Times New Roman" w:hAnsi="Arial" w:cs="Arial"/>
          <w:kern w:val="0"/>
          <w:lang w:eastAsia="en-GB"/>
          <w14:ligatures w14:val="none"/>
        </w:rPr>
        <w:t xml:space="preserve"> (Accessed: 17 October 2025).</w:t>
      </w:r>
    </w:p>
    <w:p w14:paraId="2F25100B" w14:textId="0AC9BAB9"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Nolan, M., Davies, S., Brown, J., Keady, </w:t>
      </w:r>
      <w:proofErr w:type="gramStart"/>
      <w:r w:rsidRPr="00041F81">
        <w:rPr>
          <w:rFonts w:ascii="Arial" w:eastAsia="Times New Roman" w:hAnsi="Arial" w:cs="Arial"/>
          <w:kern w:val="0"/>
          <w:lang w:eastAsia="en-GB"/>
          <w14:ligatures w14:val="none"/>
        </w:rPr>
        <w:t>J.</w:t>
      </w:r>
      <w:proofErr w:type="gramEnd"/>
      <w:r w:rsidRPr="00041F81">
        <w:rPr>
          <w:rFonts w:ascii="Arial" w:eastAsia="Times New Roman" w:hAnsi="Arial" w:cs="Arial"/>
          <w:kern w:val="0"/>
          <w:lang w:eastAsia="en-GB"/>
          <w14:ligatures w14:val="none"/>
        </w:rPr>
        <w:t xml:space="preserve"> and Nolan, J. (2006) The Senses Framework: Improving Care for Older People through a Relationship</w:t>
      </w:r>
      <w:r w:rsidR="00AF043D">
        <w:rPr>
          <w:rFonts w:ascii="Arial" w:eastAsia="Times New Roman" w:hAnsi="Arial" w:cs="Arial"/>
          <w:kern w:val="0"/>
          <w:lang w:eastAsia="en-GB"/>
          <w14:ligatures w14:val="none"/>
        </w:rPr>
        <w:t xml:space="preserve"> </w:t>
      </w:r>
      <w:r w:rsidRPr="00041F81">
        <w:rPr>
          <w:rFonts w:ascii="Arial" w:eastAsia="Times New Roman" w:hAnsi="Arial" w:cs="Arial"/>
          <w:kern w:val="0"/>
          <w:lang w:eastAsia="en-GB"/>
          <w14:ligatures w14:val="none"/>
        </w:rPr>
        <w:t>Centred Approach. Sheffield: University of Sheffield.</w:t>
      </w:r>
    </w:p>
    <w:p w14:paraId="3BE553E2" w14:textId="27FD5571"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Rogers, C.R. (1951) Client</w:t>
      </w:r>
      <w:r w:rsidR="00AF043D">
        <w:rPr>
          <w:rFonts w:ascii="Arial" w:eastAsia="Times New Roman" w:hAnsi="Arial" w:cs="Arial"/>
          <w:kern w:val="0"/>
          <w:lang w:eastAsia="en-GB"/>
          <w14:ligatures w14:val="none"/>
        </w:rPr>
        <w:t xml:space="preserve"> </w:t>
      </w:r>
      <w:r w:rsidR="00832749" w:rsidRPr="00041F81">
        <w:rPr>
          <w:rFonts w:ascii="Arial" w:eastAsia="Times New Roman" w:hAnsi="Arial" w:cs="Arial"/>
          <w:kern w:val="0"/>
          <w:lang w:eastAsia="en-GB"/>
          <w14:ligatures w14:val="none"/>
        </w:rPr>
        <w:t>Centred</w:t>
      </w:r>
      <w:r w:rsidRPr="00041F81">
        <w:rPr>
          <w:rFonts w:ascii="Arial" w:eastAsia="Times New Roman" w:hAnsi="Arial" w:cs="Arial"/>
          <w:kern w:val="0"/>
          <w:lang w:eastAsia="en-GB"/>
          <w14:ligatures w14:val="none"/>
        </w:rPr>
        <w:t xml:space="preserve"> Therapy: Its Current Practice, Implications and Theory. Boston: Houghton Mifflin.</w:t>
      </w:r>
    </w:p>
    <w:p w14:paraId="56EF5B99" w14:textId="67CFCF6E" w:rsidR="00E8447F" w:rsidRPr="00183CEA" w:rsidRDefault="00E8447F" w:rsidP="00041F81">
      <w:pPr>
        <w:shd w:val="clear" w:color="auto" w:fill="FFFFFF"/>
        <w:spacing w:after="0" w:line="240" w:lineRule="auto"/>
        <w:rPr>
          <w:rFonts w:ascii="Arial" w:eastAsia="Times New Roman" w:hAnsi="Arial" w:cs="Arial"/>
          <w:kern w:val="0"/>
          <w:lang w:eastAsia="en-GB"/>
          <w14:ligatures w14:val="none"/>
        </w:rPr>
      </w:pPr>
    </w:p>
    <w:p w14:paraId="77A89635" w14:textId="3799E9FA" w:rsidR="00460B5A" w:rsidRPr="003D680E" w:rsidRDefault="00460B5A" w:rsidP="00460B5A"/>
    <w:p w14:paraId="199767D1" w14:textId="77777777" w:rsidR="00460B5A" w:rsidRPr="00975856" w:rsidRDefault="00460B5A" w:rsidP="00460B5A"/>
    <w:p w14:paraId="60767A71" w14:textId="77777777" w:rsidR="00460B5A" w:rsidRPr="00932C3D" w:rsidRDefault="00460B5A" w:rsidP="00460B5A">
      <w:pPr>
        <w:spacing w:after="0" w:line="240" w:lineRule="auto"/>
        <w:rPr>
          <w:rFonts w:ascii="Times New Roman" w:eastAsia="Times New Roman" w:hAnsi="Times New Roman" w:cs="Times New Roman"/>
          <w:kern w:val="0"/>
          <w:sz w:val="24"/>
          <w:szCs w:val="24"/>
          <w:lang w:eastAsia="en-GB"/>
          <w14:ligatures w14:val="none"/>
        </w:rPr>
      </w:pPr>
    </w:p>
    <w:p w14:paraId="3C441FC3" w14:textId="77777777" w:rsidR="00460B5A" w:rsidRPr="00E27BA2" w:rsidRDefault="00460B5A" w:rsidP="00460B5A">
      <w:pPr>
        <w:shd w:val="clear" w:color="auto" w:fill="FFFFFF"/>
        <w:spacing w:after="0" w:line="240" w:lineRule="auto"/>
        <w:rPr>
          <w:rFonts w:ascii="Arial" w:eastAsia="Times New Roman" w:hAnsi="Arial" w:cs="Arial"/>
          <w:color w:val="222222"/>
          <w:kern w:val="0"/>
          <w:sz w:val="24"/>
          <w:szCs w:val="24"/>
          <w:lang w:eastAsia="en-GB"/>
          <w14:ligatures w14:val="none"/>
        </w:rPr>
      </w:pPr>
      <w:r w:rsidRPr="00932C3D">
        <w:rPr>
          <w:rFonts w:ascii="Arial" w:eastAsia="Times New Roman" w:hAnsi="Arial" w:cs="Arial"/>
          <w:color w:val="222222"/>
          <w:kern w:val="0"/>
          <w:sz w:val="24"/>
          <w:szCs w:val="24"/>
          <w:lang w:eastAsia="en-GB"/>
          <w14:ligatures w14:val="none"/>
        </w:rPr>
        <w:br/>
        <w:t> </w:t>
      </w:r>
    </w:p>
    <w:tbl>
      <w:tblPr>
        <w:tblW w:w="0" w:type="auto"/>
        <w:tblCellMar>
          <w:top w:w="15" w:type="dxa"/>
          <w:left w:w="15" w:type="dxa"/>
          <w:bottom w:w="15" w:type="dxa"/>
          <w:right w:w="15" w:type="dxa"/>
        </w:tblCellMar>
        <w:tblLook w:val="04A0" w:firstRow="1" w:lastRow="0" w:firstColumn="1" w:lastColumn="0" w:noHBand="0" w:noVBand="1"/>
      </w:tblPr>
      <w:tblGrid>
        <w:gridCol w:w="600"/>
        <w:gridCol w:w="8426"/>
      </w:tblGrid>
      <w:tr w:rsidR="00460B5A" w:rsidRPr="00E27BA2" w14:paraId="68D03F3B" w14:textId="77777777" w:rsidTr="005D253B">
        <w:tc>
          <w:tcPr>
            <w:tcW w:w="660" w:type="dxa"/>
            <w:tcMar>
              <w:top w:w="0" w:type="dxa"/>
              <w:left w:w="240" w:type="dxa"/>
              <w:bottom w:w="0" w:type="dxa"/>
              <w:right w:w="240" w:type="dxa"/>
            </w:tcMar>
            <w:hideMark/>
          </w:tcPr>
          <w:p w14:paraId="1C834619" w14:textId="77777777" w:rsidR="00460B5A" w:rsidRPr="00E27BA2" w:rsidRDefault="00460B5A" w:rsidP="005D253B">
            <w:pPr>
              <w:spacing w:after="0" w:line="240" w:lineRule="auto"/>
              <w:rPr>
                <w:rFonts w:ascii="Times New Roman" w:eastAsia="Times New Roman" w:hAnsi="Times New Roman" w:cs="Times New Roman"/>
                <w:kern w:val="0"/>
                <w:sz w:val="24"/>
                <w:szCs w:val="24"/>
                <w:lang w:eastAsia="en-GB"/>
                <w14:ligatures w14:val="none"/>
              </w:rPr>
            </w:pPr>
          </w:p>
        </w:tc>
        <w:tc>
          <w:tcPr>
            <w:tcW w:w="12840" w:type="dxa"/>
            <w:tcMar>
              <w:top w:w="0" w:type="dxa"/>
              <w:left w:w="0" w:type="dxa"/>
              <w:bottom w:w="0" w:type="dxa"/>
              <w:right w:w="0" w:type="dxa"/>
            </w:tcMar>
            <w:vAlign w:val="center"/>
            <w:hideMark/>
          </w:tcPr>
          <w:p w14:paraId="7324E0C8" w14:textId="77777777" w:rsidR="00460B5A" w:rsidRPr="00E27BA2" w:rsidRDefault="00460B5A" w:rsidP="005D253B">
            <w:pPr>
              <w:spacing w:after="0" w:line="240" w:lineRule="auto"/>
              <w:rPr>
                <w:rFonts w:ascii="Times New Roman" w:eastAsia="Times New Roman" w:hAnsi="Times New Roman" w:cs="Times New Roman"/>
                <w:kern w:val="0"/>
                <w:sz w:val="24"/>
                <w:szCs w:val="24"/>
                <w:lang w:eastAsia="en-GB"/>
                <w14:ligatures w14:val="none"/>
              </w:rPr>
            </w:pPr>
          </w:p>
        </w:tc>
      </w:tr>
    </w:tbl>
    <w:p w14:paraId="1816ADE7" w14:textId="77777777" w:rsidR="009659F9" w:rsidRDefault="009659F9"/>
    <w:sectPr w:rsidR="00965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haroni">
    <w:altName w:val="Arial"/>
    <w:charset w:val="B1"/>
    <w:family w:val="auto"/>
    <w:pitch w:val="variable"/>
    <w:sig w:usb0="00000803" w:usb1="00000000" w:usb2="00000000" w:usb3="00000000" w:csb0="00000021"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B5A"/>
    <w:rsid w:val="00020D92"/>
    <w:rsid w:val="00041F81"/>
    <w:rsid w:val="0013088D"/>
    <w:rsid w:val="0017134F"/>
    <w:rsid w:val="00185668"/>
    <w:rsid w:val="001E284E"/>
    <w:rsid w:val="002F7290"/>
    <w:rsid w:val="00344433"/>
    <w:rsid w:val="003D680E"/>
    <w:rsid w:val="00403419"/>
    <w:rsid w:val="00460B5A"/>
    <w:rsid w:val="004C2CDB"/>
    <w:rsid w:val="0050526B"/>
    <w:rsid w:val="005C7B56"/>
    <w:rsid w:val="005D253B"/>
    <w:rsid w:val="00623F0C"/>
    <w:rsid w:val="00630B8A"/>
    <w:rsid w:val="0063353D"/>
    <w:rsid w:val="006F0D8B"/>
    <w:rsid w:val="00716800"/>
    <w:rsid w:val="007273CF"/>
    <w:rsid w:val="0073796B"/>
    <w:rsid w:val="00763898"/>
    <w:rsid w:val="00764B3E"/>
    <w:rsid w:val="00776321"/>
    <w:rsid w:val="007F2EF2"/>
    <w:rsid w:val="008240F3"/>
    <w:rsid w:val="00832749"/>
    <w:rsid w:val="0088498C"/>
    <w:rsid w:val="008F611C"/>
    <w:rsid w:val="00900DAB"/>
    <w:rsid w:val="009519B5"/>
    <w:rsid w:val="009659F9"/>
    <w:rsid w:val="00A23883"/>
    <w:rsid w:val="00A951A0"/>
    <w:rsid w:val="00AF043D"/>
    <w:rsid w:val="00B27842"/>
    <w:rsid w:val="00BA0093"/>
    <w:rsid w:val="00BB2013"/>
    <w:rsid w:val="00C17E61"/>
    <w:rsid w:val="00DB2D0C"/>
    <w:rsid w:val="00E16C74"/>
    <w:rsid w:val="00E6682C"/>
    <w:rsid w:val="00E8447F"/>
    <w:rsid w:val="00EA2049"/>
    <w:rsid w:val="00FC409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319B7"/>
  <w15:chartTrackingRefBased/>
  <w15:docId w15:val="{D1432D91-D5F2-44C7-A5A4-5960DD260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B5A"/>
  </w:style>
  <w:style w:type="paragraph" w:styleId="Heading1">
    <w:name w:val="heading 1"/>
    <w:basedOn w:val="Normal"/>
    <w:next w:val="Normal"/>
    <w:link w:val="Heading1Char"/>
    <w:uiPriority w:val="9"/>
    <w:qFormat/>
    <w:rsid w:val="00460B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B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B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B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B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B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B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B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B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B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B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B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B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B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B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B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B5A"/>
    <w:rPr>
      <w:rFonts w:eastAsiaTheme="majorEastAsia" w:cstheme="majorBidi"/>
      <w:color w:val="272727" w:themeColor="text1" w:themeTint="D8"/>
    </w:rPr>
  </w:style>
  <w:style w:type="paragraph" w:styleId="Title">
    <w:name w:val="Title"/>
    <w:basedOn w:val="Normal"/>
    <w:next w:val="Normal"/>
    <w:link w:val="TitleChar"/>
    <w:uiPriority w:val="10"/>
    <w:qFormat/>
    <w:rsid w:val="00460B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B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B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B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B5A"/>
    <w:pPr>
      <w:spacing w:before="160"/>
      <w:jc w:val="center"/>
    </w:pPr>
    <w:rPr>
      <w:i/>
      <w:iCs/>
      <w:color w:val="404040" w:themeColor="text1" w:themeTint="BF"/>
    </w:rPr>
  </w:style>
  <w:style w:type="character" w:customStyle="1" w:styleId="QuoteChar">
    <w:name w:val="Quote Char"/>
    <w:basedOn w:val="DefaultParagraphFont"/>
    <w:link w:val="Quote"/>
    <w:uiPriority w:val="29"/>
    <w:rsid w:val="00460B5A"/>
    <w:rPr>
      <w:i/>
      <w:iCs/>
      <w:color w:val="404040" w:themeColor="text1" w:themeTint="BF"/>
    </w:rPr>
  </w:style>
  <w:style w:type="paragraph" w:styleId="ListParagraph">
    <w:name w:val="List Paragraph"/>
    <w:basedOn w:val="Normal"/>
    <w:uiPriority w:val="34"/>
    <w:qFormat/>
    <w:rsid w:val="00460B5A"/>
    <w:pPr>
      <w:ind w:left="720"/>
      <w:contextualSpacing/>
    </w:pPr>
  </w:style>
  <w:style w:type="character" w:styleId="IntenseEmphasis">
    <w:name w:val="Intense Emphasis"/>
    <w:basedOn w:val="DefaultParagraphFont"/>
    <w:uiPriority w:val="21"/>
    <w:qFormat/>
    <w:rsid w:val="00460B5A"/>
    <w:rPr>
      <w:i/>
      <w:iCs/>
      <w:color w:val="0F4761" w:themeColor="accent1" w:themeShade="BF"/>
    </w:rPr>
  </w:style>
  <w:style w:type="paragraph" w:styleId="IntenseQuote">
    <w:name w:val="Intense Quote"/>
    <w:basedOn w:val="Normal"/>
    <w:next w:val="Normal"/>
    <w:link w:val="IntenseQuoteChar"/>
    <w:uiPriority w:val="30"/>
    <w:qFormat/>
    <w:rsid w:val="00460B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B5A"/>
    <w:rPr>
      <w:i/>
      <w:iCs/>
      <w:color w:val="0F4761" w:themeColor="accent1" w:themeShade="BF"/>
    </w:rPr>
  </w:style>
  <w:style w:type="character" w:styleId="IntenseReference">
    <w:name w:val="Intense Reference"/>
    <w:basedOn w:val="DefaultParagraphFont"/>
    <w:uiPriority w:val="32"/>
    <w:qFormat/>
    <w:rsid w:val="00460B5A"/>
    <w:rPr>
      <w:b/>
      <w:bCs/>
      <w:smallCaps/>
      <w:color w:val="0F4761" w:themeColor="accent1" w:themeShade="BF"/>
      <w:spacing w:val="5"/>
    </w:rPr>
  </w:style>
  <w:style w:type="paragraph" w:styleId="NormalWeb">
    <w:name w:val="Normal (Web)"/>
    <w:basedOn w:val="Normal"/>
    <w:uiPriority w:val="99"/>
    <w:semiHidden/>
    <w:unhideWhenUsed/>
    <w:rsid w:val="00041F81"/>
    <w:rPr>
      <w:rFonts w:ascii="Times New Roman" w:hAnsi="Times New Roman" w:cs="Times New Roman"/>
      <w:sz w:val="24"/>
      <w:szCs w:val="24"/>
    </w:rPr>
  </w:style>
  <w:style w:type="character" w:styleId="Hyperlink">
    <w:name w:val="Hyperlink"/>
    <w:basedOn w:val="DefaultParagraphFont"/>
    <w:uiPriority w:val="99"/>
    <w:unhideWhenUsed/>
    <w:rsid w:val="00041F81"/>
    <w:rPr>
      <w:color w:val="467886" w:themeColor="hyperlink"/>
      <w:u w:val="single"/>
    </w:rPr>
  </w:style>
  <w:style w:type="character" w:styleId="UnresolvedMention">
    <w:name w:val="Unresolved Mention"/>
    <w:basedOn w:val="DefaultParagraphFont"/>
    <w:uiPriority w:val="99"/>
    <w:semiHidden/>
    <w:unhideWhenUsed/>
    <w:rsid w:val="00041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inpartnership" TargetMode="External"/><Relationship Id="rId13" Type="http://schemas.openxmlformats.org/officeDocument/2006/relationships/hyperlink" Target="https://www.nice.org.uk/guidance/ng97" TargetMode="External"/><Relationship Id="rId3" Type="http://schemas.openxmlformats.org/officeDocument/2006/relationships/webSettings" Target="web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gov.uk/government/publications/the-nhs-constitution-for-englan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2/7/contents" TargetMode="External"/><Relationship Id="rId11" Type="http://schemas.openxmlformats.org/officeDocument/2006/relationships/hyperlink" Target="https://www.england.nhs.uk/leadingchange" TargetMode="External"/><Relationship Id="rId5" Type="http://schemas.openxmlformats.org/officeDocument/2006/relationships/hyperlink" Target="https://www.cqc.org.uk" TargetMode="External"/><Relationship Id="rId15" Type="http://schemas.openxmlformats.org/officeDocument/2006/relationships/theme" Target="theme/theme1.xml"/><Relationship Id="rId10" Type="http://schemas.openxmlformats.org/officeDocument/2006/relationships/hyperlink" Target="https://www.legislation.gov.uk/ukpga/2005/9/contents" TargetMode="External"/><Relationship Id="rId4" Type="http://schemas.openxmlformats.org/officeDocument/2006/relationships/hyperlink" Target="https://www.legislation.gov.uk/ukpga/2014/23/contents/enacted" TargetMode="External"/><Relationship Id="rId9" Type="http://schemas.openxmlformats.org/officeDocument/2006/relationships/hyperlink" Target="https://www.gov.uk/government/collections/health-and-care-act-202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14169</TotalTime>
  <Pages>8</Pages>
  <Words>2380</Words>
  <Characters>14900</Characters>
  <Application>Microsoft Office Word</Application>
  <DocSecurity>0</DocSecurity>
  <Lines>317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Igbinigie (2334466)</dc:creator>
  <cp:keywords/>
  <dc:description/>
  <cp:lastModifiedBy>Kate Igbinigie (2334466)</cp:lastModifiedBy>
  <cp:revision>35</cp:revision>
  <dcterms:created xsi:type="dcterms:W3CDTF">2025-10-05T20:59:00Z</dcterms:created>
  <dcterms:modified xsi:type="dcterms:W3CDTF">2025-10-19T19:17:00Z</dcterms:modified>
</cp:coreProperties>
</file>