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6D9DF" w14:textId="6AB84EAE" w:rsidR="0072672E" w:rsidRPr="00FA23FD" w:rsidRDefault="0072672E" w:rsidP="0072672E">
      <w:pPr>
        <w:rPr>
          <w:b/>
          <w:bCs/>
          <w:u w:val="single"/>
        </w:rPr>
      </w:pPr>
      <w:r w:rsidRPr="00FA23FD">
        <w:rPr>
          <w:b/>
          <w:bCs/>
          <w:u w:val="single"/>
        </w:rPr>
        <w:t>Email 1</w:t>
      </w:r>
    </w:p>
    <w:p w14:paraId="3A3A9D3C" w14:textId="3A3E35E8" w:rsidR="0072672E" w:rsidRPr="00226C1C" w:rsidRDefault="0072672E" w:rsidP="0072672E">
      <w:pPr>
        <w:rPr>
          <w:strike/>
        </w:rPr>
      </w:pPr>
      <w:r w:rsidRPr="00226C1C">
        <w:rPr>
          <w:strike/>
        </w:rPr>
        <w:t>While I understand your focus, it's important to also consider compliance with legal and ethical regulations. Below is my evaluation of employment regulation goals and relevant case law.</w:t>
      </w:r>
    </w:p>
    <w:p w14:paraId="75AED744" w14:textId="77777777" w:rsidR="0072672E" w:rsidRPr="00226C1C" w:rsidRDefault="0072672E" w:rsidP="0072672E">
      <w:pPr>
        <w:rPr>
          <w:strike/>
        </w:rPr>
      </w:pPr>
      <w:r w:rsidRPr="00226C1C">
        <w:rPr>
          <w:strike/>
        </w:rPr>
        <w:t xml:space="preserve">A key goal of employment law is to protect employee rights, ensure fair treatment, and prevent discrimination (ACAS, 2023). The UK Supreme Court case </w:t>
      </w:r>
      <w:r w:rsidRPr="00226C1C">
        <w:rPr>
          <w:i/>
          <w:iCs/>
          <w:strike/>
        </w:rPr>
        <w:t xml:space="preserve">Royal Mail Group Ltd v </w:t>
      </w:r>
      <w:proofErr w:type="spellStart"/>
      <w:r w:rsidRPr="00226C1C">
        <w:rPr>
          <w:i/>
          <w:iCs/>
          <w:strike/>
        </w:rPr>
        <w:t>Jhuti</w:t>
      </w:r>
      <w:proofErr w:type="spellEnd"/>
      <w:r w:rsidRPr="00226C1C">
        <w:rPr>
          <w:strike/>
        </w:rPr>
        <w:t xml:space="preserve"> (2019) highlighted the importance of safeguarding employees from unfair dismissals influenced by biased managers. It established that even if a dismissal is justified, it must be conducted in a way that avoids discriminatory actions and respects employee rights. This is reinforced by </w:t>
      </w:r>
      <w:r w:rsidRPr="00226C1C">
        <w:rPr>
          <w:i/>
          <w:iCs/>
          <w:strike/>
        </w:rPr>
        <w:t>Polkey v A.E. Dayton Services Ltd</w:t>
      </w:r>
      <w:r w:rsidRPr="00226C1C">
        <w:rPr>
          <w:strike/>
        </w:rPr>
        <w:t xml:space="preserve"> [1987], where the House of Lords stressed that fair procedures must be followed even when there is a valid reason for dismissal. Both cases emphasize the need for businesses to comply with employment law and treat employees fairly during dismissals.</w:t>
      </w:r>
    </w:p>
    <w:p w14:paraId="4F854F0D" w14:textId="77777777" w:rsidR="0072672E" w:rsidRPr="00226C1C" w:rsidRDefault="0072672E" w:rsidP="0072672E">
      <w:pPr>
        <w:rPr>
          <w:strike/>
        </w:rPr>
      </w:pPr>
      <w:r w:rsidRPr="00226C1C">
        <w:rPr>
          <w:strike/>
        </w:rPr>
        <w:t xml:space="preserve">Compliance with regulations also shows the Trust's commitment to ethical standards and organizational integrity (Lewis, 2005). The case of </w:t>
      </w:r>
      <w:r w:rsidRPr="00226C1C">
        <w:rPr>
          <w:i/>
          <w:iCs/>
          <w:strike/>
        </w:rPr>
        <w:t>ASDA Stores Ltd v Brierley</w:t>
      </w:r>
      <w:r w:rsidRPr="00226C1C">
        <w:rPr>
          <w:strike/>
        </w:rPr>
        <w:t xml:space="preserve"> (2021) illustrated this, with the Supreme Court ruling that retail workers performing the same duties must receive equal pay under the Equal Pay Act 1970. This case underscores the importance of ensuring pay and terms of employment are fair and non-discriminatory, particularly regarding gender.</w:t>
      </w:r>
    </w:p>
    <w:p w14:paraId="48368F99" w14:textId="77777777" w:rsidR="0072672E" w:rsidRPr="00226C1C" w:rsidRDefault="0072672E" w:rsidP="0072672E">
      <w:pPr>
        <w:rPr>
          <w:strike/>
        </w:rPr>
      </w:pPr>
      <w:r w:rsidRPr="00226C1C">
        <w:rPr>
          <w:strike/>
        </w:rPr>
        <w:t xml:space="preserve">Employment regulations also help organizations minimize the risk of legal disputes and avoid lengthy proceedings (Pitts, 2024). In </w:t>
      </w:r>
      <w:r w:rsidRPr="00226C1C">
        <w:rPr>
          <w:i/>
          <w:iCs/>
          <w:strike/>
        </w:rPr>
        <w:t>NHS Leeds v Larner</w:t>
      </w:r>
      <w:r w:rsidRPr="00226C1C">
        <w:rPr>
          <w:strike/>
        </w:rPr>
        <w:t xml:space="preserve"> (2012), the Employment Appeal Tribunal emphasized the need for employers to follow procedural fairness in dismissals to reduce legal risks. Similarly, in </w:t>
      </w:r>
      <w:r w:rsidRPr="00226C1C">
        <w:rPr>
          <w:i/>
          <w:iCs/>
          <w:strike/>
        </w:rPr>
        <w:t>K v L</w:t>
      </w:r>
      <w:r w:rsidRPr="00226C1C">
        <w:rPr>
          <w:strike/>
        </w:rPr>
        <w:t xml:space="preserve"> (2020), the Tribunal highlighted the importance of consistent disciplinary procedures and found the dismissal unfair due to inadequate investigation. These cases support that compliance with employment law reduces the risks of legal challenges and upholds fair employment practices, fostering better employee relations.</w:t>
      </w:r>
    </w:p>
    <w:p w14:paraId="702FAD4E" w14:textId="77777777" w:rsidR="0072672E" w:rsidRPr="00226C1C" w:rsidRDefault="0072672E" w:rsidP="0072672E">
      <w:pPr>
        <w:rPr>
          <w:strike/>
        </w:rPr>
      </w:pPr>
      <w:r w:rsidRPr="00226C1C">
        <w:rPr>
          <w:strike/>
        </w:rPr>
        <w:t xml:space="preserve">Finally, non-compliance with employment regulations can damage an organization’s reputation and result in penalties or compensation. In </w:t>
      </w:r>
      <w:r w:rsidRPr="00226C1C">
        <w:rPr>
          <w:i/>
          <w:iCs/>
          <w:strike/>
        </w:rPr>
        <w:t>Breen v Golden Lane Housing Ltd</w:t>
      </w:r>
      <w:r w:rsidRPr="00226C1C">
        <w:rPr>
          <w:strike/>
        </w:rPr>
        <w:t xml:space="preserve"> (2021), the Employment Appeal Tribunal ruled that an employee was discriminated against due to their disability, resulting in a substantial award for injury to feelings. This case highlights the reputational and financial risks associated with failing to comply with the Equality Act 2010. It serves as a reminder that non-compliance can lead to significant consequences.</w:t>
      </w:r>
    </w:p>
    <w:p w14:paraId="2FD67776" w14:textId="1237B045" w:rsidR="0072672E" w:rsidRPr="00226C1C" w:rsidRDefault="0072672E" w:rsidP="0072672E">
      <w:pPr>
        <w:rPr>
          <w:strike/>
        </w:rPr>
      </w:pPr>
      <w:r w:rsidRPr="00226C1C">
        <w:rPr>
          <w:strike/>
        </w:rPr>
        <w:t>Employment law aims to protect employee rights, promote fairness, encourage ethical behaviour, and minimise reputational risks. It plays a vital role in ensuring integrity and justice in the workplace while maintaining positive business relationships. Its goal is to balance employee welfare with legal compliance.</w:t>
      </w:r>
    </w:p>
    <w:p w14:paraId="1B575922" w14:textId="77777777" w:rsidR="00693926" w:rsidRDefault="00693926" w:rsidP="0072672E"/>
    <w:p w14:paraId="5E92F54A" w14:textId="77777777" w:rsidR="00226C1C" w:rsidRPr="00C20C0D" w:rsidRDefault="00226C1C" w:rsidP="00226C1C">
      <w:pPr>
        <w:rPr>
          <w:color w:val="EE0000"/>
        </w:rPr>
      </w:pPr>
      <w:r w:rsidRPr="00C20C0D">
        <w:rPr>
          <w:color w:val="EE0000"/>
        </w:rPr>
        <w:t xml:space="preserve">Employment regulation serves several key aims: safeguarding employee rights, promoting fairness, preventing discrimination, and ensuring ethical conduct within the workplace. </w:t>
      </w:r>
      <w:r w:rsidRPr="00226C1C">
        <w:rPr>
          <w:color w:val="EE0000"/>
        </w:rPr>
        <w:t>While</w:t>
      </w:r>
      <w:r w:rsidRPr="00C20C0D">
        <w:rPr>
          <w:color w:val="EE0000"/>
        </w:rPr>
        <w:t xml:space="preserve"> these objectives underpin a just and equitable working environment, the practical implications of compliance </w:t>
      </w:r>
      <w:r w:rsidRPr="00226C1C">
        <w:rPr>
          <w:color w:val="EE0000"/>
        </w:rPr>
        <w:t>vary</w:t>
      </w:r>
      <w:r w:rsidRPr="00C20C0D">
        <w:rPr>
          <w:color w:val="EE0000"/>
        </w:rPr>
        <w:t xml:space="preserve"> across different organi</w:t>
      </w:r>
      <w:r w:rsidRPr="00226C1C">
        <w:rPr>
          <w:color w:val="EE0000"/>
        </w:rPr>
        <w:t>s</w:t>
      </w:r>
      <w:r w:rsidRPr="00C20C0D">
        <w:rPr>
          <w:color w:val="EE0000"/>
        </w:rPr>
        <w:t>ational and demographic group</w:t>
      </w:r>
      <w:r w:rsidRPr="00226C1C">
        <w:rPr>
          <w:color w:val="EE0000"/>
        </w:rPr>
        <w:t xml:space="preserve">s which can prompt </w:t>
      </w:r>
      <w:r w:rsidRPr="00C20C0D">
        <w:rPr>
          <w:color w:val="EE0000"/>
        </w:rPr>
        <w:t>both support and resistance.</w:t>
      </w:r>
    </w:p>
    <w:p w14:paraId="46D8FCF6" w14:textId="77777777" w:rsidR="00226C1C" w:rsidRPr="00C20C0D" w:rsidRDefault="00226C1C" w:rsidP="00226C1C">
      <w:pPr>
        <w:rPr>
          <w:color w:val="EE0000"/>
        </w:rPr>
      </w:pPr>
      <w:r w:rsidRPr="00C20C0D">
        <w:rPr>
          <w:color w:val="EE0000"/>
        </w:rPr>
        <w:t>One central aim of employment regulation is to protect employees from unfair treatment and discrimination</w:t>
      </w:r>
      <w:r w:rsidRPr="00226C1C">
        <w:rPr>
          <w:color w:val="EE0000"/>
        </w:rPr>
        <w:t xml:space="preserve"> (ACAS, 2023)</w:t>
      </w:r>
      <w:r w:rsidRPr="00C20C0D">
        <w:rPr>
          <w:color w:val="EE0000"/>
        </w:rPr>
        <w:t xml:space="preserve">. The case of </w:t>
      </w:r>
      <w:r w:rsidRPr="00C20C0D">
        <w:rPr>
          <w:b/>
          <w:bCs/>
          <w:i/>
          <w:iCs/>
          <w:color w:val="EE0000"/>
        </w:rPr>
        <w:t xml:space="preserve">Royal Mail Group Ltd v </w:t>
      </w:r>
      <w:proofErr w:type="spellStart"/>
      <w:r w:rsidRPr="00C20C0D">
        <w:rPr>
          <w:b/>
          <w:bCs/>
          <w:i/>
          <w:iCs/>
          <w:color w:val="EE0000"/>
        </w:rPr>
        <w:t>Jhuti</w:t>
      </w:r>
      <w:proofErr w:type="spellEnd"/>
      <w:r w:rsidRPr="00C20C0D">
        <w:rPr>
          <w:b/>
          <w:bCs/>
          <w:color w:val="EE0000"/>
        </w:rPr>
        <w:t xml:space="preserve"> (2019)</w:t>
      </w:r>
      <w:r w:rsidRPr="00C20C0D">
        <w:rPr>
          <w:color w:val="EE0000"/>
        </w:rPr>
        <w:t xml:space="preserve"> highlights this by clarifying that dismissals must not only be substantively justified but also procedurally fair, especially in cases where biased managerial conduct. This aligns with the broader principle established in </w:t>
      </w:r>
      <w:r w:rsidRPr="00C20C0D">
        <w:rPr>
          <w:b/>
          <w:bCs/>
          <w:i/>
          <w:iCs/>
          <w:color w:val="EE0000"/>
        </w:rPr>
        <w:lastRenderedPageBreak/>
        <w:t>Polkey v A.E. Dayton Services Ltd</w:t>
      </w:r>
      <w:r w:rsidRPr="00C20C0D">
        <w:rPr>
          <w:b/>
          <w:bCs/>
          <w:color w:val="EE0000"/>
        </w:rPr>
        <w:t xml:space="preserve"> </w:t>
      </w:r>
      <w:r w:rsidRPr="00226C1C">
        <w:rPr>
          <w:b/>
          <w:bCs/>
          <w:color w:val="EE0000"/>
        </w:rPr>
        <w:t>(</w:t>
      </w:r>
      <w:r w:rsidRPr="00C20C0D">
        <w:rPr>
          <w:b/>
          <w:bCs/>
          <w:color w:val="EE0000"/>
        </w:rPr>
        <w:t>1987</w:t>
      </w:r>
      <w:r w:rsidRPr="00226C1C">
        <w:rPr>
          <w:b/>
          <w:bCs/>
          <w:color w:val="EE0000"/>
        </w:rPr>
        <w:t>)</w:t>
      </w:r>
      <w:r w:rsidRPr="00C20C0D">
        <w:rPr>
          <w:b/>
          <w:bCs/>
          <w:color w:val="EE0000"/>
        </w:rPr>
        <w:t>,</w:t>
      </w:r>
      <w:r w:rsidRPr="00C20C0D">
        <w:rPr>
          <w:color w:val="EE0000"/>
        </w:rPr>
        <w:t xml:space="preserve"> where the importance of due process, regardless of the grounds for dismissal, was reinforced. These legal precedents illustrate how employment law seeks to ensure that fairness </w:t>
      </w:r>
      <w:r w:rsidRPr="00226C1C">
        <w:rPr>
          <w:color w:val="EE0000"/>
        </w:rPr>
        <w:t xml:space="preserve">in </w:t>
      </w:r>
      <w:r w:rsidRPr="00C20C0D">
        <w:rPr>
          <w:color w:val="EE0000"/>
        </w:rPr>
        <w:t>employer decision-making processes.</w:t>
      </w:r>
    </w:p>
    <w:p w14:paraId="0D6D447C" w14:textId="77777777" w:rsidR="00226C1C" w:rsidRPr="00C20C0D" w:rsidRDefault="00226C1C" w:rsidP="00226C1C">
      <w:pPr>
        <w:rPr>
          <w:color w:val="EE0000"/>
        </w:rPr>
      </w:pPr>
      <w:r w:rsidRPr="00C20C0D">
        <w:rPr>
          <w:color w:val="EE0000"/>
        </w:rPr>
        <w:t xml:space="preserve">Another major objective is to foster equality and prevent systemic bias, particularly regarding pay and conditions. </w:t>
      </w:r>
      <w:r w:rsidRPr="00C20C0D">
        <w:rPr>
          <w:b/>
          <w:bCs/>
          <w:i/>
          <w:iCs/>
          <w:color w:val="EE0000"/>
        </w:rPr>
        <w:t>ASDA Stores Ltd v Brierley</w:t>
      </w:r>
      <w:r w:rsidRPr="00C20C0D">
        <w:rPr>
          <w:b/>
          <w:bCs/>
          <w:color w:val="EE0000"/>
        </w:rPr>
        <w:t xml:space="preserve"> (2021)</w:t>
      </w:r>
      <w:r w:rsidRPr="00C20C0D">
        <w:rPr>
          <w:color w:val="EE0000"/>
        </w:rPr>
        <w:t xml:space="preserve"> decision underscored the importance of the Equal Pay Act 1970 in addressing gender-based pay disparities, demonstrating how regulation serves to eliminate structural inequalities in employment. Such rulings reflect employment regulation’s commitment to levelling the playing field</w:t>
      </w:r>
      <w:r w:rsidRPr="00226C1C">
        <w:rPr>
          <w:color w:val="EE0000"/>
        </w:rPr>
        <w:t xml:space="preserve"> </w:t>
      </w:r>
      <w:r w:rsidRPr="00C20C0D">
        <w:rPr>
          <w:color w:val="EE0000"/>
        </w:rPr>
        <w:t>for entire groups that historically face disadvantage</w:t>
      </w:r>
      <w:r w:rsidRPr="00226C1C">
        <w:rPr>
          <w:color w:val="EE0000"/>
        </w:rPr>
        <w:t xml:space="preserve"> (Lewis, 2005). </w:t>
      </w:r>
    </w:p>
    <w:p w14:paraId="33E8F7BA" w14:textId="77777777" w:rsidR="00226C1C" w:rsidRPr="00C20C0D" w:rsidRDefault="00226C1C" w:rsidP="00226C1C">
      <w:pPr>
        <w:rPr>
          <w:color w:val="EE0000"/>
        </w:rPr>
      </w:pPr>
      <w:r w:rsidRPr="00C20C0D">
        <w:rPr>
          <w:color w:val="EE0000"/>
        </w:rPr>
        <w:t xml:space="preserve">Additionally, regulation serves to reduce the risk of costly and reputationally damaging legal disputes, as seen in cases such as </w:t>
      </w:r>
      <w:r w:rsidRPr="00C20C0D">
        <w:rPr>
          <w:b/>
          <w:bCs/>
          <w:i/>
          <w:iCs/>
          <w:color w:val="EE0000"/>
        </w:rPr>
        <w:t>NHS Leeds v Larner</w:t>
      </w:r>
      <w:r w:rsidRPr="00C20C0D">
        <w:rPr>
          <w:b/>
          <w:bCs/>
          <w:color w:val="EE0000"/>
        </w:rPr>
        <w:t xml:space="preserve"> (2012) and </w:t>
      </w:r>
      <w:r w:rsidRPr="00C20C0D">
        <w:rPr>
          <w:b/>
          <w:bCs/>
          <w:i/>
          <w:iCs/>
          <w:color w:val="EE0000"/>
        </w:rPr>
        <w:t>K v L</w:t>
      </w:r>
      <w:r w:rsidRPr="00C20C0D">
        <w:rPr>
          <w:b/>
          <w:bCs/>
          <w:color w:val="EE0000"/>
        </w:rPr>
        <w:t xml:space="preserve"> (2020),</w:t>
      </w:r>
      <w:r w:rsidRPr="00C20C0D">
        <w:rPr>
          <w:color w:val="EE0000"/>
        </w:rPr>
        <w:t xml:space="preserve"> which reaffirm the importance of procedural fairness and consistency in disciplinary actions. These decisions align with the objective of risk management by encouraging employers to adopt transparent, standardi</w:t>
      </w:r>
      <w:r w:rsidRPr="00226C1C">
        <w:rPr>
          <w:color w:val="EE0000"/>
        </w:rPr>
        <w:t>s</w:t>
      </w:r>
      <w:r w:rsidRPr="00C20C0D">
        <w:rPr>
          <w:color w:val="EE0000"/>
        </w:rPr>
        <w:t>ed HR practice</w:t>
      </w:r>
      <w:r w:rsidRPr="00226C1C">
        <w:rPr>
          <w:color w:val="EE0000"/>
        </w:rPr>
        <w:t xml:space="preserve"> (Pitts, 2024). </w:t>
      </w:r>
    </w:p>
    <w:p w14:paraId="0B747AA2" w14:textId="77777777" w:rsidR="00226C1C" w:rsidRPr="00C20C0D" w:rsidRDefault="00226C1C" w:rsidP="00226C1C">
      <w:pPr>
        <w:rPr>
          <w:color w:val="EE0000"/>
        </w:rPr>
      </w:pPr>
      <w:r w:rsidRPr="00C20C0D">
        <w:rPr>
          <w:color w:val="EE0000"/>
        </w:rPr>
        <w:t>However, despite these benefits, certain groups may find employment regulation overly complex, burdensome, or restrictive. Small and medium-sized enterprises, for example, often lack dedicated HR or legal departments, making compliance with intricate legal standards challengin</w:t>
      </w:r>
      <w:r w:rsidRPr="00226C1C">
        <w:rPr>
          <w:color w:val="EE0000"/>
        </w:rPr>
        <w:t>g</w:t>
      </w:r>
      <w:r w:rsidRPr="00C20C0D">
        <w:rPr>
          <w:color w:val="EE0000"/>
        </w:rPr>
        <w:t xml:space="preserve">. </w:t>
      </w:r>
      <w:r w:rsidRPr="00226C1C">
        <w:rPr>
          <w:color w:val="EE0000"/>
        </w:rPr>
        <w:t>F</w:t>
      </w:r>
      <w:r w:rsidRPr="00C20C0D">
        <w:rPr>
          <w:color w:val="EE0000"/>
        </w:rPr>
        <w:t>requent regulatory updates or complex procedural obligations can feel overwhelming</w:t>
      </w:r>
      <w:r w:rsidRPr="00226C1C">
        <w:rPr>
          <w:color w:val="EE0000"/>
        </w:rPr>
        <w:t xml:space="preserve"> for them</w:t>
      </w:r>
      <w:r w:rsidRPr="00C20C0D">
        <w:rPr>
          <w:color w:val="EE0000"/>
        </w:rPr>
        <w:t>, potentially diverting attention from core activities.</w:t>
      </w:r>
    </w:p>
    <w:p w14:paraId="0E914716" w14:textId="77777777" w:rsidR="00226C1C" w:rsidRPr="00C20C0D" w:rsidRDefault="00226C1C" w:rsidP="00226C1C">
      <w:pPr>
        <w:rPr>
          <w:color w:val="EE0000"/>
        </w:rPr>
      </w:pPr>
      <w:r w:rsidRPr="00C20C0D">
        <w:rPr>
          <w:color w:val="EE0000"/>
        </w:rPr>
        <w:t xml:space="preserve">Moreover, some employers may perceive extensive regulation as an </w:t>
      </w:r>
      <w:r w:rsidRPr="00226C1C">
        <w:rPr>
          <w:color w:val="EE0000"/>
        </w:rPr>
        <w:t>obstruction</w:t>
      </w:r>
      <w:r w:rsidRPr="00C20C0D">
        <w:rPr>
          <w:color w:val="EE0000"/>
        </w:rPr>
        <w:t xml:space="preserve"> to operational flexibility, particularly in sectors where agile decision-making is critical. These groups may oppose further regulation, arguing that it introduces inefficiencies, costs, and creates a culture of over-cautiousness that </w:t>
      </w:r>
      <w:r w:rsidRPr="00226C1C">
        <w:rPr>
          <w:color w:val="EE0000"/>
        </w:rPr>
        <w:t>affects</w:t>
      </w:r>
      <w:r w:rsidRPr="00C20C0D">
        <w:rPr>
          <w:color w:val="EE0000"/>
        </w:rPr>
        <w:t xml:space="preserve"> innovation</w:t>
      </w:r>
      <w:r w:rsidRPr="00226C1C">
        <w:rPr>
          <w:color w:val="EE0000"/>
        </w:rPr>
        <w:t xml:space="preserve">. </w:t>
      </w:r>
    </w:p>
    <w:p w14:paraId="7660CD3D" w14:textId="77777777" w:rsidR="00226C1C" w:rsidRPr="00C20C0D" w:rsidRDefault="00226C1C" w:rsidP="00226C1C">
      <w:pPr>
        <w:rPr>
          <w:color w:val="EE0000"/>
        </w:rPr>
      </w:pPr>
      <w:r w:rsidRPr="00C20C0D">
        <w:rPr>
          <w:color w:val="EE0000"/>
        </w:rPr>
        <w:t xml:space="preserve">Despite </w:t>
      </w:r>
      <w:r w:rsidRPr="00226C1C">
        <w:rPr>
          <w:color w:val="EE0000"/>
        </w:rPr>
        <w:t>this</w:t>
      </w:r>
      <w:r w:rsidRPr="00C20C0D">
        <w:rPr>
          <w:color w:val="EE0000"/>
        </w:rPr>
        <w:t xml:space="preserve">, it’s important to note that employment regulation acts as a framework for ethical governance and brand integrity. The case of </w:t>
      </w:r>
      <w:r w:rsidRPr="00C20C0D">
        <w:rPr>
          <w:i/>
          <w:iCs/>
          <w:color w:val="EE0000"/>
        </w:rPr>
        <w:t>Breen v Golden Lane Housing Ltd</w:t>
      </w:r>
      <w:r w:rsidRPr="00C20C0D">
        <w:rPr>
          <w:color w:val="EE0000"/>
        </w:rPr>
        <w:t xml:space="preserve"> (2021) illustrates the financial and reputational damage that can arise from non-compliance, reinforcing that ethical lapses carry tangible costs. </w:t>
      </w:r>
      <w:r w:rsidRPr="00226C1C">
        <w:rPr>
          <w:color w:val="EE0000"/>
        </w:rPr>
        <w:t>E</w:t>
      </w:r>
      <w:r w:rsidRPr="00C20C0D">
        <w:rPr>
          <w:color w:val="EE0000"/>
        </w:rPr>
        <w:t>ven reluctant stakeholders have strong incentives to engage with regulation</w:t>
      </w:r>
      <w:r w:rsidRPr="00226C1C">
        <w:rPr>
          <w:color w:val="EE0000"/>
        </w:rPr>
        <w:t xml:space="preserve"> due to corporate responsibility and legal necessity. </w:t>
      </w:r>
    </w:p>
    <w:p w14:paraId="7AAE8A7A" w14:textId="77777777" w:rsidR="00226C1C" w:rsidRPr="00C20C0D" w:rsidRDefault="00226C1C" w:rsidP="00226C1C">
      <w:pPr>
        <w:rPr>
          <w:color w:val="EE0000"/>
        </w:rPr>
      </w:pPr>
      <w:r w:rsidRPr="00C20C0D">
        <w:rPr>
          <w:color w:val="EE0000"/>
        </w:rPr>
        <w:t>In conclusion, while employment regulation is instrumental in advancing fairness, equality, and legal integrity, its complexity and operational demands can generate resistance</w:t>
      </w:r>
      <w:r w:rsidRPr="00226C1C">
        <w:rPr>
          <w:color w:val="EE0000"/>
        </w:rPr>
        <w:t xml:space="preserve">, especially </w:t>
      </w:r>
      <w:r w:rsidRPr="00C20C0D">
        <w:rPr>
          <w:color w:val="EE0000"/>
        </w:rPr>
        <w:t xml:space="preserve">from smaller businesses. The challenge lies in balancing the protective aims of regulation with the practical </w:t>
      </w:r>
      <w:r w:rsidRPr="00226C1C">
        <w:rPr>
          <w:color w:val="EE0000"/>
        </w:rPr>
        <w:t>application</w:t>
      </w:r>
      <w:r w:rsidRPr="00C20C0D">
        <w:rPr>
          <w:color w:val="EE0000"/>
        </w:rPr>
        <w:t>, ensuring that legal safeguards do not become barriers to organi</w:t>
      </w:r>
      <w:r w:rsidRPr="00226C1C">
        <w:rPr>
          <w:color w:val="EE0000"/>
        </w:rPr>
        <w:t>s</w:t>
      </w:r>
      <w:r w:rsidRPr="00C20C0D">
        <w:rPr>
          <w:color w:val="EE0000"/>
        </w:rPr>
        <w:t>ational effectiveness.</w:t>
      </w:r>
    </w:p>
    <w:p w14:paraId="10B9052D" w14:textId="77777777" w:rsidR="007C02F2" w:rsidRPr="00693926" w:rsidRDefault="007C02F2" w:rsidP="0072672E"/>
    <w:p w14:paraId="491BC401" w14:textId="040281E5" w:rsidR="0072672E" w:rsidRPr="00FA23FD" w:rsidRDefault="0072672E" w:rsidP="0072672E">
      <w:pPr>
        <w:rPr>
          <w:b/>
          <w:bCs/>
          <w:u w:val="single"/>
        </w:rPr>
      </w:pPr>
      <w:r w:rsidRPr="00FA23FD">
        <w:rPr>
          <w:b/>
          <w:bCs/>
          <w:u w:val="single"/>
        </w:rPr>
        <w:t xml:space="preserve">Email 2 </w:t>
      </w:r>
    </w:p>
    <w:p w14:paraId="6A56FC3A" w14:textId="261721C7" w:rsidR="0072672E" w:rsidRPr="00CA3AE9" w:rsidRDefault="0072672E" w:rsidP="0072672E">
      <w:r w:rsidRPr="0072672E">
        <w:t>After the UK’s departure from the European Union on 31st January 2020, the legal framework governing the relationship between UK courts and the European Court of Justice (ECJ) changed. However, this shift did not occur immediately or entirely</w:t>
      </w:r>
      <w:r w:rsidRPr="00CA3AE9">
        <w:t xml:space="preserve"> through the framework</w:t>
      </w:r>
      <w:r w:rsidRPr="0072672E">
        <w:t xml:space="preserve"> (Mars, 2020).</w:t>
      </w:r>
    </w:p>
    <w:p w14:paraId="01BD904B" w14:textId="74322E36" w:rsidR="0072672E" w:rsidRPr="0072672E" w:rsidRDefault="0072672E" w:rsidP="0072672E">
      <w:r w:rsidRPr="0072672E">
        <w:t xml:space="preserve">Pre-Brexit ECJ judgments are not </w:t>
      </w:r>
      <w:r w:rsidRPr="00CA3AE9">
        <w:t>inevitably</w:t>
      </w:r>
      <w:r w:rsidRPr="0072672E">
        <w:t xml:space="preserve"> binding on UK courts but remain relevant for guidance. UK courts are not required to follow ECJ rulings and have discretion in whether to apply them. While ECJ decisions before Brexit still influence areas like trade law and equality where EU law has been retained, UK courts can depart from them (The Law Society, 2023).</w:t>
      </w:r>
    </w:p>
    <w:p w14:paraId="60554990" w14:textId="1FCFEFF2" w:rsidR="0072672E" w:rsidRPr="0072672E" w:rsidRDefault="0072672E" w:rsidP="0072672E">
      <w:r w:rsidRPr="0072672E">
        <w:lastRenderedPageBreak/>
        <w:t xml:space="preserve">The European Union (Withdrawal) Act 2018 </w:t>
      </w:r>
      <w:r w:rsidRPr="00CA3AE9">
        <w:t xml:space="preserve">provides that EU Law that existed before Brexit was “retained” in UK and this meant that it remains effective as part of UK legislation. This allows </w:t>
      </w:r>
      <w:r w:rsidRPr="0072672E">
        <w:t>UK courts to consider past ECJ decisions for consistency and clarity. The Supreme Court has the final authority on determining the purpose of ECJ judgments if the case law hasn't been clearly retained by UK regulation.</w:t>
      </w:r>
    </w:p>
    <w:p w14:paraId="42F3FB9F" w14:textId="7E6E4654" w:rsidR="0072672E" w:rsidRPr="0072672E" w:rsidRDefault="0072672E" w:rsidP="0072672E">
      <w:r w:rsidRPr="0072672E">
        <w:t xml:space="preserve">ECJ judgments are no longer legally mandatory but remain persuasive within UK law. Shellaker (2024) discusses how UK courts continue to reference ECJ decisions, though they are no longer directly tied to EU rulings. In Robinson-Steele v RBS </w:t>
      </w:r>
      <w:r w:rsidRPr="00CA3AE9">
        <w:t>[</w:t>
      </w:r>
      <w:r w:rsidRPr="0072672E">
        <w:t>2006</w:t>
      </w:r>
      <w:r w:rsidRPr="00CA3AE9">
        <w:t>]</w:t>
      </w:r>
      <w:r w:rsidRPr="0072672E">
        <w:t xml:space="preserve">, the ECJ addressed the calculation of holiday pay under the EU Working Time Directive, ruling that overtime should be included. Pre-Brexit, this decision was binding, but UK courts no longer have to follow it. However, UK courts have continued using it when interpreting the Working Time Regulations, though they may diverge if deemed inappropriate. The Working Time Regulations, which incorporate the EU directive, remain in force in the UK, so the ECJ's principles still influence UK case law, as seen in Dudley Metropolitan Council v Willetts </w:t>
      </w:r>
      <w:r w:rsidRPr="00CA3AE9">
        <w:t>[</w:t>
      </w:r>
      <w:r w:rsidRPr="0072672E">
        <w:t>2016</w:t>
      </w:r>
      <w:r w:rsidRPr="00CA3AE9">
        <w:t>]</w:t>
      </w:r>
      <w:r w:rsidRPr="0072672E">
        <w:t>.</w:t>
      </w:r>
      <w:r w:rsidR="00CA3AE9" w:rsidRPr="00CA3AE9">
        <w:t xml:space="preserve"> This example shows that although UK courts don’t have to follow ECJ case law, they still do (Merrett, 2021).</w:t>
      </w:r>
    </w:p>
    <w:p w14:paraId="2508D93B" w14:textId="77777777" w:rsidR="0072672E" w:rsidRPr="0072672E" w:rsidRDefault="0072672E" w:rsidP="0072672E">
      <w:r w:rsidRPr="0072672E">
        <w:t>Similarly, in Neyz v Secretary of State for Employment (2012), the ECJ ruled that part-time and full-time workers should be treated equally. After Brexit, the Equal Treatment Directive was retained in UK law, so the principle from this case remains relevant, even if UK courts are no longer bound by it.</w:t>
      </w:r>
    </w:p>
    <w:p w14:paraId="33ED4FF5" w14:textId="010328EC" w:rsidR="0072672E" w:rsidRDefault="0072672E" w:rsidP="0072672E">
      <w:r w:rsidRPr="0072672E">
        <w:t>In conclusion, while pre-Brexit ECJ judgments are no longer binding, they continue to play an important role in UK law and are still considered, though UK courts can choose to depart from them (O’Connor, 2021).</w:t>
      </w:r>
    </w:p>
    <w:p w14:paraId="18668386" w14:textId="77777777" w:rsidR="00693926" w:rsidRDefault="00693926" w:rsidP="0072672E"/>
    <w:p w14:paraId="2087F81D" w14:textId="6E3C3207" w:rsidR="00CA3AE9" w:rsidRPr="00FA23FD" w:rsidRDefault="00CA3AE9" w:rsidP="0072672E">
      <w:pPr>
        <w:rPr>
          <w:b/>
          <w:bCs/>
          <w:u w:val="single"/>
        </w:rPr>
      </w:pPr>
      <w:r w:rsidRPr="00FA23FD">
        <w:rPr>
          <w:b/>
          <w:bCs/>
          <w:u w:val="single"/>
        </w:rPr>
        <w:t xml:space="preserve">Email 3 </w:t>
      </w:r>
    </w:p>
    <w:p w14:paraId="7C4E411B" w14:textId="01AA49A6" w:rsidR="00CA3AE9" w:rsidRPr="00CA3AE9" w:rsidRDefault="00CA3AE9" w:rsidP="00CA3AE9">
      <w:r w:rsidRPr="00CA3AE9">
        <w:t xml:space="preserve">I understand you’re seeking guidance on when it is appropriate to specify a job requirement based on gender. In the UK, the Equality Act 2010 is the primary law against discrimination, protecting individuals from discrimination based on protected characteristics like gender (ACAS, 2025). However, the </w:t>
      </w:r>
      <w:r>
        <w:t>law</w:t>
      </w:r>
      <w:r w:rsidRPr="00CA3AE9">
        <w:t xml:space="preserve"> allows exemptions for Genuine Occupational Requirements (GORs), where specifying a gender may be justified in certain situations (Daniels, 2022).</w:t>
      </w:r>
    </w:p>
    <w:p w14:paraId="6124A33D" w14:textId="69D45E88" w:rsidR="00CA3AE9" w:rsidRPr="00CA3AE9" w:rsidRDefault="00CA3AE9" w:rsidP="00CA3AE9">
      <w:r w:rsidRPr="00CA3AE9">
        <w:t>Section 13 of the Equality Act 2010 outlines direct discrimination, which occurs when an individual is treated less favourably due to a protected characteristic. In this case, specifying a gender for a role may be considered discriminatory unless justified by GOR (Rupp, 2022). A GOR permits employers to require a specific gender if it is essential to the job, but these exemptions are narrowly defined by law, and employers must prove the necessity</w:t>
      </w:r>
      <w:r>
        <w:t xml:space="preserve"> of such condition</w:t>
      </w:r>
      <w:r w:rsidRPr="00CA3AE9">
        <w:t xml:space="preserve"> (Vickers, 2017).</w:t>
      </w:r>
    </w:p>
    <w:p w14:paraId="559753DE" w14:textId="090C1D09" w:rsidR="00CA3AE9" w:rsidRPr="00CA3AE9" w:rsidRDefault="00CA3AE9" w:rsidP="00CA3AE9">
      <w:r w:rsidRPr="00CA3AE9">
        <w:t xml:space="preserve">Gender-based requirements can be justified </w:t>
      </w:r>
      <w:r>
        <w:t xml:space="preserve">and permissible </w:t>
      </w:r>
      <w:r w:rsidRPr="00CA3AE9">
        <w:t>in situations such as authenticity (e.g., acting roles where the character must be a certain gender), privacy and dignity (e.g., care workers assisting elderly individuals), or rare health and safety concerns</w:t>
      </w:r>
      <w:r>
        <w:t xml:space="preserve"> which need to be assessed to ensure justification</w:t>
      </w:r>
      <w:r w:rsidRPr="00CA3AE9">
        <w:t xml:space="preserve"> (Oliver, 2004). For example, a care worker for an elderly woman may need to be of the same gender to maintain dignity and respect.</w:t>
      </w:r>
    </w:p>
    <w:p w14:paraId="29795D64" w14:textId="7F67FFD9" w:rsidR="00CA3AE9" w:rsidRPr="00CA3AE9" w:rsidRDefault="00CA3AE9" w:rsidP="00CA3AE9">
      <w:r w:rsidRPr="00CA3AE9">
        <w:t xml:space="preserve">A case law example is </w:t>
      </w:r>
      <w:r w:rsidRPr="00CA3AE9">
        <w:rPr>
          <w:i/>
          <w:iCs/>
        </w:rPr>
        <w:t>Jones v. Tower Hamlets Borough Council</w:t>
      </w:r>
      <w:r w:rsidRPr="00CA3AE9">
        <w:t xml:space="preserve"> </w:t>
      </w:r>
      <w:r w:rsidR="00466E37" w:rsidRPr="00466E37">
        <w:t>[</w:t>
      </w:r>
      <w:r w:rsidRPr="00CA3AE9">
        <w:t>2005</w:t>
      </w:r>
      <w:r w:rsidR="00466E37" w:rsidRPr="00466E37">
        <w:t>]</w:t>
      </w:r>
      <w:r w:rsidRPr="00CA3AE9">
        <w:t xml:space="preserve">, where the tribunal ruled in </w:t>
      </w:r>
      <w:r w:rsidRPr="00466E37">
        <w:t>favour</w:t>
      </w:r>
      <w:r w:rsidRPr="00CA3AE9">
        <w:t xml:space="preserve"> of the employer requiring female staff at a women’s homeless shelter</w:t>
      </w:r>
      <w:r w:rsidR="00466E37" w:rsidRPr="00466E37">
        <w:t>.</w:t>
      </w:r>
      <w:r w:rsidRPr="00CA3AE9">
        <w:t xml:space="preserve"> The Tribunal found the GOR due to the sensitive nature of the work </w:t>
      </w:r>
      <w:r w:rsidR="00466E37" w:rsidRPr="00466E37">
        <w:t xml:space="preserve">as the staff needed to provide intimate, sensitive care to vulnerable women. Additionally, Tribunal further noted that the comfort and discretion of the </w:t>
      </w:r>
      <w:r w:rsidR="00466E37" w:rsidRPr="00466E37">
        <w:lastRenderedPageBreak/>
        <w:t>women who attended the shelter were important and only female</w:t>
      </w:r>
      <w:r w:rsidRPr="00CA3AE9">
        <w:t xml:space="preserve"> staff could </w:t>
      </w:r>
      <w:r w:rsidR="00466E37" w:rsidRPr="00466E37">
        <w:t xml:space="preserve">meet these requirements. </w:t>
      </w:r>
    </w:p>
    <w:p w14:paraId="300094D4" w14:textId="49E54823" w:rsidR="00CA3AE9" w:rsidRPr="00CA3AE9" w:rsidRDefault="00CA3AE9" w:rsidP="00CA3AE9">
      <w:r w:rsidRPr="00CA3AE9">
        <w:t xml:space="preserve">Gender requirements are unlikely to be justifiable in administrative or professional roles. Advertising for gender-specific roles could amount to indirect discrimination unless proven to be a GOR (Pitt, 2011). A case example is </w:t>
      </w:r>
      <w:r w:rsidRPr="00CA3AE9">
        <w:rPr>
          <w:i/>
          <w:iCs/>
        </w:rPr>
        <w:t>P v S and CCC</w:t>
      </w:r>
      <w:r w:rsidRPr="00CA3AE9">
        <w:t xml:space="preserve"> </w:t>
      </w:r>
      <w:r w:rsidR="00466E37">
        <w:t>[</w:t>
      </w:r>
      <w:r w:rsidRPr="00CA3AE9">
        <w:t>1996</w:t>
      </w:r>
      <w:r w:rsidR="00466E37">
        <w:t>]</w:t>
      </w:r>
      <w:r w:rsidRPr="00CA3AE9">
        <w:t>, where a school secretary was dismissed due to gender reassignment</w:t>
      </w:r>
      <w:r w:rsidR="00466E37">
        <w:t xml:space="preserve"> and where the employer argued that the gender was incompatible with the position</w:t>
      </w:r>
      <w:r w:rsidR="008D3BF8">
        <w:t xml:space="preserve">. </w:t>
      </w:r>
      <w:r w:rsidRPr="00CA3AE9">
        <w:t xml:space="preserve">The European Court of Justice ruled that gender reassignment did not </w:t>
      </w:r>
      <w:r w:rsidR="00466E37">
        <w:t>constitute to a</w:t>
      </w:r>
      <w:r w:rsidRPr="00CA3AE9">
        <w:t xml:space="preserve"> GOR, and the dismissal was discriminatory.</w:t>
      </w:r>
      <w:r w:rsidR="00466E37" w:rsidRPr="00466E37">
        <w:rPr>
          <w:color w:val="FF0000"/>
        </w:rPr>
        <w:t xml:space="preserve"> </w:t>
      </w:r>
    </w:p>
    <w:p w14:paraId="141E06E0" w14:textId="2FD06141" w:rsidR="008D3BF8" w:rsidRDefault="00CA3AE9" w:rsidP="0072672E">
      <w:r w:rsidRPr="00CA3AE9">
        <w:t>To establish a GOR, the role’s context must be assessed, and gender should be proven as essential. Employers should ensure the gender requirement is based on a legitimate aim and is the least discriminatory option. Gender-specific advertising must be backed by GOR to prove it is justifiable, necessary, and proportional to the job's nature (Practical Law, 2025).</w:t>
      </w:r>
    </w:p>
    <w:p w14:paraId="0D3B6039" w14:textId="77777777" w:rsidR="00693926" w:rsidRPr="00693926" w:rsidRDefault="00693926" w:rsidP="0072672E"/>
    <w:p w14:paraId="4ADB126F" w14:textId="3159AAFD" w:rsidR="008D3BF8" w:rsidRPr="00FA23FD" w:rsidRDefault="008D3BF8" w:rsidP="0072672E">
      <w:pPr>
        <w:rPr>
          <w:b/>
          <w:bCs/>
          <w:u w:val="single"/>
        </w:rPr>
      </w:pPr>
      <w:r w:rsidRPr="00FA23FD">
        <w:rPr>
          <w:b/>
          <w:bCs/>
          <w:u w:val="single"/>
        </w:rPr>
        <w:t xml:space="preserve">Email 4 </w:t>
      </w:r>
    </w:p>
    <w:p w14:paraId="514A9AEA" w14:textId="54A6D7AB" w:rsidR="008D3BF8" w:rsidRPr="008D3BF8" w:rsidRDefault="0018658A" w:rsidP="008D3BF8">
      <w:r>
        <w:t>Any</w:t>
      </w:r>
      <w:r w:rsidR="008D3BF8" w:rsidRPr="008D3BF8">
        <w:t xml:space="preserve"> decision regarding the upgrade of two male HCAs complies with equality legislation, considering legal requirements related to equal pay (ACAS, 2024). The nurse manager must ensure that the same criteria for a wage promotion would apply if a female HCA were upgraded as well. For instance, if a female HCA with the same experience, credentials, and responsibilities would also be considered for a B grade upgrade, then upgrading the two male HCAs aligns with the principle of equal pay for equal work. The criteria must be based on objectives unrelated to gender to ensure legal compliance (EHRC, 2021).</w:t>
      </w:r>
    </w:p>
    <w:p w14:paraId="3625E145" w14:textId="55DF36FD" w:rsidR="008D3BF8" w:rsidRPr="008D3BF8" w:rsidRDefault="008D3BF8" w:rsidP="008D3BF8">
      <w:r w:rsidRPr="008D3BF8">
        <w:t>Additionally, the Equality Act 2010 requires men and women to receive equal pay for equal work. This act emphasi</w:t>
      </w:r>
      <w:r w:rsidR="0018658A">
        <w:t>s</w:t>
      </w:r>
      <w:r w:rsidRPr="008D3BF8">
        <w:t>es that employers must provide equal pay for similar work, regardless of sex or protected characteristics (CIPD, 2024). Pay differences can only be justified by objective factors like experience</w:t>
      </w:r>
      <w:r w:rsidR="0018658A">
        <w:t xml:space="preserve"> or </w:t>
      </w:r>
      <w:r w:rsidRPr="008D3BF8">
        <w:t xml:space="preserve">seniority, not gender (UNISON, 2019). The British Airways Plc v Williams </w:t>
      </w:r>
      <w:r w:rsidR="0018658A">
        <w:t>[</w:t>
      </w:r>
      <w:r w:rsidRPr="008D3BF8">
        <w:t>2012</w:t>
      </w:r>
      <w:r w:rsidR="0018658A">
        <w:t xml:space="preserve">] </w:t>
      </w:r>
      <w:r w:rsidRPr="008D3BF8">
        <w:t>case illustrates this, where the UK Supreme Court ruled that male and female workers performing work of equal value are entitled to the same pay, even with different terms and conditions. This ruling supports that pay differences must be justified by non-gender-related factors. If the two male HCAs meet the criteria for the B grade, their upgrade should be based on non-discriminatory factors like performance and qualifications, which should apply equally to female HCAs (Rupp, 2022).</w:t>
      </w:r>
    </w:p>
    <w:p w14:paraId="663FDADF" w14:textId="3A6929AB" w:rsidR="008D3BF8" w:rsidRPr="008D3BF8" w:rsidRDefault="008D3BF8" w:rsidP="008D3BF8">
      <w:r w:rsidRPr="008D3BF8">
        <w:t>The surplus funds from a research project should not influence the decision unless tied to specific, transparent, and non-discriminatory criteria. The upgrade should align with the Trust’s pay policies and equal opportunity guidelines. Since 80% of HCAs in the Trust are women, it is crucial that the decision does not indirectly disadvantage female employees. For example, if the Trust promotes HCAs to the B grade based on skill or performance, this policy should apply equally to all employees</w:t>
      </w:r>
      <w:r w:rsidR="0018658A">
        <w:t xml:space="preserve"> </w:t>
      </w:r>
      <w:r w:rsidRPr="008D3BF8">
        <w:t>regardless of gender. The fact that both individuals are male should not affect the decision, provided the criteria are applied consistently to all HCAs (Raile, 2023).</w:t>
      </w:r>
    </w:p>
    <w:p w14:paraId="3ABC8FCD" w14:textId="495FDE51" w:rsidR="008D3BF8" w:rsidRPr="008D3BF8" w:rsidRDefault="008D3BF8" w:rsidP="008D3BF8">
      <w:r w:rsidRPr="008D3BF8">
        <w:t xml:space="preserve">The nurse manager should ensure the upgrade is based on objective, non-gender-specific criteria and </w:t>
      </w:r>
      <w:r w:rsidR="0018658A">
        <w:t>ensure</w:t>
      </w:r>
      <w:r w:rsidRPr="008D3BF8">
        <w:t xml:space="preserve"> transparen</w:t>
      </w:r>
      <w:r w:rsidR="0018658A">
        <w:t>cy</w:t>
      </w:r>
      <w:r w:rsidRPr="008D3BF8">
        <w:t>. Documentation should be kept to verify compliance with equal pay legislation (Nguyen, 2022). Additionally, the manager must ensure the pay rise does not create an unjustifiable gender gap. The City of Glasgow Council v Zander (2013) case emphasi</w:t>
      </w:r>
      <w:r w:rsidR="0018658A">
        <w:t>s</w:t>
      </w:r>
      <w:r w:rsidRPr="008D3BF8">
        <w:t>ed that any pay differences must be objectively justified, especially when one gender predominates in a job group. If pay inequality exists without valid justification, it is considered discrimination.</w:t>
      </w:r>
    </w:p>
    <w:p w14:paraId="6784BE6A" w14:textId="7963AA8B" w:rsidR="00693926" w:rsidRPr="00693926" w:rsidRDefault="0018658A" w:rsidP="0072672E">
      <w:r>
        <w:lastRenderedPageBreak/>
        <w:t xml:space="preserve">The </w:t>
      </w:r>
      <w:r w:rsidR="008D3BF8" w:rsidRPr="008D3BF8">
        <w:t>decision must comply with the Equality Act 2010’s and anti-discrimination laws, with objective reasons provided (Nguyen, 2022).</w:t>
      </w:r>
      <w:r w:rsidR="00FA23FD">
        <w:br/>
      </w:r>
    </w:p>
    <w:p w14:paraId="460AF846" w14:textId="582AE1F5" w:rsidR="0018658A" w:rsidRPr="00FA23FD" w:rsidRDefault="0018658A" w:rsidP="0072672E">
      <w:pPr>
        <w:rPr>
          <w:b/>
          <w:bCs/>
          <w:u w:val="single"/>
        </w:rPr>
      </w:pPr>
      <w:r w:rsidRPr="00FA23FD">
        <w:rPr>
          <w:b/>
          <w:bCs/>
          <w:u w:val="single"/>
        </w:rPr>
        <w:t xml:space="preserve">Email 5 </w:t>
      </w:r>
    </w:p>
    <w:p w14:paraId="4AA28961" w14:textId="77777777" w:rsidR="0018658A" w:rsidRPr="0018658A" w:rsidRDefault="0018658A" w:rsidP="0018658A">
      <w:r w:rsidRPr="0018658A">
        <w:t>Understanding the key aspects of constructive dismissal claims and their time limits is crucial when making a claim to the Employment Tribunal (ET). An individual can only make a constructive dismissal claim if they are legally considered an employee and have worked for the company for at least two years (Cane, 2008).</w:t>
      </w:r>
    </w:p>
    <w:p w14:paraId="587D242E" w14:textId="181E3A88" w:rsidR="0018658A" w:rsidRPr="0018658A" w:rsidRDefault="0018658A" w:rsidP="0018658A">
      <w:r w:rsidRPr="0018658A">
        <w:t>To make a constructive dismissal claim, the employee must resign due to a fundamental breach of their contract, such as changes to working hours, wages, or other terms (ACAS, 2024). The burden of proof lies with the employee, who must demonstrate a serious breach of contract and show that resignation was the only reasonable option</w:t>
      </w:r>
      <w:r>
        <w:t xml:space="preserve"> but to resign in response</w:t>
      </w:r>
      <w:r w:rsidRPr="0018658A">
        <w:t xml:space="preserve"> (Cabrelli, 2012).</w:t>
      </w:r>
    </w:p>
    <w:p w14:paraId="53E1DFA9" w14:textId="77777777" w:rsidR="0018658A" w:rsidRPr="0018658A" w:rsidRDefault="0018658A" w:rsidP="0018658A">
      <w:r w:rsidRPr="0018658A">
        <w:t>A change in working hours could form the basis of a constructive dismissal claim if the employee didn’t agree to the change and the modification was significant. Minor changes may not be enough, but a substantial and detrimental change could be considered a breach of contract (Brodie, 2022).</w:t>
      </w:r>
    </w:p>
    <w:p w14:paraId="1B4E4644" w14:textId="04DE15E9" w:rsidR="0018658A" w:rsidRPr="0018658A" w:rsidRDefault="0018658A" w:rsidP="0018658A">
      <w:r w:rsidRPr="0018658A">
        <w:t>The employer must also consider whether the employee consented to the change. If the employee did not agree and the change was imposed unilaterally, it could amount to a breach of contract. The employee must show they made reasonable efforts to discuss the issue before resigning (</w:t>
      </w:r>
      <w:proofErr w:type="spellStart"/>
      <w:r w:rsidRPr="0018658A">
        <w:t>Whitear</w:t>
      </w:r>
      <w:proofErr w:type="spellEnd"/>
      <w:r w:rsidRPr="0018658A">
        <w:t xml:space="preserve">-Nel, 2012). Additionally, </w:t>
      </w:r>
      <w:r w:rsidR="00775505">
        <w:t xml:space="preserve">the employer should check </w:t>
      </w:r>
      <w:r w:rsidRPr="0018658A">
        <w:t>if the contract implied that working hours would remain stable,</w:t>
      </w:r>
      <w:r w:rsidR="00775505">
        <w:t xml:space="preserve"> if it did imply this then</w:t>
      </w:r>
      <w:r w:rsidRPr="0018658A">
        <w:t xml:space="preserve"> a drastic change could lead to a constructive dismissal claim (Reynold, 2005). An example of this is ECC Ltd v Sharp </w:t>
      </w:r>
      <w:r w:rsidR="00775505">
        <w:t>[</w:t>
      </w:r>
      <w:r w:rsidRPr="0018658A">
        <w:t>1978</w:t>
      </w:r>
      <w:r w:rsidR="00775505">
        <w:t>],</w:t>
      </w:r>
      <w:r w:rsidRPr="0018658A">
        <w:t xml:space="preserve"> where the employee resigned after his hours were reduced from 40 to 35 per week without his agreement. The court ruled it was a constructive dismissal due to the significant change in hours. If the change is substantial and without the employee’s agreement, they may have a valid claim, but they must file</w:t>
      </w:r>
      <w:r w:rsidR="00775505">
        <w:t xml:space="preserve"> a claim</w:t>
      </w:r>
      <w:r w:rsidRPr="0018658A">
        <w:t xml:space="preserve"> within the three-month time limit (Wynn, 2002).</w:t>
      </w:r>
    </w:p>
    <w:p w14:paraId="24EA5973" w14:textId="37A9E29B" w:rsidR="0018658A" w:rsidRPr="0018658A" w:rsidRDefault="0018658A" w:rsidP="0018658A">
      <w:r w:rsidRPr="0018658A">
        <w:t xml:space="preserve">The time limit for making a constructive dismissal claim to the ET is three months minus one day from the date of notice. This applies from the last act, meaning the date of notice, not the change in terms. Failing to meet the deadline may result in the </w:t>
      </w:r>
      <w:r w:rsidR="00775505">
        <w:t>claim being “out of time” and later dismissed in court</w:t>
      </w:r>
      <w:r w:rsidRPr="0018658A">
        <w:t>, even if the</w:t>
      </w:r>
      <w:r w:rsidR="00775505">
        <w:t xml:space="preserve"> claimant feels that the</w:t>
      </w:r>
      <w:r w:rsidRPr="0018658A">
        <w:t xml:space="preserve"> change was unjustified (GOV, 2012). A tribunal may extend the time limit in exceptional circumstances, but such extensions are rarely granted (Mahil, 2014).</w:t>
      </w:r>
    </w:p>
    <w:p w14:paraId="070C6D59" w14:textId="77777777" w:rsidR="00775505" w:rsidRDefault="00775505" w:rsidP="0072672E"/>
    <w:p w14:paraId="5B709701" w14:textId="2651FD2D" w:rsidR="00775505" w:rsidRPr="00FA23FD" w:rsidRDefault="00775505" w:rsidP="0072672E">
      <w:pPr>
        <w:rPr>
          <w:b/>
          <w:bCs/>
          <w:u w:val="single"/>
        </w:rPr>
      </w:pPr>
      <w:r w:rsidRPr="00FA23FD">
        <w:rPr>
          <w:b/>
          <w:bCs/>
          <w:u w:val="single"/>
        </w:rPr>
        <w:t>Email 6</w:t>
      </w:r>
    </w:p>
    <w:p w14:paraId="57409B27" w14:textId="77777777" w:rsidR="00AA1722" w:rsidRDefault="00AA1722" w:rsidP="0072672E">
      <w:r w:rsidRPr="00AA1722">
        <w:t>When carrying out redundancies, businesses must comply with legislation that protects staff rights and ensures the process is transparent and fair. A manager’s desire to quickly dismiss the poorest performers, avoiding a lengthy consultation, can lead to significant legal consequences (ACAS, 2022).</w:t>
      </w:r>
      <w:r w:rsidRPr="00AA1722">
        <w:br/>
        <w:t>Redundancy decisions must be based on transparent and fair criteria, such as skills, performance, experience, and business needs. Managers cannot dismiss underperforming employees without ensuring the process is objective and non-discriminatory (Moy, 2013).</w:t>
      </w:r>
    </w:p>
    <w:p w14:paraId="0F5B67B0" w14:textId="7FC072C4" w:rsidR="00AA1722" w:rsidRDefault="00AA1722" w:rsidP="0072672E">
      <w:r w:rsidRPr="00AA1722">
        <w:t>Even with a desire to act swiftly, businesses must consult employees at risk of redundancy. The consultation should explore alternatives like redeployment or retraining, and failure to do so may result in legal claims for unfair dismissal (Blackwell, 2018 &amp; GOV, 2012).</w:t>
      </w:r>
      <w:r w:rsidRPr="00AA1722">
        <w:br/>
        <w:t xml:space="preserve">Managers must also ensure the selection process does not disadvantage certain groups, such as </w:t>
      </w:r>
      <w:r w:rsidRPr="00AA1722">
        <w:lastRenderedPageBreak/>
        <w:t>those with disabilities, or based on age or race, as discriminatory decisions can lead to further legal claims (CIPD, 2024).</w:t>
      </w:r>
    </w:p>
    <w:p w14:paraId="290C0D61" w14:textId="4AB8EEF9" w:rsidR="00AA1722" w:rsidRDefault="00AA1722" w:rsidP="0072672E">
      <w:r w:rsidRPr="00AA1722">
        <w:t>Businesses must also follow statutory consultation processes. For redundancies affecting fewer than 20 employees within 90 days, individual consultations are required. This process typically lasts 1–2 weeks, and employees must be informed of the reasons for redundancy and potential alternatives (Daniels, 2022). However, for 20 or more employees, a collective consultation is required, usually involving a trade union or appointed representative (Lewis, 2005). Consultation should begin at least 30 days before the first dismissal for 20–99 employees, or 45 days for 100 or more</w:t>
      </w:r>
      <w:r w:rsidR="00AC5044">
        <w:t xml:space="preserve">. </w:t>
      </w:r>
      <w:r w:rsidR="00AC5044" w:rsidRPr="00AC5044">
        <w:t xml:space="preserve">This process </w:t>
      </w:r>
      <w:r w:rsidR="00AC5044">
        <w:t>should be a</w:t>
      </w:r>
      <w:r w:rsidR="00AC5044" w:rsidRPr="00AC5044">
        <w:t xml:space="preserve"> transparent discussion </w:t>
      </w:r>
      <w:r w:rsidR="00AC5044">
        <w:t>to</w:t>
      </w:r>
      <w:r w:rsidR="00AC5044" w:rsidRPr="00AC5044">
        <w:t xml:space="preserve"> deliberate on ways to reduce the redundancies (Butler, 2018).</w:t>
      </w:r>
      <w:r w:rsidRPr="00AA1722">
        <w:br/>
        <w:t>Employees are entitled to a minimum notice period based on length of service, typically one week for employees with 1–2 years of service, with an additional week for each subsequent year (</w:t>
      </w:r>
      <w:proofErr w:type="spellStart"/>
      <w:r w:rsidRPr="00AA1722">
        <w:t>Nairns</w:t>
      </w:r>
      <w:proofErr w:type="spellEnd"/>
      <w:r w:rsidRPr="00AA1722">
        <w:t xml:space="preserve">, </w:t>
      </w:r>
      <w:r w:rsidRPr="00AC5044">
        <w:t>2011).</w:t>
      </w:r>
      <w:r w:rsidR="00AC5044" w:rsidRPr="00AC5044">
        <w:t xml:space="preserve"> There could also be a contractual notice which will be different to a statutory one. </w:t>
      </w:r>
      <w:r w:rsidRPr="00AC5044">
        <w:t xml:space="preserve"> </w:t>
      </w:r>
      <w:r w:rsidRPr="00AA1722">
        <w:t>If employees are dismissed immediately</w:t>
      </w:r>
      <w:r w:rsidR="00AC5044">
        <w:t xml:space="preserve">, </w:t>
      </w:r>
      <w:r w:rsidRPr="00AA1722">
        <w:t>the employer must pay in lieu of notice (Access, 2024).</w:t>
      </w:r>
    </w:p>
    <w:p w14:paraId="540C87BE" w14:textId="30CACFF7" w:rsidR="00AA1722" w:rsidRDefault="00AA1722" w:rsidP="0072672E">
      <w:r w:rsidRPr="00AA1722">
        <w:t>Employees made redundant are also entitled to redundancy pay, calculated based on age, service length, and weekly earnings. The rate is half a week’s salary for each year of employment for under-22s, one week’s salary for those between 22 and 41, and one and a half weeks’ salary for those over 41 (Gov, 2012).</w:t>
      </w:r>
    </w:p>
    <w:p w14:paraId="3689D28C" w14:textId="6F99015B" w:rsidR="00775505" w:rsidRPr="00AA1722" w:rsidRDefault="00AA1722" w:rsidP="0072672E">
      <w:r w:rsidRPr="00AA1722">
        <w:t>To avoid claims for unfair dismissal and discrimination, managers must ensure a fair process is followed, offering employees a chance to respond and exploring alternatives. Failure to do so could lead to legal repercussions, including unfair dismissals, discrimination claims, and protective awards for failure to consult (Stroud, 2012).</w:t>
      </w:r>
    </w:p>
    <w:p w14:paraId="70EE6D0F" w14:textId="77777777" w:rsidR="00865060" w:rsidRPr="00865060" w:rsidRDefault="00865060" w:rsidP="0072672E">
      <w:pPr>
        <w:rPr>
          <w:b/>
          <w:bCs/>
        </w:rPr>
      </w:pPr>
    </w:p>
    <w:p w14:paraId="5AD4B5CB" w14:textId="0C3296AE" w:rsidR="00AC5044" w:rsidRPr="00FA23FD" w:rsidRDefault="00AC5044" w:rsidP="0072672E">
      <w:pPr>
        <w:rPr>
          <w:b/>
          <w:bCs/>
          <w:u w:val="single"/>
        </w:rPr>
      </w:pPr>
      <w:r w:rsidRPr="00FA23FD">
        <w:rPr>
          <w:b/>
          <w:bCs/>
          <w:u w:val="single"/>
        </w:rPr>
        <w:t xml:space="preserve">Email 7 </w:t>
      </w:r>
    </w:p>
    <w:p w14:paraId="4A9726E8" w14:textId="228BDC70" w:rsidR="00250F26" w:rsidRPr="00250F26" w:rsidRDefault="00250F26" w:rsidP="00250F26">
      <w:r w:rsidRPr="00250F26">
        <w:t xml:space="preserve">The Transfer of Undertakings (Protection of Employment) (TUPE) Regulations 2006 protect employees’ rights during a company </w:t>
      </w:r>
      <w:r w:rsidR="00700D3F">
        <w:t xml:space="preserve">(or part of it) </w:t>
      </w:r>
      <w:r w:rsidRPr="00250F26">
        <w:t>transfer or when services change providers. TUPE ensures that employees’ jobs, terms, conditions, and continuity of employment are transferred to the new owner (GOV, 2024).</w:t>
      </w:r>
    </w:p>
    <w:p w14:paraId="23BC8200" w14:textId="77777777" w:rsidR="00250F26" w:rsidRPr="00250F26" w:rsidRDefault="00250F26" w:rsidP="00250F26">
      <w:r w:rsidRPr="00250F26">
        <w:t>TUPE automatically applies to employees in the transferred part of the business (Wales, 2019). For example, if a pharmacy operation moves to a new centralised pharmacy under a Trust, all employees in the pharmacy departments will transfer automatically (Daniels, 2022). Employees can only be excluded with their consent, unless there are specific exemptions, such as redundancy or insolvency (Pollard, 1996).</w:t>
      </w:r>
    </w:p>
    <w:p w14:paraId="11D40D2C" w14:textId="59C6EE64" w:rsidR="00250F26" w:rsidRPr="00250F26" w:rsidRDefault="00250F26" w:rsidP="00250F26">
      <w:r w:rsidRPr="00250F26">
        <w:t xml:space="preserve">Employers must consult with employees or their representatives, such as unions or appointed representatives, before proceeding with a transfer (Lewis, 2005). During this consultation, employers must discuss any changes and their impact on staff (CIPD, 2023). They are also required to explain the reasons for the transfer and its legal, financial, and social consequences for employees (ACAS, 2014). Failure to consult appropriately may lead to claims for protective awards, unfair dismissal, or discrimination (Wynn-Evans, 2020). For example, in Mann &amp; O v Secretary of State for Employment </w:t>
      </w:r>
      <w:r w:rsidR="00700D3F">
        <w:t>[</w:t>
      </w:r>
      <w:r w:rsidRPr="00250F26">
        <w:t>1999</w:t>
      </w:r>
      <w:r w:rsidR="00700D3F">
        <w:t>]</w:t>
      </w:r>
      <w:r w:rsidRPr="00250F26">
        <w:t>, an employer had to pay protective awards for failing to consult on a business transfer, covering up to 13 weeks of pay per employee.</w:t>
      </w:r>
    </w:p>
    <w:p w14:paraId="0F0A1C4A" w14:textId="77777777" w:rsidR="00250F26" w:rsidRPr="00250F26" w:rsidRDefault="00250F26" w:rsidP="00250F26">
      <w:r w:rsidRPr="00250F26">
        <w:t>Employees’ terms and conditions, including pay, benefits, and holidays, must be preserved. Any unlawful changes, such as to wages or hours, could result in unfair dismissal claims (O’Neill, 2015). Employees also have the right to remain with their existing pension providers, though this may vary.</w:t>
      </w:r>
    </w:p>
    <w:p w14:paraId="11EC0B6B" w14:textId="7C80CE0E" w:rsidR="00250F26" w:rsidRPr="00250F26" w:rsidRDefault="00250F26" w:rsidP="00250F26">
      <w:r w:rsidRPr="00250F26">
        <w:lastRenderedPageBreak/>
        <w:t>Employees can object to a transfer, but resigning does not</w:t>
      </w:r>
      <w:r w:rsidR="00700D3F">
        <w:t xml:space="preserve"> mean they can resign and claim</w:t>
      </w:r>
      <w:r w:rsidRPr="00250F26">
        <w:t xml:space="preserve"> compensation. Resigning and objecting could be considered voluntary resignation (McMullen, 2012). However, if employees object but stay, their terms remain protected under TUPE (ACAS, 2024).</w:t>
      </w:r>
    </w:p>
    <w:p w14:paraId="277EB4C1" w14:textId="77777777" w:rsidR="00250F26" w:rsidRPr="00250F26" w:rsidRDefault="00250F26" w:rsidP="00250F26">
      <w:r w:rsidRPr="00250F26">
        <w:t>Dismissals related to TUPE are automatically unfair unless justified by economic, technical, or organisational reasons (ETO). Dismissing employees solely due to the transfer or its changes would be unfair, and they could claim unfair dismissal (Nicholls, 2008).</w:t>
      </w:r>
    </w:p>
    <w:p w14:paraId="42E92262" w14:textId="77777777" w:rsidR="00250F26" w:rsidRPr="00250F26" w:rsidRDefault="00250F26" w:rsidP="00250F26">
      <w:r w:rsidRPr="00250F26">
        <w:t>As the new employer, the Trust would inherit all liabilities associated with the transferred employees, including disputes over wages or discrimination (Tynan, 2008). Any changes to business operations must be carefully considered, and disadvantageous changes to terms must be justifiable under ETO reasons. If redundancies are necessary after the transfer, proper consultation and redundancy pay must be provided (Lewis, 2005).</w:t>
      </w:r>
    </w:p>
    <w:p w14:paraId="546CCA2B" w14:textId="5997FABD" w:rsidR="00775505" w:rsidRDefault="00250F26" w:rsidP="0072672E">
      <w:r w:rsidRPr="00250F26">
        <w:t>In conclusion, TUPE Regulations protect employees during transfers, ensuring their terms and conditions are preserved, and any dismissals are subject to specific criteria (Daniels, 2022).</w:t>
      </w:r>
    </w:p>
    <w:p w14:paraId="28EF55C0" w14:textId="77777777" w:rsidR="00865060" w:rsidRDefault="00865060" w:rsidP="0072672E">
      <w:pPr>
        <w:rPr>
          <w:b/>
          <w:bCs/>
        </w:rPr>
      </w:pPr>
    </w:p>
    <w:p w14:paraId="4691F9BF" w14:textId="30428AB7" w:rsidR="00700D3F" w:rsidRPr="00FA23FD" w:rsidRDefault="00700D3F" w:rsidP="0072672E">
      <w:pPr>
        <w:rPr>
          <w:b/>
          <w:bCs/>
          <w:u w:val="single"/>
        </w:rPr>
      </w:pPr>
      <w:r w:rsidRPr="00FA23FD">
        <w:rPr>
          <w:b/>
          <w:bCs/>
          <w:u w:val="single"/>
        </w:rPr>
        <w:t>Email 8</w:t>
      </w:r>
    </w:p>
    <w:p w14:paraId="5207F975" w14:textId="73D5A1DD" w:rsidR="00700D3F" w:rsidRPr="00700D3F" w:rsidRDefault="00700D3F" w:rsidP="00700D3F">
      <w:r w:rsidRPr="00700D3F">
        <w:t xml:space="preserve">In the UK, the Working Time Regulations 1998 oversee the holiday pay entitlement rules. Casual or Bank workers are entitled to holiday pay even if they </w:t>
      </w:r>
      <w:r>
        <w:t>don’t</w:t>
      </w:r>
      <w:r w:rsidRPr="00700D3F">
        <w:t xml:space="preserve"> have a permanent contract of employment (Daniels, 2022). </w:t>
      </w:r>
    </w:p>
    <w:p w14:paraId="16F9D626" w14:textId="068371E0" w:rsidR="00700D3F" w:rsidRPr="00700D3F" w:rsidRDefault="00700D3F" w:rsidP="00700D3F">
      <w:r w:rsidRPr="00700D3F">
        <w:t xml:space="preserve">All workers including casual or bank staff are entitled to a minimum of 28 days of paid holiday annually, this may include public holidays depending on individual policies. Casual workers get their pay calculated based on average earnings over 52 weeks, excluding unpaid weeks (ACAS, 2023). If the worker does regular overtime, </w:t>
      </w:r>
      <w:r>
        <w:t>this</w:t>
      </w:r>
      <w:r w:rsidRPr="00700D3F">
        <w:t xml:space="preserve"> should be included in the calculation (Tarka, 2019). </w:t>
      </w:r>
    </w:p>
    <w:p w14:paraId="09991EB7" w14:textId="18024986" w:rsidR="00700D3F" w:rsidRPr="00700D3F" w:rsidRDefault="00700D3F" w:rsidP="00700D3F">
      <w:r w:rsidRPr="00700D3F">
        <w:t xml:space="preserve">Due to the nurses working on casual basis, holiday pay would be calculated differently to permanent staff. There are two methods </w:t>
      </w:r>
      <w:r>
        <w:t>for</w:t>
      </w:r>
      <w:r w:rsidRPr="00700D3F">
        <w:t xml:space="preserve"> this; </w:t>
      </w:r>
    </w:p>
    <w:p w14:paraId="523BFAB7" w14:textId="4E0CEC79" w:rsidR="00700D3F" w:rsidRPr="00700D3F" w:rsidRDefault="00700D3F" w:rsidP="00700D3F">
      <w:r w:rsidRPr="00700D3F">
        <w:t xml:space="preserve">The first is a rolling up method which adds 12.07% of each shift’s pay to account for holiday, this is a statutory minimum of 28-day holidays as a proportion of the 52 weeks in a year. </w:t>
      </w:r>
      <w:r>
        <w:t>For</w:t>
      </w:r>
      <w:r w:rsidRPr="00700D3F">
        <w:t xml:space="preserve"> example</w:t>
      </w:r>
      <w:r>
        <w:t xml:space="preserve">, </w:t>
      </w:r>
      <w:r w:rsidRPr="00700D3F">
        <w:t xml:space="preserve">if a nurse was paid £200 a shift, 12.07% of this would be £24.14 which would be added on top of their shift pay (Lewis, 2005 &amp; GOV, 2020). </w:t>
      </w:r>
    </w:p>
    <w:p w14:paraId="620E2D13" w14:textId="05D2F850" w:rsidR="00700D3F" w:rsidRPr="00700D3F" w:rsidRDefault="00700D3F" w:rsidP="00700D3F">
      <w:r w:rsidRPr="00700D3F">
        <w:t>The second would be an accrual method which collects holiday pay as the workers complete shifts over a 12-week period. At the end of this period the accrued pay is given to the employee. This method is fair and it guarantees that employees are paid holidays based on the hours they actually work (</w:t>
      </w:r>
      <w:proofErr w:type="spellStart"/>
      <w:r w:rsidRPr="00700D3F">
        <w:t>Mcmanus</w:t>
      </w:r>
      <w:proofErr w:type="spellEnd"/>
      <w:r w:rsidRPr="00700D3F">
        <w:t xml:space="preserve">, 2017 &amp; GOV,2020). </w:t>
      </w:r>
    </w:p>
    <w:p w14:paraId="54E40FA3" w14:textId="6C3DA4C0" w:rsidR="00700D3F" w:rsidRPr="00700D3F" w:rsidRDefault="00700D3F" w:rsidP="00700D3F">
      <w:r w:rsidRPr="00700D3F">
        <w:t xml:space="preserve">If the nurses have irregular hours or shifts, the calculation should be inclusive of all remuneration elements that are included within their pay, </w:t>
      </w:r>
      <w:r w:rsidR="0002078E">
        <w:t>such as</w:t>
      </w:r>
      <w:r w:rsidRPr="00700D3F">
        <w:t xml:space="preserve"> overtime, commissions and allowances (MacDermott, 1998). </w:t>
      </w:r>
    </w:p>
    <w:p w14:paraId="4C38C2F8" w14:textId="52672CDF" w:rsidR="00700D3F" w:rsidRPr="00700D3F" w:rsidRDefault="00700D3F" w:rsidP="00700D3F">
      <w:r w:rsidRPr="00700D3F">
        <w:t xml:space="preserve">Lock v British Gas </w:t>
      </w:r>
      <w:r w:rsidR="0002078E">
        <w:t>[</w:t>
      </w:r>
      <w:r w:rsidRPr="00700D3F">
        <w:t>2014</w:t>
      </w:r>
      <w:r w:rsidR="0002078E">
        <w:t>]</w:t>
      </w:r>
      <w:r w:rsidRPr="00700D3F">
        <w:t xml:space="preserve">, established that workers are entitled to holiday pay that shows their standard earnings along with overtime and commissions. This strengthened the idea that holiday pay should be based on worker’s average earnings and not </w:t>
      </w:r>
      <w:r w:rsidR="0002078E">
        <w:t>just</w:t>
      </w:r>
      <w:r w:rsidRPr="00700D3F">
        <w:t xml:space="preserve"> salary.  If the bank</w:t>
      </w:r>
      <w:r w:rsidR="0002078E">
        <w:t>-</w:t>
      </w:r>
      <w:r w:rsidRPr="00700D3F">
        <w:t xml:space="preserve">staff regularly work overtime or complete extra shifts, this should be factored in their wage (Tarka, 2019 &amp; Darcy, 2005). It is also worth noting that rounding up holiday pay can result in overpayment or underpayment, </w:t>
      </w:r>
      <w:r w:rsidRPr="00700D3F">
        <w:lastRenderedPageBreak/>
        <w:t>which may lead to legal claims</w:t>
      </w:r>
      <w:r w:rsidR="0002078E">
        <w:t>. Employer’s</w:t>
      </w:r>
      <w:r w:rsidRPr="00700D3F">
        <w:t xml:space="preserve"> will have to ensure that holiday calculations are in line with legal requirements (Walker, 2023). </w:t>
      </w:r>
    </w:p>
    <w:p w14:paraId="6335B9BD" w14:textId="55F036AE" w:rsidR="0002078E" w:rsidRPr="00865060" w:rsidRDefault="0002078E" w:rsidP="0072672E">
      <w:r>
        <w:t xml:space="preserve">Employers should ensure </w:t>
      </w:r>
      <w:r w:rsidR="00700D3F" w:rsidRPr="00700D3F">
        <w:t xml:space="preserve">hours completed are tracked by each bank nurse carefully, so that holiday calculations are accurate. </w:t>
      </w:r>
      <w:r>
        <w:t xml:space="preserve">They should also communicate clearly with </w:t>
      </w:r>
      <w:r w:rsidR="00700D3F" w:rsidRPr="00700D3F">
        <w:t>casual workers and that</w:t>
      </w:r>
      <w:r>
        <w:t xml:space="preserve"> guarantee</w:t>
      </w:r>
      <w:r w:rsidR="00700D3F" w:rsidRPr="00700D3F">
        <w:t xml:space="preserve"> they are aware of how their holiday pay is calculated (ACAS, 2023). </w:t>
      </w:r>
    </w:p>
    <w:p w14:paraId="5D5D266D" w14:textId="77777777" w:rsidR="00865060" w:rsidRPr="0002078E" w:rsidRDefault="00865060" w:rsidP="0072672E">
      <w:pPr>
        <w:rPr>
          <w:b/>
          <w:bCs/>
        </w:rPr>
      </w:pPr>
    </w:p>
    <w:p w14:paraId="2EA71601" w14:textId="5C1B9081" w:rsidR="00700D3F" w:rsidRPr="00FA23FD" w:rsidRDefault="00865060" w:rsidP="0072672E">
      <w:pPr>
        <w:rPr>
          <w:b/>
          <w:bCs/>
          <w:u w:val="single"/>
        </w:rPr>
      </w:pPr>
      <w:r w:rsidRPr="00FA23FD">
        <w:rPr>
          <w:b/>
          <w:bCs/>
          <w:u w:val="single"/>
        </w:rPr>
        <w:t xml:space="preserve">Email 9 </w:t>
      </w:r>
    </w:p>
    <w:p w14:paraId="51696FE8" w14:textId="7D83C021" w:rsidR="00865060" w:rsidRPr="00865060" w:rsidRDefault="00865060" w:rsidP="00865060">
      <w:r w:rsidRPr="00865060">
        <w:t xml:space="preserve">Maternity leave is available to employees who are pregnant and have given birth, designed to help mothers recover from childbirth and care for their baby. </w:t>
      </w:r>
      <w:r w:rsidR="00C6797C">
        <w:br/>
      </w:r>
      <w:r w:rsidRPr="00865060">
        <w:t>Statutory Maternity Leave (SML) lasts 52 weeks, divided into 26 weeks of Ordinary and 26 weeks of Additional Maternity Leave (ACAS, 2023). Statutory Maternity Pay (SMP) is calculated differently during this period: the first 6 weeks are paid at 90% of average weekly earnings, and the remaining 33 weeks are paid at a statutory rate of £184.03 (or 90% of average weekly earnings if lower) (GOV, 2024/2012). This leave can begin up to 11 weeks before the due date, but the employer cannot force the worker to take it early (Birkinshaw, 2017). After maternity leave ends, the employee must return to the same role if they took the first 26 weeks. If they took additional leave, they may be reassigned to a similar role (Martin, 2005).</w:t>
      </w:r>
    </w:p>
    <w:p w14:paraId="54F6F491" w14:textId="1ACED24E" w:rsidR="00865060" w:rsidRPr="00865060" w:rsidRDefault="00865060" w:rsidP="00865060">
      <w:r w:rsidRPr="00865060">
        <w:t>Statutory Parental Leave (SPL) is available to both parents, but both must be employed and share responsibility for the child (Mitchell, 2023). SPL allows up to 50 weeks of leave, though the amount taken depends on the mother's maternity leave. Most mothers must take at least 2 weeks of maternity leave before starting shared parental leave (NEU, 2024). SPL pay follows the same structure as SMP: 90% of average weekly earnings for the first 6 weeks, then a statutory rate or 90% of earnings if lower (GOV, 2024). SPL provides flexibility, allowing both parents to take leave and spend time with their newborn (</w:t>
      </w:r>
      <w:proofErr w:type="spellStart"/>
      <w:r w:rsidRPr="00865060">
        <w:t>Bunnefeld</w:t>
      </w:r>
      <w:proofErr w:type="spellEnd"/>
      <w:r w:rsidRPr="00865060">
        <w:t xml:space="preserve">, 2019). Both parents have the same return-to-work rights as maternity leave, with the first 26 weeks guaranteeing a return to the same role and </w:t>
      </w:r>
      <w:r w:rsidR="00C6797C">
        <w:t xml:space="preserve">the additional </w:t>
      </w:r>
      <w:r w:rsidRPr="00865060">
        <w:t>26 weeks, a similar role (</w:t>
      </w:r>
      <w:proofErr w:type="spellStart"/>
      <w:r w:rsidRPr="00865060">
        <w:t>Brandth</w:t>
      </w:r>
      <w:proofErr w:type="spellEnd"/>
      <w:r w:rsidRPr="00865060">
        <w:t>, 2019).</w:t>
      </w:r>
    </w:p>
    <w:p w14:paraId="21113DFD" w14:textId="6E047692" w:rsidR="00865060" w:rsidRPr="00865060" w:rsidRDefault="00865060" w:rsidP="00865060">
      <w:r w:rsidRPr="00865060">
        <w:t xml:space="preserve">Key differences include that maternity leave is for the mother only, while SPL can be split between parents. Maternity leave lasts 52 weeks, while SPL lasts 50 weeks, giving the mother </w:t>
      </w:r>
      <w:r w:rsidR="00C6797C">
        <w:t xml:space="preserve">compulsory </w:t>
      </w:r>
      <w:r w:rsidRPr="00865060">
        <w:t>2 weeks. SPL offers greater flexibility in when leave can be taken, while maternity leave is solely at the mother’s discretion (Green, 2021; Daniels, 2022). Although pay rates are the same, SPL’s pay structure can depend on how the leave is split.</w:t>
      </w:r>
    </w:p>
    <w:p w14:paraId="316EB67A" w14:textId="374CEFF3" w:rsidR="00025E59" w:rsidRPr="00FA23FD" w:rsidRDefault="00865060" w:rsidP="0072672E">
      <w:r w:rsidRPr="00865060">
        <w:t>Which leave is more beneficial depends on individual circumstances and finances. Maternity leave may better support the mother's recovery and well-being, with no need to coordinate with a partner. On the other hand, SPL can benefit both parents by sharing responsibility and strengthening the family bond, and it can provide better work-life balance. Some employers may offer more flexibility or pay for SPL (Lidbeck, 2021).</w:t>
      </w:r>
      <w:r w:rsidR="00FA23FD">
        <w:br/>
      </w:r>
    </w:p>
    <w:p w14:paraId="09B5E4F1" w14:textId="156F2E94" w:rsidR="00C6797C" w:rsidRPr="00FA23FD" w:rsidRDefault="00025E59" w:rsidP="0072672E">
      <w:pPr>
        <w:rPr>
          <w:b/>
          <w:bCs/>
          <w:u w:val="single"/>
        </w:rPr>
      </w:pPr>
      <w:r w:rsidRPr="00FA23FD">
        <w:rPr>
          <w:b/>
          <w:bCs/>
          <w:u w:val="single"/>
        </w:rPr>
        <w:t>Email 10</w:t>
      </w:r>
    </w:p>
    <w:p w14:paraId="0AC07163" w14:textId="77777777" w:rsidR="00025E59" w:rsidRPr="00025E59" w:rsidRDefault="00025E59" w:rsidP="00025E59">
      <w:r w:rsidRPr="00025E59">
        <w:t>In the UK, employees have the legal right to request flexible working from day one of employment, starting in April 2024. Flexible working requests can include variations in hours, job-sharing, condensed hours, or remote work (Jackson, 2024). Employees can make two requests within a 12-month period, but only one can be active at a time (ACAS, 2024).</w:t>
      </w:r>
    </w:p>
    <w:p w14:paraId="13CA9565" w14:textId="254AE2B2" w:rsidR="00025E59" w:rsidRPr="00025E59" w:rsidRDefault="00025E59" w:rsidP="00025E59">
      <w:r w:rsidRPr="00025E59">
        <w:lastRenderedPageBreak/>
        <w:t>To make a request, employees must submit a written application outlining the dates, proposed changes, reasons for the request, and any previous requests (PB, 2015; ACAS, 2023). Employers must respond within two months</w:t>
      </w:r>
      <w:r w:rsidR="00AA6BD5">
        <w:t xml:space="preserve"> from the date of the request</w:t>
      </w:r>
      <w:r w:rsidRPr="00025E59">
        <w:t xml:space="preserve"> (CIPD, 2024).</w:t>
      </w:r>
    </w:p>
    <w:p w14:paraId="5DD20088" w14:textId="33761AC6" w:rsidR="00025E59" w:rsidRPr="00025E59" w:rsidRDefault="00025E59" w:rsidP="00025E59">
      <w:r w:rsidRPr="00025E59">
        <w:t xml:space="preserve">Employers can reject requests based on business reasons, such as additional costs, negative impacts on service quality, recruitment issues, performance, customer demands, or organizational changes. Other reasons are listed in the ACAS Code of Practice (2024). While employers may be concerned about setting a precedent, decisions should focus on business needs, not avoiding patterns. Requests should be reviewed independently, considering individual roles and responsibilities (Cooper, 2015). If rejected, employees can appeal, and the appeal should be </w:t>
      </w:r>
      <w:r w:rsidR="000174DC">
        <w:t xml:space="preserve">dealt with </w:t>
      </w:r>
      <w:r w:rsidRPr="00025E59">
        <w:t>impartial</w:t>
      </w:r>
      <w:r w:rsidR="000174DC">
        <w:t>ly, i</w:t>
      </w:r>
      <w:r w:rsidR="000174DC" w:rsidRPr="000174DC">
        <w:t>deally with a person who was not involved in previous discussions</w:t>
      </w:r>
      <w:r w:rsidRPr="00025E59">
        <w:t xml:space="preserve"> (CIPD &amp; ACAS, 2024).</w:t>
      </w:r>
    </w:p>
    <w:p w14:paraId="5C6B4E20" w14:textId="625B0BC6" w:rsidR="00025E59" w:rsidRPr="00025E59" w:rsidRDefault="00025E59" w:rsidP="00025E59">
      <w:r w:rsidRPr="00025E59">
        <w:t>Requests should be evaluated to determine if the duties of the role, such as an administrative officer, can be fulfilled with remote work three days a week without affecting service delivery. For example, if the employee must handle daily document copying</w:t>
      </w:r>
      <w:r w:rsidR="000174DC">
        <w:t xml:space="preserve"> or handling physical copies and printing</w:t>
      </w:r>
      <w:r w:rsidRPr="00025E59">
        <w:t>, this may not be feasible (Loch &amp; Towner, 2005).</w:t>
      </w:r>
    </w:p>
    <w:p w14:paraId="1BA110F9" w14:textId="668AA605" w:rsidR="00025E59" w:rsidRPr="00025E59" w:rsidRDefault="00025E59" w:rsidP="00025E59">
      <w:r w:rsidRPr="00025E59">
        <w:t>People services should maintain consistency in decision-making to avoid setting unfair precedents. Requests must be assessed on a case-by-case basis, considering both operational and employee needs. They cannot grant one administrator’s request and deny another’s in the same role (Faragher, 2014). If a request is rejected, alternative options, such as one or two remote workdays</w:t>
      </w:r>
      <w:r w:rsidR="000174DC">
        <w:t xml:space="preserve"> or hybrid working</w:t>
      </w:r>
      <w:r w:rsidRPr="00025E59">
        <w:t>, should be considered.</w:t>
      </w:r>
      <w:r w:rsidR="000174DC" w:rsidRPr="000174DC">
        <w:rPr>
          <w:color w:val="FF0000"/>
        </w:rPr>
        <w:t xml:space="preserve"> </w:t>
      </w:r>
      <w:r w:rsidR="000174DC" w:rsidRPr="000174DC">
        <w:t>Additionally, they need to demonstrate why or how the request would not be feasible.</w:t>
      </w:r>
    </w:p>
    <w:p w14:paraId="0D14D0CA" w14:textId="00A18A1B" w:rsidR="00025E59" w:rsidRPr="00025E59" w:rsidRDefault="00025E59" w:rsidP="00025E59">
      <w:r w:rsidRPr="00025E59">
        <w:t>Rejecting a request without a valid reason</w:t>
      </w:r>
      <w:r w:rsidR="000174DC">
        <w:t xml:space="preserve"> or rejecting it for reasons influenced by </w:t>
      </w:r>
      <w:r w:rsidRPr="00025E59">
        <w:t>gender or disability, could lead to a discrimination claim. Failing to follow proper procedures, like missing deadlines or citing non-business reasons, could also result in an employee filing a constructive or unfair dismissal claim (Faragher, 2014).</w:t>
      </w:r>
    </w:p>
    <w:p w14:paraId="61827F02" w14:textId="6A89D7A0" w:rsidR="00025E59" w:rsidRDefault="00025E59" w:rsidP="0072672E">
      <w:r w:rsidRPr="00025E59">
        <w:t>With flexible working now a day-one right, people management must carefully assess requests. Though they aren’t required to grant the request, they must follow the correct process, and refusal without a legitimate reason could lead to unfairness. Offering alternatives can help balance business and employee needs (Newman, 2016).</w:t>
      </w:r>
    </w:p>
    <w:p w14:paraId="151F3241" w14:textId="3556B125" w:rsidR="00593E3C" w:rsidRDefault="00593E3C" w:rsidP="0072672E"/>
    <w:p w14:paraId="1B9C502D" w14:textId="5298CB5E" w:rsidR="00593E3C" w:rsidRDefault="00593E3C" w:rsidP="0072672E"/>
    <w:p w14:paraId="7DE34E0B" w14:textId="77777777" w:rsidR="00FA23FD" w:rsidRDefault="00FA23FD" w:rsidP="0072672E"/>
    <w:p w14:paraId="77CDEE9D" w14:textId="77777777" w:rsidR="00FA23FD" w:rsidRDefault="00FA23FD" w:rsidP="0072672E"/>
    <w:p w14:paraId="0DE20976" w14:textId="77777777" w:rsidR="00FA23FD" w:rsidRDefault="00FA23FD" w:rsidP="0072672E"/>
    <w:p w14:paraId="761B4925" w14:textId="77777777" w:rsidR="00FA23FD" w:rsidRDefault="00FA23FD" w:rsidP="0072672E"/>
    <w:p w14:paraId="0956B5CC" w14:textId="77777777" w:rsidR="00FA23FD" w:rsidRDefault="00FA23FD" w:rsidP="0072672E"/>
    <w:p w14:paraId="4AB18FF2" w14:textId="77777777" w:rsidR="00FA23FD" w:rsidRDefault="00FA23FD" w:rsidP="0072672E"/>
    <w:p w14:paraId="518B525E" w14:textId="77777777" w:rsidR="00FA23FD" w:rsidRDefault="00FA23FD" w:rsidP="0072672E"/>
    <w:p w14:paraId="6A8FDB7A" w14:textId="344553F4" w:rsidR="00FA23FD" w:rsidRPr="00FA23FD" w:rsidRDefault="00FA23FD" w:rsidP="0072672E">
      <w:pPr>
        <w:rPr>
          <w:b/>
          <w:bCs/>
          <w:u w:val="single"/>
        </w:rPr>
      </w:pPr>
      <w:r w:rsidRPr="00FA23FD">
        <w:rPr>
          <w:b/>
          <w:bCs/>
          <w:u w:val="single"/>
        </w:rPr>
        <w:t>Bibliography</w:t>
      </w:r>
    </w:p>
    <w:p w14:paraId="62B274B5" w14:textId="77777777" w:rsidR="00FA23FD" w:rsidRPr="00727143" w:rsidRDefault="00FA23FD" w:rsidP="00FA23FD">
      <w:pPr>
        <w:rPr>
          <w:b/>
          <w:bCs/>
          <w:i/>
          <w:iCs/>
        </w:rPr>
      </w:pPr>
      <w:bookmarkStart w:id="0" w:name="_Hlk192444722"/>
      <w:r w:rsidRPr="00BE0F8E">
        <w:rPr>
          <w:i/>
          <w:iCs/>
        </w:rPr>
        <w:lastRenderedPageBreak/>
        <w:t>ACAS (2023). </w:t>
      </w:r>
      <w:proofErr w:type="spellStart"/>
      <w:r w:rsidRPr="00BE0F8E">
        <w:rPr>
          <w:i/>
          <w:iCs/>
        </w:rPr>
        <w:t>Acas</w:t>
      </w:r>
      <w:proofErr w:type="spellEnd"/>
      <w:r w:rsidRPr="00BE0F8E">
        <w:rPr>
          <w:i/>
          <w:iCs/>
        </w:rPr>
        <w:t xml:space="preserve"> | Making working life better for everyone in Britain. [online] Acas.org.uk. Available at: </w:t>
      </w:r>
      <w:hyperlink r:id="rId4" w:history="1">
        <w:r w:rsidRPr="008144CD">
          <w:rPr>
            <w:rStyle w:val="Hyperlink"/>
            <w:i/>
            <w:iCs/>
          </w:rPr>
          <w:t>https://www.acas.org.uk/</w:t>
        </w:r>
      </w:hyperlink>
      <w:r w:rsidRPr="00BE0F8E">
        <w:rPr>
          <w:i/>
          <w:iCs/>
        </w:rPr>
        <w:t>.</w:t>
      </w:r>
      <w:r>
        <w:rPr>
          <w:i/>
          <w:iCs/>
        </w:rPr>
        <w:t xml:space="preserve"> [Accessed 02</w:t>
      </w:r>
      <w:r w:rsidRPr="00E3392C">
        <w:rPr>
          <w:i/>
          <w:iCs/>
          <w:vertAlign w:val="superscript"/>
        </w:rPr>
        <w:t>nd</w:t>
      </w:r>
      <w:r>
        <w:rPr>
          <w:i/>
          <w:iCs/>
        </w:rPr>
        <w:t xml:space="preserve"> March 2025]</w:t>
      </w:r>
    </w:p>
    <w:p w14:paraId="73341F04" w14:textId="77777777" w:rsidR="00FA23FD" w:rsidRDefault="00FA23FD" w:rsidP="00FA23FD">
      <w:pPr>
        <w:rPr>
          <w:i/>
          <w:iCs/>
        </w:rPr>
      </w:pPr>
      <w:r w:rsidRPr="001C2C41">
        <w:rPr>
          <w:i/>
          <w:iCs/>
        </w:rPr>
        <w:t>‌</w:t>
      </w:r>
      <w:r w:rsidRPr="00C8735B">
        <w:t xml:space="preserve"> </w:t>
      </w:r>
      <w:r w:rsidRPr="00C8735B">
        <w:rPr>
          <w:i/>
          <w:iCs/>
        </w:rPr>
        <w:t xml:space="preserve">Breen v. Golden Lane Housing Ltd [2021] EWCA </w:t>
      </w:r>
      <w:proofErr w:type="spellStart"/>
      <w:r w:rsidRPr="00C8735B">
        <w:rPr>
          <w:i/>
          <w:iCs/>
        </w:rPr>
        <w:t>Civ</w:t>
      </w:r>
      <w:proofErr w:type="spellEnd"/>
      <w:r w:rsidRPr="00C8735B">
        <w:rPr>
          <w:i/>
          <w:iCs/>
        </w:rPr>
        <w:t xml:space="preserve"> 439</w:t>
      </w:r>
      <w:r>
        <w:rPr>
          <w:i/>
          <w:iCs/>
        </w:rPr>
        <w:t xml:space="preserve"> </w:t>
      </w:r>
      <w:r w:rsidRPr="00C8735B">
        <w:rPr>
          <w:i/>
          <w:iCs/>
        </w:rPr>
        <w:t xml:space="preserve">Available at: </w:t>
      </w:r>
      <w:hyperlink r:id="rId5" w:history="1">
        <w:r w:rsidRPr="008144CD">
          <w:rPr>
            <w:rStyle w:val="Hyperlink"/>
            <w:i/>
            <w:iCs/>
          </w:rPr>
          <w:t>https://www.gov.uk/government/publications/regulatory-judgement-golden-lane-housing-limited/golden-lane-housing-limited-4803-regulatory-judgement-15-january-2025</w:t>
        </w:r>
      </w:hyperlink>
      <w:r>
        <w:rPr>
          <w:i/>
          <w:iCs/>
        </w:rPr>
        <w:t xml:space="preserve"> </w:t>
      </w:r>
      <w:r w:rsidRPr="00C8735B">
        <w:rPr>
          <w:i/>
          <w:iCs/>
        </w:rPr>
        <w:t>[Accessed 2 Mar. 2025].</w:t>
      </w:r>
      <w:r>
        <w:rPr>
          <w:i/>
          <w:iCs/>
        </w:rPr>
        <w:t xml:space="preserve"> </w:t>
      </w:r>
    </w:p>
    <w:p w14:paraId="3196BF6F" w14:textId="77777777" w:rsidR="00FA23FD" w:rsidRDefault="00FA23FD" w:rsidP="00FA23FD">
      <w:pPr>
        <w:rPr>
          <w:i/>
          <w:iCs/>
        </w:rPr>
      </w:pPr>
      <w:r w:rsidRPr="00C768BD">
        <w:rPr>
          <w:i/>
          <w:iCs/>
        </w:rPr>
        <w:t>‌</w:t>
      </w:r>
      <w:r w:rsidRPr="003104AD">
        <w:rPr>
          <w:rFonts w:ascii="Times New Roman" w:eastAsia="Times New Roman" w:hAnsi="Times New Roman" w:cs="Times New Roman"/>
          <w:kern w:val="0"/>
          <w:sz w:val="24"/>
          <w:szCs w:val="24"/>
          <w:lang w:eastAsia="en-GB"/>
          <w14:ligatures w14:val="none"/>
        </w:rPr>
        <w:t xml:space="preserve"> </w:t>
      </w:r>
      <w:r w:rsidRPr="003104AD">
        <w:rPr>
          <w:i/>
          <w:iCs/>
        </w:rPr>
        <w:t xml:space="preserve">Cooper, R., &amp; Baird, M. (2015). Bringing the “right to request” flexible working arrangements to life: from policies to practices. Employee Relations, 37(5), 568–581. </w:t>
      </w:r>
      <w:hyperlink r:id="rId6" w:history="1">
        <w:r w:rsidRPr="00205052">
          <w:rPr>
            <w:rStyle w:val="Hyperlink"/>
            <w:i/>
            <w:iCs/>
          </w:rPr>
          <w:t>https://doi.org/10.1108/ER-07-2014-0085</w:t>
        </w:r>
      </w:hyperlink>
      <w:r>
        <w:rPr>
          <w:i/>
          <w:iCs/>
        </w:rPr>
        <w:t xml:space="preserve"> </w:t>
      </w:r>
    </w:p>
    <w:p w14:paraId="7F3ADD36" w14:textId="77777777" w:rsidR="00FA23FD" w:rsidRDefault="00FA23FD" w:rsidP="00FA23FD">
      <w:pPr>
        <w:rPr>
          <w:i/>
          <w:iCs/>
        </w:rPr>
      </w:pPr>
      <w:r w:rsidRPr="00882FF2">
        <w:rPr>
          <w:i/>
          <w:iCs/>
        </w:rPr>
        <w:t>‌</w:t>
      </w:r>
      <w:r w:rsidRPr="00882FF2">
        <w:rPr>
          <w:rFonts w:ascii="Calibri" w:eastAsia="Times New Roman" w:hAnsi="Calibri" w:cs="Calibri"/>
          <w:color w:val="000000"/>
          <w:kern w:val="0"/>
          <w:sz w:val="27"/>
          <w:szCs w:val="27"/>
          <w:lang w:eastAsia="en-GB"/>
          <w14:ligatures w14:val="none"/>
        </w:rPr>
        <w:t xml:space="preserve"> </w:t>
      </w:r>
      <w:r w:rsidRPr="00882FF2">
        <w:rPr>
          <w:i/>
          <w:iCs/>
        </w:rPr>
        <w:t xml:space="preserve">EHRC (2021). Equal pay | EHRC. [online] www.equalityhumanrights.com. Available at: </w:t>
      </w:r>
      <w:hyperlink r:id="rId7" w:history="1">
        <w:r w:rsidRPr="005B05EC">
          <w:rPr>
            <w:rStyle w:val="Hyperlink"/>
            <w:i/>
            <w:iCs/>
          </w:rPr>
          <w:t>https://www.equalityhumanrights.com/guidance/equal-pay</w:t>
        </w:r>
      </w:hyperlink>
      <w:r w:rsidRPr="00882FF2">
        <w:rPr>
          <w:i/>
          <w:iCs/>
        </w:rPr>
        <w:t>.</w:t>
      </w:r>
      <w:r>
        <w:rPr>
          <w:i/>
          <w:iCs/>
        </w:rPr>
        <w:t xml:space="preserve"> [Accessed: 7</w:t>
      </w:r>
      <w:r w:rsidRPr="00882FF2">
        <w:rPr>
          <w:i/>
          <w:iCs/>
          <w:vertAlign w:val="superscript"/>
        </w:rPr>
        <w:t>th</w:t>
      </w:r>
      <w:r>
        <w:rPr>
          <w:i/>
          <w:iCs/>
        </w:rPr>
        <w:t xml:space="preserve"> March] </w:t>
      </w:r>
    </w:p>
    <w:p w14:paraId="1045634C" w14:textId="77777777" w:rsidR="00FA23FD" w:rsidRDefault="00FA23FD" w:rsidP="00FA23FD">
      <w:pPr>
        <w:rPr>
          <w:i/>
          <w:iCs/>
        </w:rPr>
      </w:pPr>
      <w:r w:rsidRPr="00882FF2">
        <w:rPr>
          <w:i/>
          <w:iCs/>
        </w:rPr>
        <w:t>‌</w:t>
      </w:r>
      <w:r w:rsidRPr="00FA7DC3">
        <w:rPr>
          <w:i/>
          <w:iCs/>
        </w:rPr>
        <w:t xml:space="preserve"> </w:t>
      </w:r>
      <w:r w:rsidRPr="007D541C">
        <w:rPr>
          <w:i/>
          <w:iCs/>
        </w:rPr>
        <w:t xml:space="preserve">Equality Act 2010. (2010). c. 15. London: The Stationery Office. Available at: </w:t>
      </w:r>
      <w:hyperlink r:id="rId8" w:history="1">
        <w:r w:rsidRPr="008144CD">
          <w:rPr>
            <w:rStyle w:val="Hyperlink"/>
            <w:i/>
            <w:iCs/>
          </w:rPr>
          <w:t>https://www.legislation.gov.uk/ukpga/2010/15/contents/enacted</w:t>
        </w:r>
      </w:hyperlink>
      <w:r>
        <w:rPr>
          <w:i/>
          <w:iCs/>
        </w:rPr>
        <w:t xml:space="preserve"> </w:t>
      </w:r>
      <w:r w:rsidRPr="007D541C">
        <w:rPr>
          <w:i/>
          <w:iCs/>
        </w:rPr>
        <w:t xml:space="preserve"> </w:t>
      </w:r>
      <w:r>
        <w:rPr>
          <w:i/>
          <w:iCs/>
        </w:rPr>
        <w:t>[</w:t>
      </w:r>
      <w:r w:rsidRPr="007D541C">
        <w:rPr>
          <w:i/>
          <w:iCs/>
        </w:rPr>
        <w:t xml:space="preserve">Accessed: </w:t>
      </w:r>
      <w:r>
        <w:rPr>
          <w:i/>
          <w:iCs/>
        </w:rPr>
        <w:t>8</w:t>
      </w:r>
      <w:proofErr w:type="gramStart"/>
      <w:r w:rsidRPr="00FA7DC3">
        <w:rPr>
          <w:i/>
          <w:iCs/>
          <w:vertAlign w:val="superscript"/>
        </w:rPr>
        <w:t>th</w:t>
      </w:r>
      <w:r>
        <w:rPr>
          <w:i/>
          <w:iCs/>
        </w:rPr>
        <w:t xml:space="preserve">  </w:t>
      </w:r>
      <w:r w:rsidRPr="007D541C">
        <w:rPr>
          <w:i/>
          <w:iCs/>
        </w:rPr>
        <w:t>March</w:t>
      </w:r>
      <w:proofErr w:type="gramEnd"/>
      <w:r w:rsidRPr="007D541C">
        <w:rPr>
          <w:i/>
          <w:iCs/>
        </w:rPr>
        <w:t xml:space="preserve"> 2025</w:t>
      </w:r>
      <w:r>
        <w:rPr>
          <w:i/>
          <w:iCs/>
        </w:rPr>
        <w:t>].</w:t>
      </w:r>
    </w:p>
    <w:p w14:paraId="50FF05B1" w14:textId="77777777" w:rsidR="00FA23FD" w:rsidRPr="00C21BEE" w:rsidRDefault="00FA23FD" w:rsidP="00FA23FD">
      <w:pPr>
        <w:rPr>
          <w:i/>
          <w:iCs/>
        </w:rPr>
      </w:pPr>
      <w:r w:rsidRPr="003801D5">
        <w:rPr>
          <w:i/>
          <w:iCs/>
        </w:rPr>
        <w:t>‌</w:t>
      </w:r>
      <w:r w:rsidRPr="00C21BEE">
        <w:rPr>
          <w:rFonts w:ascii="Times New Roman" w:eastAsia="Times New Roman" w:hAnsi="Times New Roman" w:cs="Times New Roman"/>
          <w:kern w:val="0"/>
          <w:sz w:val="24"/>
          <w:szCs w:val="24"/>
          <w:lang w:eastAsia="en-GB"/>
          <w14:ligatures w14:val="none"/>
        </w:rPr>
        <w:t xml:space="preserve"> </w:t>
      </w:r>
      <w:r w:rsidRPr="00C21BEE">
        <w:rPr>
          <w:i/>
          <w:iCs/>
        </w:rPr>
        <w:t>Khoja, S. (2004). HOLIDAY PAY FOR CASUAL STAFF. Caterer &amp; Hotelkeeper, 193(4336), 45-.</w:t>
      </w:r>
    </w:p>
    <w:p w14:paraId="628A4226" w14:textId="77777777" w:rsidR="00FA23FD" w:rsidRDefault="00FA23FD" w:rsidP="00FA23FD">
      <w:pPr>
        <w:rPr>
          <w:i/>
          <w:iCs/>
        </w:rPr>
      </w:pPr>
      <w:r w:rsidRPr="00E3392C">
        <w:rPr>
          <w:i/>
          <w:iCs/>
        </w:rPr>
        <w:t>‌</w:t>
      </w:r>
      <w:r w:rsidRPr="001D6807">
        <w:rPr>
          <w:rFonts w:ascii="Times New Roman" w:eastAsia="Times New Roman" w:hAnsi="Times New Roman" w:cs="Times New Roman"/>
          <w:kern w:val="0"/>
          <w:sz w:val="24"/>
          <w:szCs w:val="24"/>
          <w:lang w:eastAsia="en-GB"/>
          <w14:ligatures w14:val="none"/>
        </w:rPr>
        <w:t xml:space="preserve"> </w:t>
      </w:r>
      <w:r w:rsidRPr="001D6807">
        <w:rPr>
          <w:i/>
          <w:iCs/>
        </w:rPr>
        <w:t xml:space="preserve">O’Connor, N. (2021). ‘Unchartered’ waters: fundamental rights, Brexit and the (re)constitution of the employment law hierarchy of norms. European Labour Law Journal, 12(1), 52–82. </w:t>
      </w:r>
      <w:hyperlink r:id="rId9" w:history="1">
        <w:r w:rsidRPr="008144CD">
          <w:rPr>
            <w:rStyle w:val="Hyperlink"/>
            <w:i/>
            <w:iCs/>
          </w:rPr>
          <w:t>https://doi.org/10.1177/2031952520911063</w:t>
        </w:r>
      </w:hyperlink>
      <w:r>
        <w:rPr>
          <w:i/>
          <w:iCs/>
        </w:rPr>
        <w:t xml:space="preserve"> </w:t>
      </w:r>
    </w:p>
    <w:p w14:paraId="6D188664" w14:textId="77777777" w:rsidR="00FA23FD" w:rsidRPr="00041863" w:rsidRDefault="00FA23FD" w:rsidP="00FA23FD">
      <w:pPr>
        <w:rPr>
          <w:i/>
          <w:iCs/>
        </w:rPr>
      </w:pPr>
      <w:r w:rsidRPr="00753EDE">
        <w:rPr>
          <w:i/>
          <w:iCs/>
        </w:rPr>
        <w:t>‌</w:t>
      </w:r>
      <w:r w:rsidRPr="00041863">
        <w:rPr>
          <w:rFonts w:ascii="Times New Roman" w:eastAsia="Times New Roman" w:hAnsi="Times New Roman" w:cs="Times New Roman"/>
          <w:kern w:val="0"/>
          <w:sz w:val="24"/>
          <w:szCs w:val="24"/>
          <w:lang w:eastAsia="en-GB"/>
          <w14:ligatures w14:val="none"/>
        </w:rPr>
        <w:t xml:space="preserve"> </w:t>
      </w:r>
      <w:r w:rsidRPr="00041863">
        <w:rPr>
          <w:i/>
          <w:iCs/>
        </w:rPr>
        <w:t xml:space="preserve">Rupp, D. E., &amp; Vodanovich, S. J. (Eds.). (2022). Employment </w:t>
      </w:r>
      <w:proofErr w:type="gramStart"/>
      <w:r w:rsidRPr="00041863">
        <w:rPr>
          <w:i/>
          <w:iCs/>
        </w:rPr>
        <w:t>discrimination :</w:t>
      </w:r>
      <w:proofErr w:type="gramEnd"/>
      <w:r w:rsidRPr="00041863">
        <w:rPr>
          <w:i/>
          <w:iCs/>
        </w:rPr>
        <w:t xml:space="preserve"> a concise review of the legal landscape. Oxford University Press.</w:t>
      </w:r>
    </w:p>
    <w:p w14:paraId="60E89B51" w14:textId="77777777" w:rsidR="00FA23FD" w:rsidRPr="0074676F" w:rsidRDefault="00FA23FD" w:rsidP="00FA23FD">
      <w:pPr>
        <w:rPr>
          <w:i/>
          <w:iCs/>
        </w:rPr>
      </w:pPr>
      <w:r w:rsidRPr="0074676F">
        <w:rPr>
          <w:i/>
          <w:iCs/>
        </w:rPr>
        <w:t>‌</w:t>
      </w:r>
      <w:r w:rsidRPr="0074676F">
        <w:rPr>
          <w:rFonts w:ascii="Times New Roman" w:eastAsia="Times New Roman" w:hAnsi="Times New Roman" w:cs="Times New Roman"/>
          <w:kern w:val="0"/>
          <w:sz w:val="24"/>
          <w:szCs w:val="24"/>
          <w:lang w:eastAsia="en-GB"/>
          <w14:ligatures w14:val="none"/>
        </w:rPr>
        <w:t xml:space="preserve"> </w:t>
      </w:r>
      <w:r w:rsidRPr="0074676F">
        <w:rPr>
          <w:i/>
          <w:iCs/>
        </w:rPr>
        <w:t xml:space="preserve">Stroud, D., &amp; Fairbrother, P. (2012). The limits and prospects of union power: Addressing mass redundancy in the steel industry. Economic and Industrial Democracy, 33(4), 649–668. </w:t>
      </w:r>
      <w:hyperlink r:id="rId10" w:history="1">
        <w:r w:rsidRPr="00867BF9">
          <w:rPr>
            <w:rStyle w:val="Hyperlink"/>
            <w:i/>
            <w:iCs/>
          </w:rPr>
          <w:t>https://doi.org/10.1177/0143831X11425542</w:t>
        </w:r>
      </w:hyperlink>
      <w:r>
        <w:rPr>
          <w:i/>
          <w:iCs/>
        </w:rPr>
        <w:t xml:space="preserve"> </w:t>
      </w:r>
    </w:p>
    <w:p w14:paraId="569B6F55" w14:textId="77777777" w:rsidR="00FA23FD" w:rsidRDefault="00FA23FD" w:rsidP="00FA23FD">
      <w:pPr>
        <w:rPr>
          <w:i/>
          <w:iCs/>
        </w:rPr>
      </w:pPr>
      <w:r w:rsidRPr="00C21BEE">
        <w:rPr>
          <w:i/>
          <w:iCs/>
        </w:rPr>
        <w:t>‌</w:t>
      </w:r>
      <w:r w:rsidRPr="00F95B28">
        <w:rPr>
          <w:rFonts w:ascii="Times New Roman" w:eastAsia="Times New Roman" w:hAnsi="Times New Roman" w:cs="Times New Roman"/>
          <w:kern w:val="0"/>
          <w:sz w:val="24"/>
          <w:szCs w:val="24"/>
          <w:lang w:eastAsia="en-GB"/>
          <w14:ligatures w14:val="none"/>
        </w:rPr>
        <w:t xml:space="preserve"> </w:t>
      </w:r>
      <w:r w:rsidRPr="00F95B28">
        <w:rPr>
          <w:i/>
          <w:iCs/>
        </w:rPr>
        <w:t xml:space="preserve">Tarka, J. (2019). UK: Holiday Pay Becomes Costlier. </w:t>
      </w:r>
      <w:proofErr w:type="spellStart"/>
      <w:r w:rsidRPr="00F95B28">
        <w:rPr>
          <w:i/>
          <w:iCs/>
        </w:rPr>
        <w:t>HRNews</w:t>
      </w:r>
      <w:proofErr w:type="spellEnd"/>
      <w:r w:rsidRPr="00F95B28">
        <w:rPr>
          <w:i/>
          <w:iCs/>
        </w:rPr>
        <w:t>.</w:t>
      </w:r>
    </w:p>
    <w:p w14:paraId="240AE1DA" w14:textId="77777777" w:rsidR="00FA23FD" w:rsidRDefault="00FA23FD" w:rsidP="00FA23FD">
      <w:pPr>
        <w:rPr>
          <w:i/>
          <w:iCs/>
        </w:rPr>
      </w:pPr>
      <w:r w:rsidRPr="008659E7">
        <w:rPr>
          <w:i/>
          <w:iCs/>
        </w:rPr>
        <w:t xml:space="preserve">ACAS (2014). Transfer of undertakings (TUPE) | </w:t>
      </w:r>
      <w:r>
        <w:rPr>
          <w:i/>
          <w:iCs/>
        </w:rPr>
        <w:t>ACAS</w:t>
      </w:r>
      <w:r w:rsidRPr="008659E7">
        <w:rPr>
          <w:i/>
          <w:iCs/>
        </w:rPr>
        <w:t xml:space="preserve"> advice and guidance | </w:t>
      </w:r>
      <w:r>
        <w:rPr>
          <w:i/>
          <w:iCs/>
        </w:rPr>
        <w:t>ACAS</w:t>
      </w:r>
      <w:r w:rsidRPr="008659E7">
        <w:rPr>
          <w:i/>
          <w:iCs/>
        </w:rPr>
        <w:t xml:space="preserve">. Acas.org.uk. [online] </w:t>
      </w:r>
      <w:proofErr w:type="spellStart"/>
      <w:r w:rsidRPr="008659E7">
        <w:rPr>
          <w:i/>
          <w:iCs/>
        </w:rPr>
        <w:t>doi</w:t>
      </w:r>
      <w:proofErr w:type="spellEnd"/>
      <w:r w:rsidRPr="008659E7">
        <w:rPr>
          <w:i/>
          <w:iCs/>
        </w:rPr>
        <w:t>:</w:t>
      </w:r>
      <w:r>
        <w:rPr>
          <w:i/>
          <w:iCs/>
        </w:rPr>
        <w:t xml:space="preserve"> </w:t>
      </w:r>
      <w:hyperlink r:id="rId11" w:history="1">
        <w:r w:rsidRPr="008659E7">
          <w:rPr>
            <w:rStyle w:val="Hyperlink"/>
            <w:i/>
            <w:iCs/>
          </w:rPr>
          <w:t>https://www.acas.org.uk/index.aspx?articleid=1655</w:t>
        </w:r>
      </w:hyperlink>
      <w:r w:rsidRPr="008659E7">
        <w:rPr>
          <w:i/>
          <w:iCs/>
        </w:rPr>
        <w:t>.</w:t>
      </w:r>
      <w:r>
        <w:rPr>
          <w:i/>
          <w:iCs/>
        </w:rPr>
        <w:t xml:space="preserve"> </w:t>
      </w:r>
    </w:p>
    <w:p w14:paraId="50873718" w14:textId="77777777" w:rsidR="00FA23FD" w:rsidRDefault="00FA23FD" w:rsidP="00FA23FD">
      <w:pPr>
        <w:rPr>
          <w:i/>
          <w:iCs/>
        </w:rPr>
      </w:pPr>
      <w:r>
        <w:rPr>
          <w:i/>
          <w:iCs/>
        </w:rPr>
        <w:t>ACAS</w:t>
      </w:r>
      <w:r w:rsidRPr="003217A6">
        <w:rPr>
          <w:i/>
          <w:iCs/>
        </w:rPr>
        <w:t xml:space="preserve"> (2022). Check if you need to hold collective consultation: Collective consultation for redundancy - </w:t>
      </w:r>
      <w:r>
        <w:rPr>
          <w:i/>
          <w:iCs/>
        </w:rPr>
        <w:t>ACAS</w:t>
      </w:r>
      <w:r w:rsidRPr="003217A6">
        <w:rPr>
          <w:i/>
          <w:iCs/>
        </w:rPr>
        <w:t xml:space="preserve">. [online] www.acas.org.uk. Available at: </w:t>
      </w:r>
      <w:hyperlink r:id="rId12" w:history="1">
        <w:r w:rsidRPr="003217A6">
          <w:rPr>
            <w:rStyle w:val="Hyperlink"/>
            <w:i/>
            <w:iCs/>
          </w:rPr>
          <w:t>https://www.acas.org.uk/collective-consultation-redundancy</w:t>
        </w:r>
      </w:hyperlink>
      <w:r w:rsidRPr="003217A6">
        <w:rPr>
          <w:i/>
          <w:iCs/>
        </w:rPr>
        <w:t>.</w:t>
      </w:r>
      <w:r>
        <w:rPr>
          <w:i/>
          <w:iCs/>
        </w:rPr>
        <w:t xml:space="preserve"> [Accessed: 01</w:t>
      </w:r>
      <w:r w:rsidRPr="003217A6">
        <w:rPr>
          <w:i/>
          <w:iCs/>
          <w:vertAlign w:val="superscript"/>
        </w:rPr>
        <w:t>st</w:t>
      </w:r>
      <w:r>
        <w:rPr>
          <w:i/>
          <w:iCs/>
        </w:rPr>
        <w:t xml:space="preserve"> March 2025] </w:t>
      </w:r>
    </w:p>
    <w:p w14:paraId="6E5977D2" w14:textId="77777777" w:rsidR="00FA23FD" w:rsidRDefault="00FA23FD" w:rsidP="00FA23FD">
      <w:pPr>
        <w:rPr>
          <w:i/>
          <w:iCs/>
        </w:rPr>
      </w:pPr>
      <w:r w:rsidRPr="00C768BD">
        <w:rPr>
          <w:i/>
          <w:iCs/>
        </w:rPr>
        <w:t xml:space="preserve">‌ACAS (2023). 7 out of 10 employees are unaware of new day one right to request flexible working. [online] </w:t>
      </w:r>
      <w:r>
        <w:rPr>
          <w:i/>
          <w:iCs/>
        </w:rPr>
        <w:t>ACAS</w:t>
      </w:r>
      <w:r w:rsidRPr="00C768BD">
        <w:rPr>
          <w:i/>
          <w:iCs/>
        </w:rPr>
        <w:t xml:space="preserve">. Available at: </w:t>
      </w:r>
      <w:hyperlink r:id="rId13" w:history="1">
        <w:r w:rsidRPr="00205052">
          <w:rPr>
            <w:rStyle w:val="Hyperlink"/>
            <w:i/>
            <w:iCs/>
          </w:rPr>
          <w:t>https://www.acas.org.uk/7-out-of-10-employees-are-unaware-of-new-day-one-right-to-request-flexible-working</w:t>
        </w:r>
      </w:hyperlink>
      <w:r w:rsidRPr="00C768BD">
        <w:rPr>
          <w:i/>
          <w:iCs/>
        </w:rPr>
        <w:t>.</w:t>
      </w:r>
      <w:r>
        <w:rPr>
          <w:i/>
          <w:iCs/>
        </w:rPr>
        <w:t xml:space="preserve"> [Accessed: 14</w:t>
      </w:r>
      <w:r w:rsidRPr="00727143">
        <w:rPr>
          <w:i/>
          <w:iCs/>
          <w:vertAlign w:val="superscript"/>
        </w:rPr>
        <w:t>th</w:t>
      </w:r>
      <w:r>
        <w:rPr>
          <w:i/>
          <w:iCs/>
        </w:rPr>
        <w:t xml:space="preserve"> March 2025]</w:t>
      </w:r>
    </w:p>
    <w:p w14:paraId="7956A6E6" w14:textId="77777777" w:rsidR="00FA23FD" w:rsidRDefault="00FA23FD" w:rsidP="00FA23FD">
      <w:pPr>
        <w:rPr>
          <w:i/>
          <w:iCs/>
        </w:rPr>
      </w:pPr>
      <w:r w:rsidRPr="00C21BEE">
        <w:rPr>
          <w:i/>
          <w:iCs/>
        </w:rPr>
        <w:t xml:space="preserve">ACAS (2023). Calculating holiday pay | </w:t>
      </w:r>
      <w:r>
        <w:rPr>
          <w:i/>
          <w:iCs/>
        </w:rPr>
        <w:t>ACAS</w:t>
      </w:r>
      <w:r w:rsidRPr="00C21BEE">
        <w:rPr>
          <w:i/>
          <w:iCs/>
        </w:rPr>
        <w:t xml:space="preserve">. [online] www.acas.org.uk. Available at: </w:t>
      </w:r>
      <w:hyperlink r:id="rId14" w:history="1">
        <w:r w:rsidRPr="00C21BEE">
          <w:rPr>
            <w:rStyle w:val="Hyperlink"/>
            <w:i/>
            <w:iCs/>
          </w:rPr>
          <w:t>https://www.acas.org.uk/checking-holiday-entitlement/calculating-holiday-pay</w:t>
        </w:r>
      </w:hyperlink>
      <w:r w:rsidRPr="00C21BEE">
        <w:rPr>
          <w:i/>
          <w:iCs/>
        </w:rPr>
        <w:t>.</w:t>
      </w:r>
      <w:r>
        <w:rPr>
          <w:i/>
          <w:iCs/>
        </w:rPr>
        <w:t xml:space="preserve"> [Accessed: 7</w:t>
      </w:r>
      <w:r w:rsidRPr="00C21BEE">
        <w:rPr>
          <w:i/>
          <w:iCs/>
          <w:vertAlign w:val="superscript"/>
        </w:rPr>
        <w:t>th</w:t>
      </w:r>
      <w:r>
        <w:rPr>
          <w:i/>
          <w:iCs/>
        </w:rPr>
        <w:t xml:space="preserve"> March 2025]. </w:t>
      </w:r>
    </w:p>
    <w:p w14:paraId="0C4DD040" w14:textId="77777777" w:rsidR="00FA23FD" w:rsidRDefault="00FA23FD" w:rsidP="00FA23FD">
      <w:pPr>
        <w:rPr>
          <w:i/>
          <w:iCs/>
        </w:rPr>
      </w:pPr>
      <w:r w:rsidRPr="006E3106">
        <w:rPr>
          <w:i/>
          <w:iCs/>
        </w:rPr>
        <w:t xml:space="preserve">ACAS (2023). Working out maternity pay | </w:t>
      </w:r>
      <w:r>
        <w:rPr>
          <w:i/>
          <w:iCs/>
        </w:rPr>
        <w:t>ACAS</w:t>
      </w:r>
      <w:r w:rsidRPr="006E3106">
        <w:rPr>
          <w:i/>
          <w:iCs/>
        </w:rPr>
        <w:t xml:space="preserve">. [online] www.acas.org.uk. Available at: </w:t>
      </w:r>
      <w:hyperlink r:id="rId15" w:history="1">
        <w:r w:rsidRPr="006E3106">
          <w:rPr>
            <w:rStyle w:val="Hyperlink"/>
            <w:i/>
            <w:iCs/>
          </w:rPr>
          <w:t>https://www.acas.org.uk/your-maternity-leave-pay-and-other-rights/working-out-maternity-pay</w:t>
        </w:r>
      </w:hyperlink>
      <w:r w:rsidRPr="006E3106">
        <w:rPr>
          <w:i/>
          <w:iCs/>
        </w:rPr>
        <w:t>.</w:t>
      </w:r>
      <w:r>
        <w:rPr>
          <w:i/>
          <w:iCs/>
        </w:rPr>
        <w:t xml:space="preserve"> [Accessed: 10</w:t>
      </w:r>
      <w:r w:rsidRPr="006E3106">
        <w:rPr>
          <w:i/>
          <w:iCs/>
          <w:vertAlign w:val="superscript"/>
        </w:rPr>
        <w:t>th</w:t>
      </w:r>
      <w:r>
        <w:rPr>
          <w:i/>
          <w:iCs/>
        </w:rPr>
        <w:t xml:space="preserve"> March 2025]</w:t>
      </w:r>
    </w:p>
    <w:p w14:paraId="203AE31F" w14:textId="77777777" w:rsidR="00FA23FD" w:rsidRDefault="00FA23FD" w:rsidP="00FA23FD">
      <w:pPr>
        <w:rPr>
          <w:i/>
          <w:iCs/>
        </w:rPr>
      </w:pPr>
      <w:r w:rsidRPr="005614C7">
        <w:rPr>
          <w:i/>
          <w:iCs/>
        </w:rPr>
        <w:t xml:space="preserve">ACAS (2024). What flexible working is - Statutory flexible working requests. [online] </w:t>
      </w:r>
      <w:r>
        <w:rPr>
          <w:i/>
          <w:iCs/>
        </w:rPr>
        <w:t>ACAS</w:t>
      </w:r>
      <w:r w:rsidRPr="005614C7">
        <w:rPr>
          <w:i/>
          <w:iCs/>
        </w:rPr>
        <w:t xml:space="preserve">. Available at: </w:t>
      </w:r>
      <w:hyperlink r:id="rId16" w:history="1">
        <w:r w:rsidRPr="00205052">
          <w:rPr>
            <w:rStyle w:val="Hyperlink"/>
            <w:i/>
            <w:iCs/>
          </w:rPr>
          <w:t>https://www.acas.org.uk/statutory-flexible-working-requests</w:t>
        </w:r>
      </w:hyperlink>
      <w:r w:rsidRPr="005614C7">
        <w:rPr>
          <w:i/>
          <w:iCs/>
        </w:rPr>
        <w:t>.</w:t>
      </w:r>
      <w:r>
        <w:rPr>
          <w:i/>
          <w:iCs/>
        </w:rPr>
        <w:t xml:space="preserve"> [Accessed:13</w:t>
      </w:r>
      <w:r w:rsidRPr="00727143">
        <w:rPr>
          <w:i/>
          <w:iCs/>
          <w:vertAlign w:val="superscript"/>
        </w:rPr>
        <w:t>th</w:t>
      </w:r>
      <w:r>
        <w:rPr>
          <w:i/>
          <w:iCs/>
        </w:rPr>
        <w:t xml:space="preserve"> March 2025]</w:t>
      </w:r>
    </w:p>
    <w:p w14:paraId="0E27D4C3" w14:textId="77777777" w:rsidR="00FA23FD" w:rsidRPr="00C768BD" w:rsidRDefault="00FA23FD" w:rsidP="00FA23FD">
      <w:pPr>
        <w:rPr>
          <w:i/>
          <w:iCs/>
        </w:rPr>
      </w:pPr>
      <w:r w:rsidRPr="00D73E9C">
        <w:rPr>
          <w:i/>
          <w:iCs/>
        </w:rPr>
        <w:lastRenderedPageBreak/>
        <w:t xml:space="preserve">ACAS (2024). Code of Practice on Handling in a Reasonable Manner Requests to Work Flexibly | </w:t>
      </w:r>
      <w:proofErr w:type="spellStart"/>
      <w:r w:rsidRPr="00D73E9C">
        <w:rPr>
          <w:i/>
          <w:iCs/>
        </w:rPr>
        <w:t>Acas</w:t>
      </w:r>
      <w:proofErr w:type="spellEnd"/>
      <w:r w:rsidRPr="00D73E9C">
        <w:rPr>
          <w:i/>
          <w:iCs/>
        </w:rPr>
        <w:t xml:space="preserve">. [online] ACAS. Available at: </w:t>
      </w:r>
      <w:hyperlink r:id="rId17" w:history="1">
        <w:r w:rsidRPr="00D73E9C">
          <w:rPr>
            <w:rStyle w:val="Hyperlink"/>
            <w:i/>
            <w:iCs/>
          </w:rPr>
          <w:t>https://www.acas.org.uk/acas-code-of-practice-on-flexible-working-requests/html</w:t>
        </w:r>
      </w:hyperlink>
      <w:r w:rsidRPr="00D73E9C">
        <w:rPr>
          <w:i/>
          <w:iCs/>
        </w:rPr>
        <w:t>.</w:t>
      </w:r>
      <w:r>
        <w:rPr>
          <w:i/>
          <w:iCs/>
        </w:rPr>
        <w:t xml:space="preserve"> [Accesed:13</w:t>
      </w:r>
      <w:r w:rsidRPr="00727143">
        <w:rPr>
          <w:i/>
          <w:iCs/>
          <w:vertAlign w:val="superscript"/>
        </w:rPr>
        <w:t>th</w:t>
      </w:r>
      <w:r>
        <w:rPr>
          <w:i/>
          <w:iCs/>
        </w:rPr>
        <w:t xml:space="preserve"> March 2025]</w:t>
      </w:r>
    </w:p>
    <w:p w14:paraId="2919EEAB" w14:textId="77777777" w:rsidR="00FA23FD" w:rsidRDefault="00FA23FD" w:rsidP="00FA23FD">
      <w:pPr>
        <w:rPr>
          <w:i/>
          <w:iCs/>
        </w:rPr>
      </w:pPr>
      <w:proofErr w:type="spellStart"/>
      <w:r w:rsidRPr="006B4649">
        <w:rPr>
          <w:i/>
          <w:iCs/>
        </w:rPr>
        <w:t>Acas</w:t>
      </w:r>
      <w:proofErr w:type="spellEnd"/>
      <w:r w:rsidRPr="006B4649">
        <w:rPr>
          <w:i/>
          <w:iCs/>
        </w:rPr>
        <w:t xml:space="preserve"> (2024). Constructive dismissal. [online] www.acas.org.uk. Available at: </w:t>
      </w:r>
      <w:hyperlink r:id="rId18" w:history="1">
        <w:r w:rsidRPr="006B4649">
          <w:rPr>
            <w:rStyle w:val="Hyperlink"/>
            <w:i/>
            <w:iCs/>
          </w:rPr>
          <w:t>https://www.acas.org.uk/dismissals/constructive-dismissal</w:t>
        </w:r>
      </w:hyperlink>
      <w:r w:rsidRPr="006B4649">
        <w:rPr>
          <w:i/>
          <w:iCs/>
        </w:rPr>
        <w:t>.</w:t>
      </w:r>
      <w:r>
        <w:rPr>
          <w:i/>
          <w:iCs/>
        </w:rPr>
        <w:t xml:space="preserve"> [Accessed: 9</w:t>
      </w:r>
      <w:r w:rsidRPr="00117EAF">
        <w:rPr>
          <w:i/>
          <w:iCs/>
          <w:vertAlign w:val="superscript"/>
        </w:rPr>
        <w:t>th</w:t>
      </w:r>
      <w:r>
        <w:rPr>
          <w:i/>
          <w:iCs/>
        </w:rPr>
        <w:t xml:space="preserve"> March 2025]</w:t>
      </w:r>
    </w:p>
    <w:p w14:paraId="62E5E7F1" w14:textId="77777777" w:rsidR="00FA23FD" w:rsidRPr="00882FF2" w:rsidRDefault="00FA23FD" w:rsidP="00FA23FD">
      <w:pPr>
        <w:rPr>
          <w:i/>
          <w:iCs/>
        </w:rPr>
      </w:pPr>
      <w:r w:rsidRPr="00882FF2">
        <w:rPr>
          <w:i/>
          <w:iCs/>
        </w:rPr>
        <w:t xml:space="preserve">ACAS (2024). Equal Pay and the Law. [online] ACAS. Available at: </w:t>
      </w:r>
      <w:hyperlink r:id="rId19" w:history="1">
        <w:r w:rsidRPr="00882FF2">
          <w:rPr>
            <w:rStyle w:val="Hyperlink"/>
            <w:i/>
            <w:iCs/>
          </w:rPr>
          <w:t>https://www.acas.org.uk/equal-pay/equal-pay-law</w:t>
        </w:r>
      </w:hyperlink>
      <w:r w:rsidRPr="00882FF2">
        <w:rPr>
          <w:i/>
          <w:iCs/>
        </w:rPr>
        <w:t>.</w:t>
      </w:r>
      <w:r>
        <w:rPr>
          <w:i/>
          <w:iCs/>
        </w:rPr>
        <w:t xml:space="preserve"> [Accessed: 07</w:t>
      </w:r>
      <w:r w:rsidRPr="00882FF2">
        <w:rPr>
          <w:i/>
          <w:iCs/>
          <w:vertAlign w:val="superscript"/>
        </w:rPr>
        <w:t>th</w:t>
      </w:r>
      <w:r>
        <w:rPr>
          <w:i/>
          <w:iCs/>
        </w:rPr>
        <w:t xml:space="preserve"> March 2025] </w:t>
      </w:r>
    </w:p>
    <w:p w14:paraId="28FFEFE1" w14:textId="77777777" w:rsidR="00FA23FD" w:rsidRDefault="00FA23FD" w:rsidP="00FA23FD">
      <w:pPr>
        <w:rPr>
          <w:i/>
          <w:iCs/>
        </w:rPr>
      </w:pPr>
      <w:r w:rsidRPr="003801D5">
        <w:rPr>
          <w:i/>
          <w:iCs/>
        </w:rPr>
        <w:t xml:space="preserve">ACAS (2024). What a TUPE Transfer Is - TUPE - </w:t>
      </w:r>
      <w:proofErr w:type="spellStart"/>
      <w:r w:rsidRPr="003801D5">
        <w:rPr>
          <w:i/>
          <w:iCs/>
        </w:rPr>
        <w:t>Acas</w:t>
      </w:r>
      <w:proofErr w:type="spellEnd"/>
      <w:r w:rsidRPr="003801D5">
        <w:rPr>
          <w:i/>
          <w:iCs/>
        </w:rPr>
        <w:t xml:space="preserve">. [online] </w:t>
      </w:r>
      <w:proofErr w:type="spellStart"/>
      <w:r w:rsidRPr="003801D5">
        <w:rPr>
          <w:i/>
          <w:iCs/>
        </w:rPr>
        <w:t>Acas</w:t>
      </w:r>
      <w:proofErr w:type="spellEnd"/>
      <w:r w:rsidRPr="003801D5">
        <w:rPr>
          <w:i/>
          <w:iCs/>
        </w:rPr>
        <w:t xml:space="preserve">. Available at: </w:t>
      </w:r>
      <w:hyperlink r:id="rId20" w:history="1">
        <w:r w:rsidRPr="003801D5">
          <w:rPr>
            <w:rStyle w:val="Hyperlink"/>
            <w:i/>
            <w:iCs/>
          </w:rPr>
          <w:t>https://www.acas.org.uk/tupe/advice-for-employers-and-employees</w:t>
        </w:r>
      </w:hyperlink>
      <w:r w:rsidRPr="003801D5">
        <w:rPr>
          <w:i/>
          <w:iCs/>
        </w:rPr>
        <w:t>.</w:t>
      </w:r>
      <w:r>
        <w:rPr>
          <w:i/>
          <w:iCs/>
        </w:rPr>
        <w:t xml:space="preserve"> [Accessed: 7</w:t>
      </w:r>
      <w:r w:rsidRPr="003801D5">
        <w:rPr>
          <w:i/>
          <w:iCs/>
          <w:vertAlign w:val="superscript"/>
        </w:rPr>
        <w:t>th</w:t>
      </w:r>
      <w:r>
        <w:rPr>
          <w:i/>
          <w:iCs/>
        </w:rPr>
        <w:t xml:space="preserve"> March 2025]</w:t>
      </w:r>
    </w:p>
    <w:p w14:paraId="7DA250B8" w14:textId="77777777" w:rsidR="00FA23FD" w:rsidRDefault="00FA23FD" w:rsidP="00FA23FD">
      <w:pPr>
        <w:rPr>
          <w:i/>
          <w:iCs/>
        </w:rPr>
      </w:pPr>
      <w:r w:rsidRPr="00753EDE">
        <w:rPr>
          <w:i/>
          <w:iCs/>
        </w:rPr>
        <w:t xml:space="preserve">ACAS (2025). Discrimination and the Law. [online] ACAS. Available at: </w:t>
      </w:r>
      <w:hyperlink r:id="rId21" w:history="1">
        <w:r w:rsidRPr="00753EDE">
          <w:rPr>
            <w:rStyle w:val="Hyperlink"/>
            <w:i/>
            <w:iCs/>
          </w:rPr>
          <w:t>https://www.acas.org.uk/discrimination-and-the-law</w:t>
        </w:r>
      </w:hyperlink>
      <w:r w:rsidRPr="00753EDE">
        <w:rPr>
          <w:i/>
          <w:iCs/>
        </w:rPr>
        <w:t>.</w:t>
      </w:r>
      <w:r>
        <w:rPr>
          <w:i/>
          <w:iCs/>
        </w:rPr>
        <w:t xml:space="preserve"> [Accessed on 29</w:t>
      </w:r>
      <w:r w:rsidRPr="00753EDE">
        <w:rPr>
          <w:i/>
          <w:iCs/>
          <w:vertAlign w:val="superscript"/>
        </w:rPr>
        <w:t>th</w:t>
      </w:r>
      <w:r>
        <w:rPr>
          <w:i/>
          <w:iCs/>
        </w:rPr>
        <w:t xml:space="preserve"> February 2025]</w:t>
      </w:r>
    </w:p>
    <w:p w14:paraId="56FF95B5" w14:textId="77777777" w:rsidR="00FA23FD" w:rsidRDefault="00FA23FD" w:rsidP="00FA23FD">
      <w:pPr>
        <w:rPr>
          <w:i/>
          <w:iCs/>
        </w:rPr>
      </w:pPr>
      <w:proofErr w:type="spellStart"/>
      <w:r w:rsidRPr="00DE1A2E">
        <w:rPr>
          <w:i/>
          <w:iCs/>
        </w:rPr>
        <w:t>Acas</w:t>
      </w:r>
      <w:proofErr w:type="spellEnd"/>
      <w:r w:rsidRPr="00DE1A2E">
        <w:rPr>
          <w:i/>
          <w:iCs/>
        </w:rPr>
        <w:t>. (</w:t>
      </w:r>
      <w:r>
        <w:rPr>
          <w:i/>
          <w:iCs/>
        </w:rPr>
        <w:t>2025</w:t>
      </w:r>
      <w:r w:rsidRPr="00DE1A2E">
        <w:rPr>
          <w:i/>
          <w:iCs/>
        </w:rPr>
        <w:t xml:space="preserve">). Pay during the notice </w:t>
      </w:r>
      <w:proofErr w:type="gramStart"/>
      <w:r w:rsidRPr="00DE1A2E">
        <w:rPr>
          <w:i/>
          <w:iCs/>
        </w:rPr>
        <w:t>period :</w:t>
      </w:r>
      <w:proofErr w:type="gramEnd"/>
      <w:r w:rsidRPr="00DE1A2E">
        <w:rPr>
          <w:i/>
          <w:iCs/>
        </w:rPr>
        <w:t xml:space="preserve"> Final pay when someone leaves a job. [online] Available at: </w:t>
      </w:r>
      <w:hyperlink r:id="rId22" w:history="1">
        <w:r w:rsidRPr="00DE1A2E">
          <w:rPr>
            <w:rStyle w:val="Hyperlink"/>
            <w:i/>
            <w:iCs/>
          </w:rPr>
          <w:t>https://www.acas.org.uk/final-pay-when-someone-leaves-a-job/pay-during-the-notice-period</w:t>
        </w:r>
      </w:hyperlink>
      <w:r w:rsidRPr="00DE1A2E">
        <w:rPr>
          <w:i/>
          <w:iCs/>
        </w:rPr>
        <w:t>.</w:t>
      </w:r>
      <w:r>
        <w:rPr>
          <w:i/>
          <w:iCs/>
        </w:rPr>
        <w:t xml:space="preserve"> [Accessed: 08</w:t>
      </w:r>
      <w:r w:rsidRPr="00DE1A2E">
        <w:rPr>
          <w:i/>
          <w:iCs/>
          <w:vertAlign w:val="superscript"/>
        </w:rPr>
        <w:t>th</w:t>
      </w:r>
      <w:r>
        <w:rPr>
          <w:i/>
          <w:iCs/>
        </w:rPr>
        <w:t xml:space="preserve"> March 2025] </w:t>
      </w:r>
    </w:p>
    <w:p w14:paraId="261F2C21" w14:textId="77777777" w:rsidR="00FA23FD" w:rsidRDefault="00FA23FD" w:rsidP="00FA23FD">
      <w:pPr>
        <w:rPr>
          <w:i/>
          <w:iCs/>
        </w:rPr>
      </w:pPr>
      <w:r w:rsidRPr="006561DC">
        <w:rPr>
          <w:i/>
          <w:iCs/>
        </w:rPr>
        <w:t xml:space="preserve">Andrew Wales (2019). TUPE - an overview. [online] YouTube. Available at: </w:t>
      </w:r>
      <w:hyperlink r:id="rId23" w:history="1">
        <w:r w:rsidRPr="006561DC">
          <w:rPr>
            <w:rStyle w:val="Hyperlink"/>
            <w:i/>
            <w:iCs/>
          </w:rPr>
          <w:t>https://www.youtube.com/watch?v=x5yMEG_01R8</w:t>
        </w:r>
      </w:hyperlink>
      <w:r>
        <w:rPr>
          <w:i/>
          <w:iCs/>
        </w:rPr>
        <w:t xml:space="preserve"> </w:t>
      </w:r>
      <w:r w:rsidRPr="006561DC">
        <w:rPr>
          <w:i/>
          <w:iCs/>
        </w:rPr>
        <w:t xml:space="preserve"> [Accessed 9 Mar. 2025].</w:t>
      </w:r>
    </w:p>
    <w:p w14:paraId="14ECACA2" w14:textId="77777777" w:rsidR="00FA23FD" w:rsidRPr="00BE5F28" w:rsidRDefault="00FA23FD" w:rsidP="00FA23FD">
      <w:pPr>
        <w:rPr>
          <w:i/>
          <w:iCs/>
        </w:rPr>
      </w:pPr>
      <w:r w:rsidRPr="00DA4DEF">
        <w:rPr>
          <w:i/>
          <w:iCs/>
        </w:rPr>
        <w:t>Asda Stores Ltd v Brierley &amp; Ors [2021] UKSC 10</w:t>
      </w:r>
      <w:r w:rsidRPr="00BE5F28">
        <w:rPr>
          <w:i/>
          <w:iCs/>
        </w:rPr>
        <w:t xml:space="preserve"> Available at: Employment Cases Update. (n.d.). Employment Cases Update: Asda Stores Ltd v Brierley &amp; Ors [2021] UKSC 10. [online] Available at: </w:t>
      </w:r>
      <w:hyperlink r:id="rId24" w:history="1">
        <w:r w:rsidRPr="00BE5F28">
          <w:rPr>
            <w:rStyle w:val="Hyperlink"/>
            <w:i/>
            <w:iCs/>
          </w:rPr>
          <w:t>https://employmentcasesupdate.co.uk/content/asda-stores-ltd-v-brierley-ors-2021-uksc-10.1fc99372b9fe479ebf392fbe139a4351.htm</w:t>
        </w:r>
      </w:hyperlink>
      <w:r w:rsidRPr="00BE5F28">
        <w:rPr>
          <w:i/>
          <w:iCs/>
        </w:rPr>
        <w:t xml:space="preserve">. </w:t>
      </w:r>
      <w:r>
        <w:rPr>
          <w:i/>
          <w:iCs/>
        </w:rPr>
        <w:t>[Accessed 25</w:t>
      </w:r>
      <w:r w:rsidRPr="00E3392C">
        <w:rPr>
          <w:i/>
          <w:iCs/>
          <w:vertAlign w:val="superscript"/>
        </w:rPr>
        <w:t>th</w:t>
      </w:r>
      <w:r>
        <w:rPr>
          <w:i/>
          <w:iCs/>
        </w:rPr>
        <w:t xml:space="preserve"> February 2025]</w:t>
      </w:r>
    </w:p>
    <w:p w14:paraId="56A770A2" w14:textId="77777777" w:rsidR="00FA23FD" w:rsidRPr="00C21BEE" w:rsidRDefault="00FA23FD" w:rsidP="00FA23FD">
      <w:pPr>
        <w:rPr>
          <w:i/>
          <w:iCs/>
        </w:rPr>
      </w:pPr>
      <w:r w:rsidRPr="00C21BEE">
        <w:rPr>
          <w:i/>
          <w:iCs/>
        </w:rPr>
        <w:t>Basic rights at work for casual employees. (2018). In Commercial Motor (Vol. 229, Number 5777, pp. 26–26). DVV Media International Ltd.</w:t>
      </w:r>
    </w:p>
    <w:p w14:paraId="7098D003" w14:textId="77777777" w:rsidR="00FA23FD" w:rsidRPr="008E38BA" w:rsidRDefault="00FA23FD" w:rsidP="00FA23FD">
      <w:pPr>
        <w:rPr>
          <w:i/>
          <w:iCs/>
        </w:rPr>
      </w:pPr>
      <w:r w:rsidRPr="008E38BA">
        <w:rPr>
          <w:i/>
          <w:iCs/>
        </w:rPr>
        <w:t>Birkinshaw, C. (2017). Maternity matters. Employers’ Law, 20-.</w:t>
      </w:r>
    </w:p>
    <w:p w14:paraId="31710923" w14:textId="77777777" w:rsidR="00FA23FD" w:rsidRPr="00FF61C7" w:rsidRDefault="00FA23FD" w:rsidP="00FA23FD">
      <w:pPr>
        <w:rPr>
          <w:i/>
          <w:iCs/>
        </w:rPr>
      </w:pPr>
      <w:r w:rsidRPr="00FF61C7">
        <w:rPr>
          <w:i/>
          <w:iCs/>
        </w:rPr>
        <w:t xml:space="preserve">Blackwell, A. (2018). UK: How Should Collective Redundancy Consultation Be Done? </w:t>
      </w:r>
      <w:proofErr w:type="spellStart"/>
      <w:r w:rsidRPr="00FF61C7">
        <w:rPr>
          <w:i/>
          <w:iCs/>
        </w:rPr>
        <w:t>HRNews</w:t>
      </w:r>
      <w:proofErr w:type="spellEnd"/>
    </w:p>
    <w:p w14:paraId="58785BE7" w14:textId="77777777" w:rsidR="00FA23FD" w:rsidRDefault="00FA23FD" w:rsidP="00FA23FD">
      <w:pPr>
        <w:rPr>
          <w:i/>
          <w:iCs/>
        </w:rPr>
      </w:pPr>
      <w:proofErr w:type="spellStart"/>
      <w:r w:rsidRPr="008E2F2D">
        <w:rPr>
          <w:i/>
          <w:iCs/>
        </w:rPr>
        <w:t>Brandth</w:t>
      </w:r>
      <w:proofErr w:type="spellEnd"/>
      <w:r w:rsidRPr="008E2F2D">
        <w:rPr>
          <w:i/>
          <w:iCs/>
        </w:rPr>
        <w:t xml:space="preserve">, B., &amp; Kvande, E. (2019). Fathers’ sense of entitlement to ear-marked and shared parental leave. The Sociological Review (Keele), 67(5), 1154–1169. </w:t>
      </w:r>
      <w:hyperlink r:id="rId25" w:history="1">
        <w:r w:rsidRPr="00F73FCD">
          <w:rPr>
            <w:rStyle w:val="Hyperlink"/>
            <w:i/>
            <w:iCs/>
          </w:rPr>
          <w:t>https://doi.org/10.1177/0038026118809002</w:t>
        </w:r>
      </w:hyperlink>
      <w:r>
        <w:rPr>
          <w:i/>
          <w:iCs/>
        </w:rPr>
        <w:t xml:space="preserve"> </w:t>
      </w:r>
    </w:p>
    <w:p w14:paraId="1C6AA51B" w14:textId="77777777" w:rsidR="00FA23FD" w:rsidRDefault="00FA23FD" w:rsidP="00FA23FD">
      <w:pPr>
        <w:rPr>
          <w:i/>
          <w:iCs/>
        </w:rPr>
      </w:pPr>
      <w:r w:rsidRPr="009046BC">
        <w:rPr>
          <w:i/>
          <w:iCs/>
        </w:rPr>
        <w:t>British Airways plc v. Williams [2012] UKSC 43</w:t>
      </w:r>
      <w:r>
        <w:rPr>
          <w:i/>
          <w:iCs/>
        </w:rPr>
        <w:t xml:space="preserve">. </w:t>
      </w:r>
      <w:r w:rsidRPr="009046BC">
        <w:rPr>
          <w:i/>
          <w:iCs/>
        </w:rPr>
        <w:t xml:space="preserve">Available at: </w:t>
      </w:r>
      <w:hyperlink r:id="rId26" w:history="1">
        <w:r w:rsidRPr="005B05EC">
          <w:rPr>
            <w:rStyle w:val="Hyperlink"/>
            <w:i/>
            <w:iCs/>
          </w:rPr>
          <w:t>https://www.supremecourt.uk/cases/uksc-2009-0042</w:t>
        </w:r>
      </w:hyperlink>
      <w:r w:rsidRPr="009046BC">
        <w:rPr>
          <w:i/>
          <w:iCs/>
        </w:rPr>
        <w:t>.</w:t>
      </w:r>
      <w:r>
        <w:rPr>
          <w:i/>
          <w:iCs/>
        </w:rPr>
        <w:t xml:space="preserve"> [Accessed: 8</w:t>
      </w:r>
      <w:r w:rsidRPr="009046BC">
        <w:rPr>
          <w:i/>
          <w:iCs/>
          <w:vertAlign w:val="superscript"/>
        </w:rPr>
        <w:t>th</w:t>
      </w:r>
      <w:r>
        <w:rPr>
          <w:i/>
          <w:iCs/>
        </w:rPr>
        <w:t xml:space="preserve"> March 2025] </w:t>
      </w:r>
    </w:p>
    <w:p w14:paraId="424CBDC6" w14:textId="77777777" w:rsidR="00FA23FD" w:rsidRDefault="00FA23FD" w:rsidP="00FA23FD">
      <w:pPr>
        <w:rPr>
          <w:i/>
          <w:iCs/>
        </w:rPr>
      </w:pPr>
      <w:r w:rsidRPr="00182257">
        <w:rPr>
          <w:i/>
          <w:iCs/>
        </w:rPr>
        <w:t xml:space="preserve">Brodie, D. (2022). Constructive Dismissal: The Contractual Maze. King’s Law Journal, 33(2), 151–168. </w:t>
      </w:r>
      <w:hyperlink r:id="rId27" w:history="1">
        <w:r w:rsidRPr="00182257">
          <w:rPr>
            <w:rStyle w:val="Hyperlink"/>
            <w:i/>
            <w:iCs/>
          </w:rPr>
          <w:t>https://doi.org/10.1080/09615768.2022.2093620</w:t>
        </w:r>
      </w:hyperlink>
      <w:r>
        <w:rPr>
          <w:i/>
          <w:iCs/>
        </w:rPr>
        <w:t xml:space="preserve"> </w:t>
      </w:r>
    </w:p>
    <w:p w14:paraId="15191AEA" w14:textId="77777777" w:rsidR="00FA23FD" w:rsidRDefault="00FA23FD" w:rsidP="00FA23FD">
      <w:pPr>
        <w:rPr>
          <w:i/>
          <w:iCs/>
        </w:rPr>
      </w:pPr>
      <w:proofErr w:type="spellStart"/>
      <w:r w:rsidRPr="008E2F2D">
        <w:rPr>
          <w:i/>
          <w:iCs/>
        </w:rPr>
        <w:t>Bunnefeld</w:t>
      </w:r>
      <w:proofErr w:type="spellEnd"/>
      <w:r w:rsidRPr="008E2F2D">
        <w:rPr>
          <w:i/>
          <w:iCs/>
        </w:rPr>
        <w:t xml:space="preserve">, L. (2019). SHARED PARENTAL LEAVE FOR THE FAMILY. Nature (London), 574(7779), 587–588. </w:t>
      </w:r>
      <w:hyperlink r:id="rId28" w:history="1">
        <w:r w:rsidRPr="008E2F2D">
          <w:rPr>
            <w:rStyle w:val="Hyperlink"/>
            <w:i/>
            <w:iCs/>
          </w:rPr>
          <w:t>https://doi.org/10.1038/d41586-019-03019-z</w:t>
        </w:r>
      </w:hyperlink>
      <w:r>
        <w:rPr>
          <w:i/>
          <w:iCs/>
        </w:rPr>
        <w:t xml:space="preserve"> </w:t>
      </w:r>
    </w:p>
    <w:p w14:paraId="7F2A4F82" w14:textId="77777777" w:rsidR="00FA23FD" w:rsidRPr="005E4CB1" w:rsidRDefault="00FA23FD" w:rsidP="00FA23FD">
      <w:pPr>
        <w:rPr>
          <w:i/>
          <w:iCs/>
        </w:rPr>
      </w:pPr>
      <w:r w:rsidRPr="005E4CB1">
        <w:rPr>
          <w:i/>
          <w:iCs/>
        </w:rPr>
        <w:t xml:space="preserve">Butler, M. (2018). A ‘Pick and Mix’ Approach to Collective Redundancy: USDAW. Industrial Law Journal (London), 47(2), 297–314. </w:t>
      </w:r>
      <w:hyperlink r:id="rId29" w:history="1">
        <w:r w:rsidRPr="005E4CB1">
          <w:rPr>
            <w:rStyle w:val="Hyperlink"/>
            <w:i/>
            <w:iCs/>
          </w:rPr>
          <w:t>https://doi.org/10.1093/indlaw/dwy008</w:t>
        </w:r>
      </w:hyperlink>
      <w:r>
        <w:rPr>
          <w:i/>
          <w:iCs/>
        </w:rPr>
        <w:t xml:space="preserve"> </w:t>
      </w:r>
    </w:p>
    <w:p w14:paraId="15391987" w14:textId="77777777" w:rsidR="00FA23FD" w:rsidRPr="006B4649" w:rsidRDefault="00FA23FD" w:rsidP="00FA23FD">
      <w:pPr>
        <w:rPr>
          <w:i/>
          <w:iCs/>
        </w:rPr>
      </w:pPr>
      <w:r w:rsidRPr="006B4649">
        <w:rPr>
          <w:i/>
          <w:iCs/>
        </w:rPr>
        <w:t>Cabrelli, D. A. (2012). Employment law (3rd ed.). Longman.</w:t>
      </w:r>
    </w:p>
    <w:bookmarkEnd w:id="0"/>
    <w:p w14:paraId="4A9507B7" w14:textId="77777777" w:rsidR="00FA23FD" w:rsidRDefault="00FA23FD" w:rsidP="00FA23FD">
      <w:pPr>
        <w:rPr>
          <w:i/>
          <w:iCs/>
        </w:rPr>
      </w:pPr>
      <w:r w:rsidRPr="006561DC">
        <w:rPr>
          <w:i/>
          <w:iCs/>
        </w:rPr>
        <w:t xml:space="preserve">CIPD (2023). CIPD | TUPE (Transfer of Undertakings) | Factsheets. [online] CIPD. Available at: </w:t>
      </w:r>
      <w:hyperlink r:id="rId30" w:history="1">
        <w:r w:rsidRPr="006561DC">
          <w:rPr>
            <w:rStyle w:val="Hyperlink"/>
            <w:i/>
            <w:iCs/>
          </w:rPr>
          <w:t>https://www.cipd.org/uk/knowledge/factsheets/tupe-factsheet/</w:t>
        </w:r>
      </w:hyperlink>
      <w:r w:rsidRPr="006561DC">
        <w:rPr>
          <w:i/>
          <w:iCs/>
        </w:rPr>
        <w:t>.</w:t>
      </w:r>
      <w:r>
        <w:rPr>
          <w:i/>
          <w:iCs/>
        </w:rPr>
        <w:t xml:space="preserve"> [Accessed: 7</w:t>
      </w:r>
      <w:r w:rsidRPr="006561DC">
        <w:rPr>
          <w:i/>
          <w:iCs/>
          <w:vertAlign w:val="superscript"/>
        </w:rPr>
        <w:t>th</w:t>
      </w:r>
      <w:r>
        <w:rPr>
          <w:i/>
          <w:iCs/>
        </w:rPr>
        <w:t xml:space="preserve"> March 2025] </w:t>
      </w:r>
    </w:p>
    <w:p w14:paraId="5255CFBF" w14:textId="77777777" w:rsidR="00FA23FD" w:rsidRPr="00C768BD" w:rsidRDefault="00FA23FD" w:rsidP="00FA23FD">
      <w:pPr>
        <w:rPr>
          <w:i/>
          <w:iCs/>
        </w:rPr>
      </w:pPr>
      <w:r w:rsidRPr="005614C7">
        <w:rPr>
          <w:i/>
          <w:iCs/>
        </w:rPr>
        <w:lastRenderedPageBreak/>
        <w:t xml:space="preserve">CIPD (2024). CIPD | How to request flexible working. [online] CIPD. Available at: </w:t>
      </w:r>
      <w:hyperlink r:id="rId31" w:history="1">
        <w:r w:rsidRPr="005614C7">
          <w:rPr>
            <w:rStyle w:val="Hyperlink"/>
            <w:i/>
            <w:iCs/>
          </w:rPr>
          <w:t>https://www.cipd.org/uk/knowledge/guides/requesting-flexible-working-guide/</w:t>
        </w:r>
      </w:hyperlink>
      <w:r w:rsidRPr="005614C7">
        <w:rPr>
          <w:i/>
          <w:iCs/>
        </w:rPr>
        <w:t>.</w:t>
      </w:r>
      <w:r>
        <w:rPr>
          <w:i/>
          <w:iCs/>
        </w:rPr>
        <w:t xml:space="preserve"> </w:t>
      </w:r>
    </w:p>
    <w:p w14:paraId="410FAB2D" w14:textId="77777777" w:rsidR="00FA23FD" w:rsidRDefault="00FA23FD" w:rsidP="00FA23FD">
      <w:pPr>
        <w:rPr>
          <w:i/>
          <w:iCs/>
        </w:rPr>
      </w:pPr>
      <w:r w:rsidRPr="003217A6">
        <w:rPr>
          <w:i/>
          <w:iCs/>
        </w:rPr>
        <w:t xml:space="preserve">CIPD (2024). CIPD | Managing the Redundancy Process. [online] CIPD. Available at: </w:t>
      </w:r>
      <w:hyperlink r:id="rId32" w:history="1">
        <w:r w:rsidRPr="003217A6">
          <w:rPr>
            <w:rStyle w:val="Hyperlink"/>
            <w:i/>
            <w:iCs/>
          </w:rPr>
          <w:t>https://www.cipd.org/uk/knowledge/guides/managing-the-redundancy-process/</w:t>
        </w:r>
      </w:hyperlink>
      <w:r w:rsidRPr="003217A6">
        <w:rPr>
          <w:i/>
          <w:iCs/>
        </w:rPr>
        <w:t>.</w:t>
      </w:r>
      <w:r>
        <w:rPr>
          <w:i/>
          <w:iCs/>
        </w:rPr>
        <w:t xml:space="preserve"> [Accessed: 01</w:t>
      </w:r>
      <w:r w:rsidRPr="003217A6">
        <w:rPr>
          <w:i/>
          <w:iCs/>
          <w:vertAlign w:val="superscript"/>
        </w:rPr>
        <w:t>st</w:t>
      </w:r>
      <w:r>
        <w:rPr>
          <w:i/>
          <w:iCs/>
        </w:rPr>
        <w:t xml:space="preserve"> March 2025]</w:t>
      </w:r>
    </w:p>
    <w:p w14:paraId="1126C08E" w14:textId="77777777" w:rsidR="00FA23FD" w:rsidRPr="00882FF2" w:rsidRDefault="00FA23FD" w:rsidP="00FA23FD">
      <w:pPr>
        <w:rPr>
          <w:i/>
          <w:iCs/>
        </w:rPr>
      </w:pPr>
      <w:r w:rsidRPr="00882FF2">
        <w:rPr>
          <w:i/>
          <w:iCs/>
        </w:rPr>
        <w:t xml:space="preserve">CIPD (2024). Equal Pay: UK Employment Law. [online] CIPD. Available at: </w:t>
      </w:r>
      <w:hyperlink r:id="rId33" w:history="1">
        <w:r w:rsidRPr="00882FF2">
          <w:rPr>
            <w:rStyle w:val="Hyperlink"/>
            <w:i/>
            <w:iCs/>
          </w:rPr>
          <w:t>https://www.cipd.org/uk/knowledge/employment-law/equal-pay/</w:t>
        </w:r>
      </w:hyperlink>
      <w:r w:rsidRPr="00882FF2">
        <w:rPr>
          <w:i/>
          <w:iCs/>
        </w:rPr>
        <w:t>.</w:t>
      </w:r>
      <w:r>
        <w:rPr>
          <w:i/>
          <w:iCs/>
        </w:rPr>
        <w:t xml:space="preserve"> [Accessed: 7</w:t>
      </w:r>
      <w:r w:rsidRPr="00882FF2">
        <w:rPr>
          <w:i/>
          <w:iCs/>
          <w:vertAlign w:val="superscript"/>
        </w:rPr>
        <w:t>th</w:t>
      </w:r>
      <w:r>
        <w:rPr>
          <w:i/>
          <w:iCs/>
        </w:rPr>
        <w:t xml:space="preserve"> March 2025]</w:t>
      </w:r>
    </w:p>
    <w:p w14:paraId="16B5CDF2" w14:textId="77777777" w:rsidR="00FA23FD" w:rsidRPr="00C13CBC" w:rsidRDefault="00FA23FD" w:rsidP="00FA23FD">
      <w:pPr>
        <w:rPr>
          <w:i/>
          <w:iCs/>
        </w:rPr>
      </w:pPr>
      <w:r w:rsidRPr="00727143">
        <w:rPr>
          <w:i/>
          <w:iCs/>
        </w:rPr>
        <w:t xml:space="preserve">City of Glasgow Council v. Zander [2013] UKSC 2. Available at: </w:t>
      </w:r>
      <w:hyperlink r:id="rId34" w:history="1">
        <w:r w:rsidRPr="00727143">
          <w:rPr>
            <w:rStyle w:val="Hyperlink"/>
            <w:i/>
            <w:iCs/>
          </w:rPr>
          <w:t>Glasgow City Council (Respondent) v X (Appellant) (AP) (Scotland) - UK Supreme Court</w:t>
        </w:r>
      </w:hyperlink>
    </w:p>
    <w:p w14:paraId="57AA85E5" w14:textId="77777777" w:rsidR="00FA23FD" w:rsidRDefault="00FA23FD" w:rsidP="00FA23FD">
      <w:pPr>
        <w:rPr>
          <w:i/>
          <w:iCs/>
        </w:rPr>
      </w:pPr>
      <w:r w:rsidRPr="004201E2">
        <w:rPr>
          <w:i/>
          <w:iCs/>
        </w:rPr>
        <w:t xml:space="preserve">Daniels, K. (2022). Introduction to employment </w:t>
      </w:r>
      <w:proofErr w:type="gramStart"/>
      <w:r w:rsidRPr="004201E2">
        <w:rPr>
          <w:i/>
          <w:iCs/>
        </w:rPr>
        <w:t>law :</w:t>
      </w:r>
      <w:proofErr w:type="gramEnd"/>
      <w:r w:rsidRPr="004201E2">
        <w:rPr>
          <w:i/>
          <w:iCs/>
        </w:rPr>
        <w:t xml:space="preserve"> fundamentals for HR and business students (Sixth edition.). Kogan Page Limited.</w:t>
      </w:r>
    </w:p>
    <w:p w14:paraId="43DF78E2" w14:textId="77777777" w:rsidR="00FA23FD" w:rsidRPr="002C260C" w:rsidRDefault="00FA23FD" w:rsidP="00FA23FD">
      <w:pPr>
        <w:rPr>
          <w:i/>
          <w:iCs/>
        </w:rPr>
      </w:pPr>
      <w:r w:rsidRPr="002C260C">
        <w:rPr>
          <w:i/>
          <w:iCs/>
        </w:rPr>
        <w:t>Darcy, J. (2005). UK says rolled up holiday pay is allowed under WTD. Contract Journal, 428(6527), 6-.</w:t>
      </w:r>
    </w:p>
    <w:p w14:paraId="6F2D5602" w14:textId="77777777" w:rsidR="00FA23FD" w:rsidRDefault="00FA23FD" w:rsidP="00FA23FD">
      <w:pPr>
        <w:rPr>
          <w:i/>
          <w:iCs/>
        </w:rPr>
      </w:pPr>
      <w:r w:rsidRPr="00015B1C">
        <w:rPr>
          <w:i/>
          <w:iCs/>
        </w:rPr>
        <w:t>Dudley Metropolitan Borough Council v Willetts and others UKEAT/0334/1</w:t>
      </w:r>
      <w:r>
        <w:rPr>
          <w:i/>
          <w:iCs/>
        </w:rPr>
        <w:t xml:space="preserve"> Available at: </w:t>
      </w:r>
      <w:hyperlink r:id="rId35" w:history="1">
        <w:r w:rsidRPr="00015B1C">
          <w:rPr>
            <w:rStyle w:val="Hyperlink"/>
            <w:i/>
            <w:iCs/>
          </w:rPr>
          <w:t>Voluntary overtime, standby allowances and call-out payments count towards holiday pay if sufficiently regular (EAT) | Practical Law</w:t>
        </w:r>
      </w:hyperlink>
      <w:r>
        <w:rPr>
          <w:i/>
          <w:iCs/>
        </w:rPr>
        <w:t xml:space="preserve"> [Accessed 4</w:t>
      </w:r>
      <w:r w:rsidRPr="00015B1C">
        <w:rPr>
          <w:i/>
          <w:iCs/>
          <w:vertAlign w:val="superscript"/>
        </w:rPr>
        <w:t>th</w:t>
      </w:r>
      <w:r>
        <w:rPr>
          <w:i/>
          <w:iCs/>
        </w:rPr>
        <w:t xml:space="preserve"> March 2025] </w:t>
      </w:r>
    </w:p>
    <w:p w14:paraId="394977BF" w14:textId="77777777" w:rsidR="00FA23FD" w:rsidRDefault="00FA23FD" w:rsidP="00FA23FD">
      <w:pPr>
        <w:rPr>
          <w:i/>
          <w:iCs/>
        </w:rPr>
      </w:pPr>
      <w:r w:rsidRPr="00B75E42">
        <w:rPr>
          <w:i/>
          <w:iCs/>
        </w:rPr>
        <w:t xml:space="preserve">Equal Pay Act 1970. (1970). c. 41. London: The Stationery Office. Available at: </w:t>
      </w:r>
      <w:hyperlink r:id="rId36" w:history="1">
        <w:r w:rsidRPr="008144CD">
          <w:rPr>
            <w:rStyle w:val="Hyperlink"/>
            <w:i/>
            <w:iCs/>
          </w:rPr>
          <w:t>https://www.legislation.gov.uk/ukpga/1970/41/contents/enacted</w:t>
        </w:r>
      </w:hyperlink>
      <w:r>
        <w:rPr>
          <w:i/>
          <w:iCs/>
        </w:rPr>
        <w:t xml:space="preserve"> </w:t>
      </w:r>
      <w:r w:rsidRPr="00B75E42">
        <w:rPr>
          <w:i/>
          <w:iCs/>
        </w:rPr>
        <w:t>(Accessed: 3 March 2025).</w:t>
      </w:r>
    </w:p>
    <w:p w14:paraId="5283BF50" w14:textId="77777777" w:rsidR="00FA23FD" w:rsidRPr="00753EDE" w:rsidRDefault="00FA23FD" w:rsidP="00FA23FD">
      <w:pPr>
        <w:rPr>
          <w:i/>
          <w:iCs/>
        </w:rPr>
      </w:pPr>
      <w:r w:rsidRPr="00753EDE">
        <w:rPr>
          <w:b/>
          <w:bCs/>
          <w:i/>
          <w:iCs/>
        </w:rPr>
        <w:t>Equality Act 2010</w:t>
      </w:r>
      <w:r w:rsidRPr="00753EDE">
        <w:rPr>
          <w:i/>
          <w:iCs/>
        </w:rPr>
        <w:t>. (2010)</w:t>
      </w:r>
      <w:r>
        <w:rPr>
          <w:i/>
          <w:iCs/>
        </w:rPr>
        <w:t xml:space="preserve"> Section 13.</w:t>
      </w:r>
      <w:r w:rsidRPr="00753EDE">
        <w:rPr>
          <w:i/>
          <w:iCs/>
        </w:rPr>
        <w:t xml:space="preserve"> An Act to make provision for the equality of treatment of individuals, the prohibition of discrimination, harassment and victimisation, and for other connected purposes. [online] Available at: </w:t>
      </w:r>
      <w:hyperlink r:id="rId37" w:history="1">
        <w:r w:rsidRPr="00CE62D4">
          <w:rPr>
            <w:rStyle w:val="Hyperlink"/>
            <w:i/>
            <w:iCs/>
          </w:rPr>
          <w:t>https://www.legislation.gov.uk/ukpga/2010/15/contents/enacted</w:t>
        </w:r>
      </w:hyperlink>
      <w:r>
        <w:rPr>
          <w:i/>
          <w:iCs/>
        </w:rPr>
        <w:t xml:space="preserve"> </w:t>
      </w:r>
      <w:r w:rsidRPr="00753EDE">
        <w:rPr>
          <w:i/>
          <w:iCs/>
        </w:rPr>
        <w:t xml:space="preserve"> [Accessed 5 March 2025].</w:t>
      </w:r>
      <w:r>
        <w:rPr>
          <w:i/>
          <w:iCs/>
        </w:rPr>
        <w:t xml:space="preserve"> </w:t>
      </w:r>
    </w:p>
    <w:p w14:paraId="234F539B" w14:textId="77777777" w:rsidR="00FA23FD" w:rsidRDefault="00FA23FD" w:rsidP="00FA23FD">
      <w:pPr>
        <w:rPr>
          <w:i/>
          <w:iCs/>
        </w:rPr>
      </w:pPr>
      <w:r w:rsidRPr="007D541C">
        <w:rPr>
          <w:i/>
          <w:iCs/>
        </w:rPr>
        <w:t xml:space="preserve">Equality Act 2010. (2010). c. 15. London: The Stationery Office. Available at: </w:t>
      </w:r>
      <w:hyperlink r:id="rId38" w:history="1">
        <w:r w:rsidRPr="008144CD">
          <w:rPr>
            <w:rStyle w:val="Hyperlink"/>
            <w:i/>
            <w:iCs/>
          </w:rPr>
          <w:t>https://www.legislation.gov.uk/ukpga/2010/15/contents/enacted</w:t>
        </w:r>
      </w:hyperlink>
      <w:r>
        <w:rPr>
          <w:i/>
          <w:iCs/>
        </w:rPr>
        <w:t xml:space="preserve"> </w:t>
      </w:r>
      <w:r w:rsidRPr="007D541C">
        <w:rPr>
          <w:i/>
          <w:iCs/>
        </w:rPr>
        <w:t xml:space="preserve"> (Accessed: 3 March 2025).</w:t>
      </w:r>
    </w:p>
    <w:p w14:paraId="3547183B" w14:textId="77777777" w:rsidR="00FA23FD" w:rsidRPr="003104AD" w:rsidRDefault="00FA23FD" w:rsidP="00FA23FD">
      <w:pPr>
        <w:rPr>
          <w:i/>
          <w:iCs/>
        </w:rPr>
      </w:pPr>
      <w:r w:rsidRPr="003104AD">
        <w:rPr>
          <w:i/>
          <w:iCs/>
        </w:rPr>
        <w:t>Faragher, J. (2014). How to avoid discrimination claims arising from flexible working requests. Employers’ Law, 12-.</w:t>
      </w:r>
      <w:r>
        <w:rPr>
          <w:i/>
          <w:iCs/>
        </w:rPr>
        <w:t xml:space="preserve"> </w:t>
      </w:r>
    </w:p>
    <w:p w14:paraId="03796EBF" w14:textId="77777777" w:rsidR="00FA23FD" w:rsidRPr="00117EAF" w:rsidRDefault="00FA23FD" w:rsidP="00FA23FD">
      <w:pPr>
        <w:rPr>
          <w:i/>
          <w:iCs/>
        </w:rPr>
      </w:pPr>
      <w:r w:rsidRPr="00117EAF">
        <w:rPr>
          <w:i/>
          <w:iCs/>
        </w:rPr>
        <w:t xml:space="preserve">GOV.UK (2012). Dismissal: your rights. [online] GOV.UK. Available at: </w:t>
      </w:r>
      <w:hyperlink r:id="rId39" w:history="1">
        <w:r w:rsidRPr="00117EAF">
          <w:rPr>
            <w:rStyle w:val="Hyperlink"/>
            <w:i/>
            <w:iCs/>
          </w:rPr>
          <w:t>https://www.gov.uk/dismissal/what-to-do-if-youre-dismissed</w:t>
        </w:r>
      </w:hyperlink>
      <w:r w:rsidRPr="00117EAF">
        <w:rPr>
          <w:i/>
          <w:iCs/>
        </w:rPr>
        <w:t>.</w:t>
      </w:r>
      <w:r>
        <w:rPr>
          <w:i/>
          <w:iCs/>
        </w:rPr>
        <w:t xml:space="preserve"> [Accessed: 8</w:t>
      </w:r>
      <w:r w:rsidRPr="00117EAF">
        <w:rPr>
          <w:i/>
          <w:iCs/>
          <w:vertAlign w:val="superscript"/>
        </w:rPr>
        <w:t>th</w:t>
      </w:r>
      <w:r>
        <w:rPr>
          <w:i/>
          <w:iCs/>
        </w:rPr>
        <w:t xml:space="preserve"> March 2025]</w:t>
      </w:r>
    </w:p>
    <w:p w14:paraId="649A4AA9" w14:textId="77777777" w:rsidR="00FA23FD" w:rsidRDefault="00FA23FD" w:rsidP="00FA23FD">
      <w:pPr>
        <w:rPr>
          <w:i/>
          <w:iCs/>
        </w:rPr>
      </w:pPr>
      <w:r w:rsidRPr="003217A6">
        <w:rPr>
          <w:i/>
          <w:iCs/>
        </w:rPr>
        <w:t xml:space="preserve">Gov.uk (2012). Making staff redundant. [online] GOV.UK. Available at: </w:t>
      </w:r>
      <w:hyperlink r:id="rId40" w:history="1">
        <w:r w:rsidRPr="003217A6">
          <w:rPr>
            <w:rStyle w:val="Hyperlink"/>
            <w:i/>
            <w:iCs/>
          </w:rPr>
          <w:t>https://www.gov.uk/staff-redundant/redundancy-consultations</w:t>
        </w:r>
      </w:hyperlink>
      <w:r w:rsidRPr="003217A6">
        <w:rPr>
          <w:i/>
          <w:iCs/>
        </w:rPr>
        <w:t>.</w:t>
      </w:r>
      <w:r>
        <w:rPr>
          <w:i/>
          <w:iCs/>
        </w:rPr>
        <w:t xml:space="preserve"> [Accessed: 01</w:t>
      </w:r>
      <w:r w:rsidRPr="003217A6">
        <w:rPr>
          <w:i/>
          <w:iCs/>
          <w:vertAlign w:val="superscript"/>
        </w:rPr>
        <w:t>st</w:t>
      </w:r>
      <w:r>
        <w:rPr>
          <w:i/>
          <w:iCs/>
        </w:rPr>
        <w:t xml:space="preserve"> March 2025]</w:t>
      </w:r>
    </w:p>
    <w:p w14:paraId="0E2F14DB" w14:textId="77777777" w:rsidR="00FA23FD" w:rsidRPr="0074676F" w:rsidRDefault="00FA23FD" w:rsidP="00FA23FD">
      <w:pPr>
        <w:rPr>
          <w:i/>
          <w:iCs/>
        </w:rPr>
      </w:pPr>
      <w:r w:rsidRPr="0074676F">
        <w:rPr>
          <w:i/>
          <w:iCs/>
        </w:rPr>
        <w:t xml:space="preserve">Gov.uk (2012). Redundancy: your rights. [online] GOV.UK. Available at: </w:t>
      </w:r>
      <w:hyperlink r:id="rId41" w:history="1">
        <w:r w:rsidRPr="0074676F">
          <w:rPr>
            <w:rStyle w:val="Hyperlink"/>
            <w:i/>
            <w:iCs/>
          </w:rPr>
          <w:t>https://www.gov.uk/redundancy-your-rights/redundancy-pay</w:t>
        </w:r>
      </w:hyperlink>
      <w:r w:rsidRPr="0074676F">
        <w:rPr>
          <w:i/>
          <w:iCs/>
        </w:rPr>
        <w:t>.</w:t>
      </w:r>
      <w:r>
        <w:rPr>
          <w:i/>
          <w:iCs/>
        </w:rPr>
        <w:t xml:space="preserve"> </w:t>
      </w:r>
    </w:p>
    <w:p w14:paraId="3F3FD8C5" w14:textId="77777777" w:rsidR="00FA23FD" w:rsidRDefault="00FA23FD" w:rsidP="00FA23FD">
      <w:pPr>
        <w:rPr>
          <w:i/>
          <w:iCs/>
        </w:rPr>
      </w:pPr>
      <w:r w:rsidRPr="006E3106">
        <w:rPr>
          <w:i/>
          <w:iCs/>
        </w:rPr>
        <w:t xml:space="preserve">GOV.UK (2013). Maternity Pay and Leave. [online] GOV.UK. Available at: </w:t>
      </w:r>
      <w:hyperlink r:id="rId42" w:history="1">
        <w:r w:rsidRPr="006E3106">
          <w:rPr>
            <w:rStyle w:val="Hyperlink"/>
            <w:i/>
            <w:iCs/>
          </w:rPr>
          <w:t>https://www.gov.uk/maternity-pay-leave</w:t>
        </w:r>
      </w:hyperlink>
      <w:r w:rsidRPr="006E3106">
        <w:rPr>
          <w:i/>
          <w:iCs/>
        </w:rPr>
        <w:t>.</w:t>
      </w:r>
      <w:r>
        <w:rPr>
          <w:i/>
          <w:iCs/>
        </w:rPr>
        <w:t xml:space="preserve"> [Accessed: 10</w:t>
      </w:r>
      <w:r w:rsidRPr="006E3106">
        <w:rPr>
          <w:i/>
          <w:iCs/>
          <w:vertAlign w:val="superscript"/>
        </w:rPr>
        <w:t>th</w:t>
      </w:r>
      <w:r>
        <w:rPr>
          <w:i/>
          <w:iCs/>
        </w:rPr>
        <w:t xml:space="preserve"> March 2025]</w:t>
      </w:r>
    </w:p>
    <w:p w14:paraId="0F6BD4C9" w14:textId="77777777" w:rsidR="00FA23FD" w:rsidRDefault="00FA23FD" w:rsidP="00FA23FD">
      <w:pPr>
        <w:rPr>
          <w:i/>
          <w:iCs/>
        </w:rPr>
      </w:pPr>
      <w:r w:rsidRPr="00C21BEE">
        <w:rPr>
          <w:i/>
          <w:iCs/>
        </w:rPr>
        <w:t xml:space="preserve">GOV.UK (2020). Calculating holiday pay for workers without fixed hours or pay. [online] GOV.UK. Available at: </w:t>
      </w:r>
      <w:hyperlink r:id="rId43" w:history="1">
        <w:r w:rsidRPr="00C21BEE">
          <w:rPr>
            <w:rStyle w:val="Hyperlink"/>
            <w:i/>
            <w:iCs/>
          </w:rPr>
          <w:t>https://www.gov.uk/government/publications/calculating-holiday-pay-for-workers-without-fixed-hours-or-pay/calculating-holiday-pay-for-workers-without-fixed-hours-or-pay--2</w:t>
        </w:r>
      </w:hyperlink>
      <w:r w:rsidRPr="00C21BEE">
        <w:rPr>
          <w:i/>
          <w:iCs/>
        </w:rPr>
        <w:t>.</w:t>
      </w:r>
      <w:r>
        <w:rPr>
          <w:i/>
          <w:iCs/>
        </w:rPr>
        <w:t xml:space="preserve"> [Accessed: 10</w:t>
      </w:r>
      <w:r w:rsidRPr="00C21BEE">
        <w:rPr>
          <w:i/>
          <w:iCs/>
          <w:vertAlign w:val="superscript"/>
        </w:rPr>
        <w:t>th</w:t>
      </w:r>
      <w:r>
        <w:rPr>
          <w:i/>
          <w:iCs/>
        </w:rPr>
        <w:t xml:space="preserve"> March 2025]</w:t>
      </w:r>
    </w:p>
    <w:p w14:paraId="36CEE6FB" w14:textId="77777777" w:rsidR="00FA23FD" w:rsidRDefault="00FA23FD" w:rsidP="00FA23FD">
      <w:pPr>
        <w:rPr>
          <w:i/>
          <w:iCs/>
        </w:rPr>
      </w:pPr>
      <w:r w:rsidRPr="008659E7">
        <w:rPr>
          <w:i/>
          <w:iCs/>
        </w:rPr>
        <w:t xml:space="preserve">Gov.uk (2024). Business transfers, takeovers and TUPE. [online] GOV.UK. Available at: </w:t>
      </w:r>
      <w:hyperlink r:id="rId44" w:history="1">
        <w:r w:rsidRPr="008659E7">
          <w:rPr>
            <w:rStyle w:val="Hyperlink"/>
            <w:i/>
            <w:iCs/>
          </w:rPr>
          <w:t>https://www.gov.uk/transfers-takeovers</w:t>
        </w:r>
      </w:hyperlink>
      <w:r w:rsidRPr="008659E7">
        <w:rPr>
          <w:i/>
          <w:iCs/>
        </w:rPr>
        <w:t>.</w:t>
      </w:r>
      <w:r>
        <w:rPr>
          <w:i/>
          <w:iCs/>
        </w:rPr>
        <w:t xml:space="preserve"> [Accessed: 7</w:t>
      </w:r>
      <w:r w:rsidRPr="008659E7">
        <w:rPr>
          <w:i/>
          <w:iCs/>
          <w:vertAlign w:val="superscript"/>
        </w:rPr>
        <w:t>th</w:t>
      </w:r>
      <w:r>
        <w:rPr>
          <w:i/>
          <w:iCs/>
        </w:rPr>
        <w:t xml:space="preserve"> March 2025] </w:t>
      </w:r>
    </w:p>
    <w:p w14:paraId="3A7FFB5C" w14:textId="77777777" w:rsidR="00FA23FD" w:rsidRDefault="00FA23FD" w:rsidP="00FA23FD">
      <w:pPr>
        <w:rPr>
          <w:i/>
          <w:iCs/>
        </w:rPr>
      </w:pPr>
      <w:r w:rsidRPr="00936A09">
        <w:rPr>
          <w:i/>
          <w:iCs/>
        </w:rPr>
        <w:lastRenderedPageBreak/>
        <w:t xml:space="preserve">Green, E. (2021). Shared parental leave; achieving a new normal. Bulletin of the Royal College of Surgeons of England, 103(S1), 36–39. </w:t>
      </w:r>
      <w:hyperlink r:id="rId45" w:history="1">
        <w:r w:rsidRPr="00936A09">
          <w:rPr>
            <w:rStyle w:val="Hyperlink"/>
            <w:i/>
            <w:iCs/>
          </w:rPr>
          <w:t>https://doi.org/10.1308/rcsbull.TB2021.12</w:t>
        </w:r>
      </w:hyperlink>
      <w:r>
        <w:rPr>
          <w:i/>
          <w:iCs/>
        </w:rPr>
        <w:t xml:space="preserve"> </w:t>
      </w:r>
    </w:p>
    <w:p w14:paraId="5ADAB989" w14:textId="77777777" w:rsidR="00FA23FD" w:rsidRDefault="00FA23FD" w:rsidP="00FA23FD">
      <w:pPr>
        <w:rPr>
          <w:i/>
          <w:iCs/>
        </w:rPr>
      </w:pPr>
      <w:r w:rsidRPr="00C768BD">
        <w:rPr>
          <w:i/>
          <w:iCs/>
        </w:rPr>
        <w:t xml:space="preserve">Jackson, I. (2024). New Flexible Working laws: an Employer’s Guide. [online] People Management. Available at: </w:t>
      </w:r>
      <w:hyperlink r:id="rId46" w:history="1">
        <w:r w:rsidRPr="00C768BD">
          <w:rPr>
            <w:rStyle w:val="Hyperlink"/>
            <w:i/>
            <w:iCs/>
          </w:rPr>
          <w:t>https://www.peoplemanagement.co.uk/article/1856168/new-flexible-working-laws-employers-guide</w:t>
        </w:r>
      </w:hyperlink>
      <w:r w:rsidRPr="00C768BD">
        <w:rPr>
          <w:i/>
          <w:iCs/>
        </w:rPr>
        <w:t xml:space="preserve">. </w:t>
      </w:r>
      <w:r>
        <w:rPr>
          <w:i/>
          <w:iCs/>
        </w:rPr>
        <w:t>[Accessed: 14</w:t>
      </w:r>
      <w:r w:rsidRPr="00727143">
        <w:rPr>
          <w:i/>
          <w:iCs/>
          <w:vertAlign w:val="superscript"/>
        </w:rPr>
        <w:t>th</w:t>
      </w:r>
      <w:r>
        <w:rPr>
          <w:i/>
          <w:iCs/>
        </w:rPr>
        <w:t xml:space="preserve"> March 2025]</w:t>
      </w:r>
    </w:p>
    <w:p w14:paraId="140C90B1" w14:textId="77777777" w:rsidR="00FA23FD" w:rsidRPr="006B3A96" w:rsidRDefault="00FA23FD" w:rsidP="00FA23FD">
      <w:pPr>
        <w:rPr>
          <w:i/>
          <w:iCs/>
        </w:rPr>
      </w:pPr>
      <w:r w:rsidRPr="00BC4C95">
        <w:rPr>
          <w:i/>
          <w:iCs/>
        </w:rPr>
        <w:t xml:space="preserve">Jones v. Tower Hamlets Borough Council </w:t>
      </w:r>
      <w:r>
        <w:rPr>
          <w:i/>
          <w:iCs/>
        </w:rPr>
        <w:t>[2</w:t>
      </w:r>
      <w:r w:rsidRPr="00BC4C95">
        <w:rPr>
          <w:i/>
          <w:iCs/>
        </w:rPr>
        <w:t>005</w:t>
      </w:r>
      <w:r>
        <w:rPr>
          <w:i/>
          <w:iCs/>
        </w:rPr>
        <w:t>].</w:t>
      </w:r>
      <w:r w:rsidRPr="00BC4C95">
        <w:rPr>
          <w:i/>
          <w:iCs/>
        </w:rPr>
        <w:t xml:space="preserve"> EWCA </w:t>
      </w:r>
      <w:proofErr w:type="spellStart"/>
      <w:r w:rsidRPr="00BC4C95">
        <w:rPr>
          <w:i/>
          <w:iCs/>
        </w:rPr>
        <w:t>Civ</w:t>
      </w:r>
      <w:proofErr w:type="spellEnd"/>
      <w:r w:rsidRPr="00BC4C95">
        <w:rPr>
          <w:i/>
          <w:iCs/>
        </w:rPr>
        <w:t xml:space="preserve"> 245. Available at: </w:t>
      </w:r>
      <w:hyperlink r:id="rId47" w:history="1">
        <w:r w:rsidRPr="00CE62D4">
          <w:rPr>
            <w:rStyle w:val="Hyperlink"/>
            <w:i/>
            <w:iCs/>
          </w:rPr>
          <w:t>https://www.bailii.org/ew/cases/EWCA/Civ/2005/245.html</w:t>
        </w:r>
      </w:hyperlink>
      <w:r>
        <w:rPr>
          <w:i/>
          <w:iCs/>
        </w:rPr>
        <w:t xml:space="preserve"> </w:t>
      </w:r>
      <w:r w:rsidRPr="00BC4C95">
        <w:rPr>
          <w:i/>
          <w:iCs/>
        </w:rPr>
        <w:t>[Accessed 5 March 2025].</w:t>
      </w:r>
      <w:r>
        <w:rPr>
          <w:i/>
          <w:iCs/>
        </w:rPr>
        <w:t xml:space="preserve"> </w:t>
      </w:r>
    </w:p>
    <w:p w14:paraId="41179A90" w14:textId="77777777" w:rsidR="00FA23FD" w:rsidRDefault="00FA23FD" w:rsidP="00FA23FD">
      <w:pPr>
        <w:rPr>
          <w:i/>
          <w:iCs/>
        </w:rPr>
      </w:pPr>
      <w:r w:rsidRPr="00B0636E">
        <w:rPr>
          <w:i/>
          <w:iCs/>
        </w:rPr>
        <w:t>K v L UKEATS/0014/18/JW</w:t>
      </w:r>
      <w:r>
        <w:rPr>
          <w:i/>
          <w:iCs/>
        </w:rPr>
        <w:t xml:space="preserve"> Available at: </w:t>
      </w:r>
      <w:hyperlink r:id="rId48" w:history="1">
        <w:r w:rsidRPr="008144CD">
          <w:rPr>
            <w:rStyle w:val="Hyperlink"/>
            <w:i/>
            <w:iCs/>
          </w:rPr>
          <w:t>https://www.gov.uk/employment-appeal-tribunal-decisions/k-v-l-ukeats-0014-18-jw</w:t>
        </w:r>
      </w:hyperlink>
      <w:r w:rsidRPr="00B0636E">
        <w:rPr>
          <w:i/>
          <w:iCs/>
        </w:rPr>
        <w:t>.</w:t>
      </w:r>
      <w:r>
        <w:rPr>
          <w:i/>
          <w:iCs/>
        </w:rPr>
        <w:t xml:space="preserve"> [Accessed 20</w:t>
      </w:r>
      <w:r w:rsidRPr="00E3392C">
        <w:rPr>
          <w:i/>
          <w:iCs/>
          <w:vertAlign w:val="superscript"/>
        </w:rPr>
        <w:t>th</w:t>
      </w:r>
      <w:r>
        <w:rPr>
          <w:i/>
          <w:iCs/>
        </w:rPr>
        <w:t xml:space="preserve"> February 2025]</w:t>
      </w:r>
    </w:p>
    <w:p w14:paraId="41914BFF" w14:textId="77777777" w:rsidR="00FA23FD" w:rsidRPr="004201E2" w:rsidRDefault="00FA23FD" w:rsidP="00FA23FD">
      <w:pPr>
        <w:rPr>
          <w:i/>
          <w:iCs/>
        </w:rPr>
      </w:pPr>
      <w:r w:rsidRPr="00BE5F28">
        <w:rPr>
          <w:i/>
          <w:iCs/>
        </w:rPr>
        <w:t xml:space="preserve">Lewis, T. and Legal Action Group (2005). Employment </w:t>
      </w:r>
      <w:proofErr w:type="gramStart"/>
      <w:r w:rsidRPr="00BE5F28">
        <w:rPr>
          <w:i/>
          <w:iCs/>
        </w:rPr>
        <w:t>law :</w:t>
      </w:r>
      <w:proofErr w:type="gramEnd"/>
      <w:r w:rsidRPr="00BE5F28">
        <w:rPr>
          <w:i/>
          <w:iCs/>
        </w:rPr>
        <w:t xml:space="preserve"> an adviser’s handbook. London: Legal Action Group. </w:t>
      </w:r>
    </w:p>
    <w:p w14:paraId="7E1D4CA0" w14:textId="77777777" w:rsidR="00FA23FD" w:rsidRPr="00E33268" w:rsidRDefault="00FA23FD" w:rsidP="00FA23FD">
      <w:pPr>
        <w:rPr>
          <w:i/>
          <w:iCs/>
        </w:rPr>
      </w:pPr>
      <w:r w:rsidRPr="00E33268">
        <w:rPr>
          <w:i/>
          <w:iCs/>
        </w:rPr>
        <w:t xml:space="preserve">Lidbeck, M., &amp; Boström, P. K. (2021). “I believe it’s important for kids to know they have two parents”: Parents’ experiences of equally shared parental leave in Sweden. Journal of Social and Personal Relationships, 38(1), 413–431. </w:t>
      </w:r>
      <w:hyperlink r:id="rId49" w:history="1">
        <w:r w:rsidRPr="00E33268">
          <w:rPr>
            <w:rStyle w:val="Hyperlink"/>
            <w:i/>
            <w:iCs/>
          </w:rPr>
          <w:t>https://doi.org/10.1177/0265407520961841</w:t>
        </w:r>
      </w:hyperlink>
      <w:r>
        <w:rPr>
          <w:i/>
          <w:iCs/>
        </w:rPr>
        <w:t xml:space="preserve"> </w:t>
      </w:r>
    </w:p>
    <w:p w14:paraId="451191E8" w14:textId="77777777" w:rsidR="00FA23FD" w:rsidRPr="0087723E" w:rsidRDefault="00FA23FD" w:rsidP="00FA23FD">
      <w:pPr>
        <w:rPr>
          <w:i/>
          <w:iCs/>
        </w:rPr>
      </w:pPr>
      <w:r w:rsidRPr="0087723E">
        <w:rPr>
          <w:i/>
          <w:iCs/>
        </w:rPr>
        <w:t>Loch, P. (2005). Flexible working requests must not be taken lightly. Personnel Today, 14-.</w:t>
      </w:r>
    </w:p>
    <w:p w14:paraId="4E174DD1" w14:textId="77777777" w:rsidR="00FA23FD" w:rsidRPr="00F95B28" w:rsidRDefault="00FA23FD" w:rsidP="00FA23FD">
      <w:pPr>
        <w:rPr>
          <w:i/>
          <w:iCs/>
        </w:rPr>
      </w:pPr>
      <w:r w:rsidRPr="00F403A8">
        <w:rPr>
          <w:i/>
          <w:iCs/>
        </w:rPr>
        <w:t xml:space="preserve">Lock v British Gas Trading Ltd (2014) EWCA </w:t>
      </w:r>
      <w:proofErr w:type="spellStart"/>
      <w:r w:rsidRPr="00F403A8">
        <w:rPr>
          <w:i/>
          <w:iCs/>
        </w:rPr>
        <w:t>Civ</w:t>
      </w:r>
      <w:proofErr w:type="spellEnd"/>
      <w:r w:rsidRPr="00F403A8">
        <w:rPr>
          <w:i/>
          <w:iCs/>
        </w:rPr>
        <w:t xml:space="preserve"> 1230.</w:t>
      </w:r>
      <w:r>
        <w:rPr>
          <w:i/>
          <w:iCs/>
        </w:rPr>
        <w:t xml:space="preserve"> </w:t>
      </w:r>
      <w:r w:rsidRPr="00F403A8">
        <w:rPr>
          <w:i/>
          <w:iCs/>
        </w:rPr>
        <w:t xml:space="preserve">Available at: </w:t>
      </w:r>
      <w:hyperlink r:id="rId50" w:history="1">
        <w:r w:rsidRPr="00AF23C7">
          <w:rPr>
            <w:rStyle w:val="Hyperlink"/>
            <w:i/>
            <w:iCs/>
          </w:rPr>
          <w:t>https://employmentcasesupdate.co.uk/content/lock-v-british-gas-trading-limited-2014-cjeu-c-539-12.efbd568708f447779b7ebfde08881d8d.htm</w:t>
        </w:r>
      </w:hyperlink>
      <w:r w:rsidRPr="00F403A8">
        <w:rPr>
          <w:i/>
          <w:iCs/>
        </w:rPr>
        <w:t>.</w:t>
      </w:r>
      <w:r>
        <w:rPr>
          <w:i/>
          <w:iCs/>
        </w:rPr>
        <w:t xml:space="preserve"> </w:t>
      </w:r>
    </w:p>
    <w:p w14:paraId="6F113146" w14:textId="77777777" w:rsidR="00FA23FD" w:rsidRPr="00C21BEE" w:rsidRDefault="00FA23FD" w:rsidP="00FA23FD">
      <w:pPr>
        <w:rPr>
          <w:i/>
          <w:iCs/>
        </w:rPr>
      </w:pPr>
      <w:bookmarkStart w:id="1" w:name="_Hlk192451834"/>
      <w:r w:rsidRPr="00C21BEE">
        <w:rPr>
          <w:i/>
          <w:iCs/>
        </w:rPr>
        <w:t>MacDermott</w:t>
      </w:r>
      <w:bookmarkEnd w:id="1"/>
      <w:r w:rsidRPr="00C21BEE">
        <w:rPr>
          <w:i/>
          <w:iCs/>
        </w:rPr>
        <w:t>, M. (1998). Part-timers eligible for benefits. Business Insurance, 32(14), 35-.</w:t>
      </w:r>
    </w:p>
    <w:p w14:paraId="019C4F48" w14:textId="77777777" w:rsidR="00FA23FD" w:rsidRDefault="00FA23FD" w:rsidP="00FA23FD">
      <w:pPr>
        <w:rPr>
          <w:i/>
          <w:iCs/>
        </w:rPr>
      </w:pPr>
      <w:r w:rsidRPr="00117EAF">
        <w:rPr>
          <w:i/>
          <w:iCs/>
        </w:rPr>
        <w:t>‌</w:t>
      </w:r>
      <w:r w:rsidRPr="006553AA">
        <w:rPr>
          <w:i/>
          <w:iCs/>
        </w:rPr>
        <w:t>Mahil, R. (2014). Constructive dismissal: Should I stay or should I go? Canadian Employment Law Today, 1-.</w:t>
      </w:r>
      <w:r>
        <w:rPr>
          <w:i/>
          <w:iCs/>
        </w:rPr>
        <w:t xml:space="preserve"> </w:t>
      </w:r>
    </w:p>
    <w:p w14:paraId="649A3294" w14:textId="77777777" w:rsidR="00FA23FD" w:rsidRDefault="00FA23FD" w:rsidP="00FA23FD">
      <w:pPr>
        <w:rPr>
          <w:i/>
          <w:iCs/>
        </w:rPr>
      </w:pPr>
      <w:r w:rsidRPr="00A05BF7">
        <w:rPr>
          <w:i/>
          <w:iCs/>
        </w:rPr>
        <w:t>Mann and Others v. Secretary of State for Employment [1999] 1 WLR 1017</w:t>
      </w:r>
      <w:r>
        <w:rPr>
          <w:i/>
          <w:iCs/>
        </w:rPr>
        <w:t xml:space="preserve"> available at: </w:t>
      </w:r>
      <w:hyperlink r:id="rId51" w:history="1">
        <w:r w:rsidRPr="00A05BF7">
          <w:rPr>
            <w:rStyle w:val="Hyperlink"/>
            <w:i/>
            <w:iCs/>
          </w:rPr>
          <w:t>House of Lords - Mann and Others v. Secretary of State for Employment</w:t>
        </w:r>
      </w:hyperlink>
      <w:r>
        <w:rPr>
          <w:i/>
          <w:iCs/>
        </w:rPr>
        <w:t xml:space="preserve"> </w:t>
      </w:r>
    </w:p>
    <w:p w14:paraId="0A93452A" w14:textId="77777777" w:rsidR="00FA23FD" w:rsidRDefault="00FA23FD" w:rsidP="00FA23FD">
      <w:pPr>
        <w:rPr>
          <w:i/>
          <w:iCs/>
        </w:rPr>
      </w:pPr>
      <w:r w:rsidRPr="00E3392C">
        <w:rPr>
          <w:i/>
          <w:iCs/>
        </w:rPr>
        <w:t xml:space="preserve">Mars, S. de (2020). Brexit next steps: The Court of Justice of the EU and the UK. commonslibrary.parliament.uk. [online] Available at: </w:t>
      </w:r>
      <w:hyperlink r:id="rId52" w:history="1">
        <w:r w:rsidRPr="00E3392C">
          <w:rPr>
            <w:rStyle w:val="Hyperlink"/>
            <w:i/>
            <w:iCs/>
          </w:rPr>
          <w:t>https://commonslibrary.parliament.uk/brexit-next-steps-the-court-of-justice-of-the-eu-and-the-uk/</w:t>
        </w:r>
      </w:hyperlink>
      <w:r w:rsidRPr="00E3392C">
        <w:rPr>
          <w:i/>
          <w:iCs/>
        </w:rPr>
        <w:t>.</w:t>
      </w:r>
      <w:r>
        <w:rPr>
          <w:i/>
          <w:iCs/>
        </w:rPr>
        <w:t xml:space="preserve"> [Accessed 20</w:t>
      </w:r>
      <w:r w:rsidRPr="00E3392C">
        <w:rPr>
          <w:i/>
          <w:iCs/>
          <w:vertAlign w:val="superscript"/>
        </w:rPr>
        <w:t>th</w:t>
      </w:r>
      <w:r>
        <w:rPr>
          <w:i/>
          <w:iCs/>
        </w:rPr>
        <w:t xml:space="preserve"> February 2025]</w:t>
      </w:r>
    </w:p>
    <w:p w14:paraId="4ED122B1" w14:textId="77777777" w:rsidR="00FA23FD" w:rsidRPr="00B63B89" w:rsidRDefault="00FA23FD" w:rsidP="00FA23FD">
      <w:pPr>
        <w:rPr>
          <w:i/>
          <w:iCs/>
        </w:rPr>
      </w:pPr>
      <w:r w:rsidRPr="00B63B89">
        <w:rPr>
          <w:i/>
          <w:iCs/>
        </w:rPr>
        <w:t>Martin, D. (2005). The A-Z of Employment Practice. Thorogood.</w:t>
      </w:r>
    </w:p>
    <w:p w14:paraId="482CB040" w14:textId="77777777" w:rsidR="00FA23FD" w:rsidRPr="00C21BEE" w:rsidRDefault="00FA23FD" w:rsidP="00FA23FD">
      <w:pPr>
        <w:rPr>
          <w:i/>
          <w:iCs/>
        </w:rPr>
      </w:pPr>
      <w:bookmarkStart w:id="2" w:name="_Hlk192450270"/>
      <w:proofErr w:type="spellStart"/>
      <w:r w:rsidRPr="00C21BEE">
        <w:rPr>
          <w:i/>
          <w:iCs/>
        </w:rPr>
        <w:t>Mcmanus</w:t>
      </w:r>
      <w:bookmarkEnd w:id="2"/>
      <w:proofErr w:type="spellEnd"/>
      <w:r w:rsidRPr="00C21BEE">
        <w:rPr>
          <w:i/>
          <w:iCs/>
        </w:rPr>
        <w:t xml:space="preserve">, S. (2017). If we want to make a difference, we need to rewrite the rules. </w:t>
      </w:r>
      <w:proofErr w:type="spellStart"/>
      <w:r w:rsidRPr="00C21BEE">
        <w:rPr>
          <w:i/>
          <w:iCs/>
        </w:rPr>
        <w:t>InScope</w:t>
      </w:r>
      <w:proofErr w:type="spellEnd"/>
      <w:r w:rsidRPr="00C21BEE">
        <w:rPr>
          <w:i/>
          <w:iCs/>
        </w:rPr>
        <w:t>, 28–29.</w:t>
      </w:r>
    </w:p>
    <w:p w14:paraId="757259D1" w14:textId="77777777" w:rsidR="00FA23FD" w:rsidRPr="008659E7" w:rsidRDefault="00FA23FD" w:rsidP="00FA23FD">
      <w:pPr>
        <w:rPr>
          <w:i/>
          <w:iCs/>
        </w:rPr>
      </w:pPr>
      <w:r w:rsidRPr="008659E7">
        <w:rPr>
          <w:i/>
          <w:iCs/>
        </w:rPr>
        <w:t xml:space="preserve">McMullen, J. (2012). Re-structuring and TUPE. Industrial Law Journal (London), 41(3), 358–362. </w:t>
      </w:r>
      <w:hyperlink r:id="rId53" w:history="1">
        <w:r w:rsidRPr="008659E7">
          <w:rPr>
            <w:rStyle w:val="Hyperlink"/>
            <w:i/>
            <w:iCs/>
          </w:rPr>
          <w:t>https://doi.org/10.1093/indlaw/dws025</w:t>
        </w:r>
      </w:hyperlink>
      <w:r>
        <w:rPr>
          <w:i/>
          <w:iCs/>
        </w:rPr>
        <w:t xml:space="preserve"> </w:t>
      </w:r>
    </w:p>
    <w:p w14:paraId="3EECAD93" w14:textId="77777777" w:rsidR="00FA23FD" w:rsidRPr="001D6807" w:rsidRDefault="00FA23FD" w:rsidP="00FA23FD">
      <w:pPr>
        <w:rPr>
          <w:i/>
          <w:iCs/>
        </w:rPr>
      </w:pPr>
      <w:r w:rsidRPr="001D6807">
        <w:rPr>
          <w:i/>
          <w:iCs/>
        </w:rPr>
        <w:t xml:space="preserve">Merrett, L. (2021). International Employment Cases Post-Brexit: Choice of Law, Territorial Scope, Jurisdiction and Enforcement. Industrial Law Journal (London), 50(3), 343–374. </w:t>
      </w:r>
      <w:hyperlink r:id="rId54" w:history="1">
        <w:r w:rsidRPr="001D6807">
          <w:rPr>
            <w:rStyle w:val="Hyperlink"/>
            <w:i/>
            <w:iCs/>
          </w:rPr>
          <w:t>https://doi.org/10.1093/indlaw/dwab019</w:t>
        </w:r>
      </w:hyperlink>
      <w:r>
        <w:rPr>
          <w:i/>
          <w:iCs/>
        </w:rPr>
        <w:t xml:space="preserve"> </w:t>
      </w:r>
    </w:p>
    <w:p w14:paraId="18CBA39E" w14:textId="77777777" w:rsidR="00FA23FD" w:rsidRPr="003217A6" w:rsidRDefault="00FA23FD" w:rsidP="00FA23FD">
      <w:pPr>
        <w:rPr>
          <w:i/>
          <w:iCs/>
        </w:rPr>
      </w:pPr>
      <w:r w:rsidRPr="003217A6">
        <w:rPr>
          <w:i/>
          <w:iCs/>
        </w:rPr>
        <w:t>Michael Moy, &amp; John Herbert. (2013). Genuine redundancy and consultation obligations. Keeping Good Companies, 65(7), 422–424.</w:t>
      </w:r>
      <w:r>
        <w:rPr>
          <w:i/>
          <w:iCs/>
        </w:rPr>
        <w:t xml:space="preserve"> </w:t>
      </w:r>
    </w:p>
    <w:p w14:paraId="57509540" w14:textId="77777777" w:rsidR="00FA23FD" w:rsidRPr="00B63B89" w:rsidRDefault="00FA23FD" w:rsidP="00FA23FD">
      <w:pPr>
        <w:rPr>
          <w:i/>
          <w:iCs/>
        </w:rPr>
      </w:pPr>
      <w:r w:rsidRPr="00B63B89">
        <w:rPr>
          <w:i/>
          <w:iCs/>
        </w:rPr>
        <w:t xml:space="preserve">Mitchell, G. (2023). Shared Parental Leave: Can Transferable Maternity Leave Ever Encourage Fathers to Care? Industrial Law Journal (London), 52(1), 149–178. </w:t>
      </w:r>
      <w:hyperlink r:id="rId55" w:history="1">
        <w:r w:rsidRPr="00B63B89">
          <w:rPr>
            <w:rStyle w:val="Hyperlink"/>
            <w:i/>
            <w:iCs/>
          </w:rPr>
          <w:t>https://doi.org/10.1093/indlaw/dwac015</w:t>
        </w:r>
      </w:hyperlink>
      <w:r>
        <w:rPr>
          <w:i/>
          <w:iCs/>
        </w:rPr>
        <w:t xml:space="preserve"> </w:t>
      </w:r>
    </w:p>
    <w:p w14:paraId="497AA293" w14:textId="77777777" w:rsidR="00FA23FD" w:rsidRPr="00AA5794" w:rsidRDefault="00FA23FD" w:rsidP="00FA23FD">
      <w:pPr>
        <w:rPr>
          <w:i/>
          <w:iCs/>
        </w:rPr>
      </w:pPr>
      <w:proofErr w:type="spellStart"/>
      <w:r w:rsidRPr="00AA5794">
        <w:rPr>
          <w:i/>
          <w:iCs/>
        </w:rPr>
        <w:lastRenderedPageBreak/>
        <w:t>Nairns</w:t>
      </w:r>
      <w:proofErr w:type="spellEnd"/>
      <w:r w:rsidRPr="00AA5794">
        <w:rPr>
          <w:i/>
          <w:iCs/>
        </w:rPr>
        <w:t>, J. (2011). Employment law for business students (4th ed.). Longman.</w:t>
      </w:r>
    </w:p>
    <w:p w14:paraId="00BBB194" w14:textId="77777777" w:rsidR="00FA23FD" w:rsidRDefault="00FA23FD" w:rsidP="00FA23FD">
      <w:pPr>
        <w:rPr>
          <w:i/>
          <w:iCs/>
        </w:rPr>
      </w:pPr>
      <w:r w:rsidRPr="008E2F2D">
        <w:rPr>
          <w:i/>
          <w:iCs/>
        </w:rPr>
        <w:t xml:space="preserve">National Education Union. (2024). Shared parental leave and pay | National Education Union. [online] Available at: </w:t>
      </w:r>
      <w:hyperlink r:id="rId56" w:history="1">
        <w:r w:rsidRPr="008E2F2D">
          <w:rPr>
            <w:rStyle w:val="Hyperlink"/>
            <w:i/>
            <w:iCs/>
          </w:rPr>
          <w:t>https://neu.org.uk/advice/your-rights-work/family-rights/shared-parental-leave-and-pay</w:t>
        </w:r>
      </w:hyperlink>
      <w:r w:rsidRPr="008E2F2D">
        <w:rPr>
          <w:i/>
          <w:iCs/>
        </w:rPr>
        <w:t>.</w:t>
      </w:r>
      <w:r>
        <w:rPr>
          <w:i/>
          <w:iCs/>
        </w:rPr>
        <w:t xml:space="preserve"> [Accessed: 10</w:t>
      </w:r>
      <w:r w:rsidRPr="008E2F2D">
        <w:rPr>
          <w:i/>
          <w:iCs/>
          <w:vertAlign w:val="superscript"/>
        </w:rPr>
        <w:t>th</w:t>
      </w:r>
      <w:r>
        <w:rPr>
          <w:i/>
          <w:iCs/>
        </w:rPr>
        <w:t xml:space="preserve"> March 2025]</w:t>
      </w:r>
    </w:p>
    <w:p w14:paraId="3B983BE1" w14:textId="77777777" w:rsidR="00FA23FD" w:rsidRDefault="00FA23FD" w:rsidP="00FA23FD">
      <w:pPr>
        <w:rPr>
          <w:i/>
          <w:iCs/>
        </w:rPr>
      </w:pPr>
      <w:r w:rsidRPr="008E2F2D">
        <w:rPr>
          <w:i/>
          <w:iCs/>
        </w:rPr>
        <w:t xml:space="preserve">Ndzi, E. (2017). Shared parental leave: awareness is key. International Journal of Law and Management, 59(6), 1331–1336. </w:t>
      </w:r>
      <w:hyperlink r:id="rId57" w:history="1">
        <w:r w:rsidRPr="008E2F2D">
          <w:rPr>
            <w:rStyle w:val="Hyperlink"/>
            <w:i/>
            <w:iCs/>
          </w:rPr>
          <w:t>https://doi.org/10.1108/IJLMA-07-2017-0160</w:t>
        </w:r>
      </w:hyperlink>
      <w:r>
        <w:rPr>
          <w:i/>
          <w:iCs/>
        </w:rPr>
        <w:t xml:space="preserve"> </w:t>
      </w:r>
    </w:p>
    <w:p w14:paraId="5A3DFAA8" w14:textId="77777777" w:rsidR="00FA23FD" w:rsidRPr="00632F4E" w:rsidRDefault="00FA23FD" w:rsidP="00FA23FD">
      <w:pPr>
        <w:rPr>
          <w:i/>
          <w:iCs/>
        </w:rPr>
      </w:pPr>
      <w:r w:rsidRPr="00632F4E">
        <w:rPr>
          <w:i/>
          <w:iCs/>
        </w:rPr>
        <w:t>Newman, D. (2016). Perspective: Flexible working: balancing workforce working-pattern requests. Employers’ Law, 10-.</w:t>
      </w:r>
      <w:r>
        <w:rPr>
          <w:i/>
          <w:iCs/>
        </w:rPr>
        <w:t xml:space="preserve"> </w:t>
      </w:r>
    </w:p>
    <w:p w14:paraId="16C5F51F" w14:textId="77777777" w:rsidR="00FA23FD" w:rsidRPr="00E3392C" w:rsidRDefault="00FA23FD" w:rsidP="00FA23FD">
      <w:r w:rsidRPr="006E1449">
        <w:t>Neyz v. Secretary of State for Employment (2012) Case C-415/10, European Court of Justice. Available at:</w:t>
      </w:r>
      <w:r>
        <w:t xml:space="preserve"> </w:t>
      </w:r>
      <w:hyperlink r:id="rId58" w:history="1">
        <w:r w:rsidRPr="008144CD">
          <w:rPr>
            <w:rStyle w:val="Hyperlink"/>
          </w:rPr>
          <w:t>https://curia.europa.eu/juris/document/document.jsf?text=&amp;docid=124504&amp;pageIndex=0&amp;doclang=EN&amp;mode=req&amp;dir=&amp;occ=first&amp;part=1</w:t>
        </w:r>
      </w:hyperlink>
      <w:r>
        <w:t xml:space="preserve"> </w:t>
      </w:r>
      <w:r w:rsidRPr="006E1449">
        <w:t>(Accessed: 3 March 2025).</w:t>
      </w:r>
    </w:p>
    <w:p w14:paraId="435963EE" w14:textId="77777777" w:rsidR="00FA23FD" w:rsidRPr="00257BE1" w:rsidRDefault="00FA23FD" w:rsidP="00FA23FD">
      <w:pPr>
        <w:rPr>
          <w:i/>
          <w:iCs/>
        </w:rPr>
      </w:pPr>
      <w:bookmarkStart w:id="3" w:name="_Hlk192276922"/>
      <w:r w:rsidRPr="00257BE1">
        <w:rPr>
          <w:i/>
          <w:iCs/>
        </w:rPr>
        <w:t>Nguyen</w:t>
      </w:r>
      <w:bookmarkEnd w:id="3"/>
      <w:r w:rsidRPr="00257BE1">
        <w:rPr>
          <w:i/>
          <w:iCs/>
        </w:rPr>
        <w:t xml:space="preserve">, H., Parker, B. R., &amp; Simpson, S. S. (2022). Equal Pay for Equal Work? Considering the Gender Gap in Illegal Pay. Journal of Quantitative Criminology, 38(2), 425–458. </w:t>
      </w:r>
      <w:hyperlink r:id="rId59" w:history="1">
        <w:r w:rsidRPr="00257BE1">
          <w:rPr>
            <w:rStyle w:val="Hyperlink"/>
            <w:i/>
            <w:iCs/>
          </w:rPr>
          <w:t>https://doi.org/10.1007/s10940-021-09498-6</w:t>
        </w:r>
      </w:hyperlink>
      <w:r>
        <w:rPr>
          <w:i/>
          <w:iCs/>
        </w:rPr>
        <w:t xml:space="preserve"> </w:t>
      </w:r>
    </w:p>
    <w:p w14:paraId="575B67BE" w14:textId="77777777" w:rsidR="00FA23FD" w:rsidRDefault="00FA23FD" w:rsidP="00FA23FD">
      <w:pPr>
        <w:rPr>
          <w:i/>
          <w:iCs/>
        </w:rPr>
      </w:pPr>
      <w:r w:rsidRPr="00371514">
        <w:rPr>
          <w:i/>
          <w:iCs/>
        </w:rPr>
        <w:t>NHS Leeds v Larner [2012] UKEAT/0391/11/DA</w:t>
      </w:r>
      <w:r>
        <w:rPr>
          <w:i/>
          <w:iCs/>
        </w:rPr>
        <w:t xml:space="preserve"> </w:t>
      </w:r>
      <w:r w:rsidRPr="00371514">
        <w:rPr>
          <w:i/>
          <w:iCs/>
        </w:rPr>
        <w:t xml:space="preserve">Employment Available at: </w:t>
      </w:r>
      <w:hyperlink r:id="rId60" w:history="1">
        <w:r w:rsidRPr="008144CD">
          <w:rPr>
            <w:rStyle w:val="Hyperlink"/>
            <w:i/>
            <w:iCs/>
          </w:rPr>
          <w:t>https://employmentcasesupdate.co.uk/content/nhs-leeds-v-larner-2012-ewca-civ-1034.6bb8dd8300cb4777af65c8cec3878760.htm</w:t>
        </w:r>
      </w:hyperlink>
      <w:r w:rsidRPr="00371514">
        <w:rPr>
          <w:i/>
          <w:iCs/>
        </w:rPr>
        <w:t>.</w:t>
      </w:r>
      <w:r>
        <w:rPr>
          <w:i/>
          <w:iCs/>
        </w:rPr>
        <w:t xml:space="preserve"> [Accessed 25</w:t>
      </w:r>
      <w:r w:rsidRPr="00E3392C">
        <w:rPr>
          <w:i/>
          <w:iCs/>
          <w:vertAlign w:val="superscript"/>
        </w:rPr>
        <w:t>th</w:t>
      </w:r>
      <w:r>
        <w:rPr>
          <w:i/>
          <w:iCs/>
        </w:rPr>
        <w:t xml:space="preserve"> February 2025]</w:t>
      </w:r>
    </w:p>
    <w:p w14:paraId="68A7CC65" w14:textId="77777777" w:rsidR="00FA23FD" w:rsidRPr="003801D5" w:rsidRDefault="00FA23FD" w:rsidP="00FA23FD">
      <w:pPr>
        <w:rPr>
          <w:i/>
          <w:iCs/>
        </w:rPr>
      </w:pPr>
      <w:r w:rsidRPr="003801D5">
        <w:rPr>
          <w:i/>
          <w:iCs/>
        </w:rPr>
        <w:t>Nicholls, V. (2008). TUPE or not TUPE. Works Management, 61(1), 9-.</w:t>
      </w:r>
    </w:p>
    <w:p w14:paraId="08593FDF" w14:textId="77777777" w:rsidR="00FA23FD" w:rsidRPr="003801D5" w:rsidRDefault="00FA23FD" w:rsidP="00FA23FD">
      <w:pPr>
        <w:rPr>
          <w:i/>
          <w:iCs/>
        </w:rPr>
      </w:pPr>
      <w:r w:rsidRPr="003801D5">
        <w:rPr>
          <w:i/>
          <w:iCs/>
        </w:rPr>
        <w:t>O’Neill, L., &amp; Faulkner, D. (2015). Dismissals under TUPE. Employers’ Law, 18-.</w:t>
      </w:r>
      <w:r>
        <w:rPr>
          <w:i/>
          <w:iCs/>
        </w:rPr>
        <w:t xml:space="preserve"> </w:t>
      </w:r>
    </w:p>
    <w:p w14:paraId="62F4072E" w14:textId="77777777" w:rsidR="00FA23FD" w:rsidRDefault="00FA23FD" w:rsidP="00FA23FD">
      <w:pPr>
        <w:rPr>
          <w:i/>
          <w:iCs/>
        </w:rPr>
      </w:pPr>
      <w:r w:rsidRPr="00840F50">
        <w:rPr>
          <w:i/>
          <w:iCs/>
        </w:rPr>
        <w:t xml:space="preserve">Oliver, H. (2004). Sexual Orientation Discrimination: Perceptions, Definitions and Genuine Occupational Requirements. Industrial Law Journal (London), 33(1), 1–21. </w:t>
      </w:r>
      <w:hyperlink r:id="rId61" w:history="1">
        <w:r w:rsidRPr="00840F50">
          <w:rPr>
            <w:rStyle w:val="Hyperlink"/>
            <w:i/>
            <w:iCs/>
          </w:rPr>
          <w:t>https://doi.org/10.1093/ilj/33.1.1</w:t>
        </w:r>
      </w:hyperlink>
      <w:r>
        <w:rPr>
          <w:i/>
          <w:iCs/>
        </w:rPr>
        <w:t xml:space="preserve"> </w:t>
      </w:r>
    </w:p>
    <w:p w14:paraId="46C46041" w14:textId="77777777" w:rsidR="00FA23FD" w:rsidRPr="00840F50" w:rsidRDefault="00FA23FD" w:rsidP="00FA23FD">
      <w:pPr>
        <w:rPr>
          <w:i/>
          <w:iCs/>
        </w:rPr>
      </w:pPr>
      <w:r w:rsidRPr="007E5ECD">
        <w:rPr>
          <w:i/>
          <w:iCs/>
        </w:rPr>
        <w:t xml:space="preserve">P v. S and Cornwall County Council (1996). European Court of Justice, Case C-13/94. Available at: </w:t>
      </w:r>
      <w:hyperlink r:id="rId62" w:tgtFrame="_new" w:history="1">
        <w:r w:rsidRPr="007E5ECD">
          <w:rPr>
            <w:rStyle w:val="Hyperlink"/>
            <w:i/>
            <w:iCs/>
          </w:rPr>
          <w:t>https://eur-lex.europa.eu/legal-content/EN/TXT/?uri=CELEX%3A61994CJ0013</w:t>
        </w:r>
      </w:hyperlink>
      <w:r w:rsidRPr="007E5ECD">
        <w:rPr>
          <w:i/>
          <w:iCs/>
        </w:rPr>
        <w:t xml:space="preserve"> [Accessed 5 March 2025].</w:t>
      </w:r>
    </w:p>
    <w:p w14:paraId="76AD70B5" w14:textId="77777777" w:rsidR="00FA23FD" w:rsidRPr="006B4649" w:rsidRDefault="00FA23FD" w:rsidP="00FA23FD">
      <w:pPr>
        <w:rPr>
          <w:i/>
          <w:iCs/>
        </w:rPr>
      </w:pPr>
      <w:r w:rsidRPr="006B4649">
        <w:rPr>
          <w:i/>
          <w:iCs/>
        </w:rPr>
        <w:t>Peter Cane, &amp; Joanne Conaghan. (2008). constructive dismissal. In The New Oxford Companion to Law (1 ed.). Oxford University Press.</w:t>
      </w:r>
    </w:p>
    <w:p w14:paraId="76C9BA73" w14:textId="77777777" w:rsidR="00FA23FD" w:rsidRDefault="00FA23FD" w:rsidP="00FA23FD">
      <w:pPr>
        <w:rPr>
          <w:i/>
          <w:iCs/>
        </w:rPr>
      </w:pPr>
      <w:r w:rsidRPr="006B3A96">
        <w:rPr>
          <w:i/>
          <w:iCs/>
        </w:rPr>
        <w:t>Pitt, G. (2011). Are Occupational Requirements Genuinely Necessary? Contemporary Issues in Law, 11(1), 1–18.</w:t>
      </w:r>
      <w:r>
        <w:rPr>
          <w:i/>
          <w:iCs/>
        </w:rPr>
        <w:t xml:space="preserve"> </w:t>
      </w:r>
    </w:p>
    <w:p w14:paraId="3402C0CB" w14:textId="77777777" w:rsidR="00FA23FD" w:rsidRPr="00BE5F28" w:rsidRDefault="00FA23FD" w:rsidP="00FA23FD">
      <w:pPr>
        <w:rPr>
          <w:i/>
          <w:iCs/>
        </w:rPr>
      </w:pPr>
      <w:r w:rsidRPr="00BE5F28">
        <w:rPr>
          <w:i/>
          <w:iCs/>
        </w:rPr>
        <w:t xml:space="preserve">Pitts, C. (2024). Coached by ContentKeeper. [online] Thehrconsultants.co.uk. Available at: </w:t>
      </w:r>
      <w:hyperlink r:id="rId63" w:history="1">
        <w:r w:rsidRPr="00BE5F28">
          <w:rPr>
            <w:rStyle w:val="Hyperlink"/>
            <w:i/>
            <w:iCs/>
          </w:rPr>
          <w:t>https://www.thehrconsultants.co.uk/what-is-employment-law-why-is-it-important/</w:t>
        </w:r>
      </w:hyperlink>
      <w:r w:rsidRPr="00BE5F28">
        <w:rPr>
          <w:i/>
          <w:iCs/>
        </w:rPr>
        <w:t xml:space="preserve">. </w:t>
      </w:r>
      <w:r>
        <w:rPr>
          <w:i/>
          <w:iCs/>
        </w:rPr>
        <w:t>[Accessed 20</w:t>
      </w:r>
      <w:r w:rsidRPr="00E3392C">
        <w:rPr>
          <w:i/>
          <w:iCs/>
          <w:vertAlign w:val="superscript"/>
        </w:rPr>
        <w:t>th</w:t>
      </w:r>
      <w:r>
        <w:rPr>
          <w:i/>
          <w:iCs/>
        </w:rPr>
        <w:t xml:space="preserve"> February 2025]</w:t>
      </w:r>
    </w:p>
    <w:p w14:paraId="68AAFEB1" w14:textId="77777777" w:rsidR="00FA23FD" w:rsidRPr="006E11F7" w:rsidRDefault="00FA23FD" w:rsidP="00FA23FD">
      <w:pPr>
        <w:rPr>
          <w:i/>
          <w:iCs/>
        </w:rPr>
      </w:pPr>
      <w:r w:rsidRPr="006E11F7">
        <w:rPr>
          <w:i/>
          <w:iCs/>
        </w:rPr>
        <w:t>Polkey v AE Dayton Services Ltd [1987] IRLR 503</w:t>
      </w:r>
      <w:r>
        <w:rPr>
          <w:i/>
          <w:iCs/>
        </w:rPr>
        <w:t xml:space="preserve"> </w:t>
      </w:r>
      <w:r w:rsidRPr="006E11F7">
        <w:rPr>
          <w:i/>
          <w:iCs/>
        </w:rPr>
        <w:t xml:space="preserve">Available at: </w:t>
      </w:r>
      <w:hyperlink r:id="rId64" w:history="1">
        <w:r w:rsidRPr="008144CD">
          <w:rPr>
            <w:rStyle w:val="Hyperlink"/>
            <w:i/>
            <w:iCs/>
          </w:rPr>
          <w:t>https://uk.practicallaw.thomsonreuters.com/7-201-7057?comp=pluk&amp;transitionType=Default&amp;contextData=(sc.Default)&amp;firstPage=true&amp;OWSessionId=3adffb1113e549bf82e382e9a293c5e4&amp;skipAnonymous=true</w:t>
        </w:r>
      </w:hyperlink>
      <w:r>
        <w:rPr>
          <w:i/>
          <w:iCs/>
        </w:rPr>
        <w:t xml:space="preserve"> </w:t>
      </w:r>
      <w:r w:rsidRPr="006E11F7">
        <w:rPr>
          <w:i/>
          <w:iCs/>
        </w:rPr>
        <w:t xml:space="preserve"> [Accessed 2 Mar. 2025].</w:t>
      </w:r>
      <w:r>
        <w:rPr>
          <w:i/>
          <w:iCs/>
        </w:rPr>
        <w:t xml:space="preserve"> </w:t>
      </w:r>
    </w:p>
    <w:p w14:paraId="02F9A911" w14:textId="77777777" w:rsidR="00FA23FD" w:rsidRDefault="00FA23FD" w:rsidP="00FA23FD">
      <w:pPr>
        <w:rPr>
          <w:i/>
          <w:iCs/>
        </w:rPr>
      </w:pPr>
      <w:r w:rsidRPr="003801D5">
        <w:rPr>
          <w:i/>
          <w:iCs/>
        </w:rPr>
        <w:t xml:space="preserve">Pollard, D. (1996). Insolvent Companies and TUPE. Industrial Law Journal (London), 25(3), 191–210. </w:t>
      </w:r>
      <w:hyperlink r:id="rId65" w:history="1">
        <w:r w:rsidRPr="003801D5">
          <w:rPr>
            <w:rStyle w:val="Hyperlink"/>
            <w:i/>
            <w:iCs/>
          </w:rPr>
          <w:t>https://doi.org/10.1093/ilj/25.3.191</w:t>
        </w:r>
      </w:hyperlink>
      <w:r>
        <w:rPr>
          <w:i/>
          <w:iCs/>
        </w:rPr>
        <w:t xml:space="preserve"> </w:t>
      </w:r>
    </w:p>
    <w:p w14:paraId="3ED79FB5" w14:textId="77777777" w:rsidR="00FA23FD" w:rsidRPr="003104AD" w:rsidRDefault="00FA23FD" w:rsidP="00FA23FD">
      <w:pPr>
        <w:rPr>
          <w:i/>
          <w:iCs/>
        </w:rPr>
      </w:pPr>
      <w:r w:rsidRPr="003104AD">
        <w:rPr>
          <w:i/>
          <w:iCs/>
        </w:rPr>
        <w:lastRenderedPageBreak/>
        <w:t>Practice Briefing: Dealing with flexible working requests. (2015). GP, 38-.</w:t>
      </w:r>
    </w:p>
    <w:p w14:paraId="7116B4E0" w14:textId="77777777" w:rsidR="00FA23FD" w:rsidRDefault="00FA23FD" w:rsidP="00FA23FD">
      <w:pPr>
        <w:rPr>
          <w:i/>
          <w:iCs/>
        </w:rPr>
      </w:pPr>
      <w:r w:rsidRPr="0087723E">
        <w:rPr>
          <w:i/>
          <w:iCs/>
        </w:rPr>
        <w:t>PRACTICE DILEMMAS: How should I deal with a flexible working request? (2009). In Pulse (pp. 46-). UBM Information Ltd.</w:t>
      </w:r>
      <w:r>
        <w:rPr>
          <w:i/>
          <w:iCs/>
        </w:rPr>
        <w:t xml:space="preserve"> </w:t>
      </w:r>
    </w:p>
    <w:p w14:paraId="0F25E938" w14:textId="77777777" w:rsidR="00FA23FD" w:rsidRPr="00BE5F28" w:rsidRDefault="00FA23FD" w:rsidP="00FA23FD">
      <w:pPr>
        <w:rPr>
          <w:i/>
          <w:iCs/>
        </w:rPr>
      </w:pPr>
      <w:r w:rsidRPr="00BE0F8E">
        <w:rPr>
          <w:i/>
          <w:iCs/>
        </w:rPr>
        <w:t>‌</w:t>
      </w:r>
      <w:r w:rsidRPr="00BE5F28">
        <w:rPr>
          <w:i/>
          <w:iCs/>
        </w:rPr>
        <w:t xml:space="preserve">R. (on the application of British Telecommunications Plc) v Secretary of State for Business, Innovation and Skills [2012] EWCA </w:t>
      </w:r>
      <w:proofErr w:type="spellStart"/>
      <w:r w:rsidRPr="00BE5F28">
        <w:rPr>
          <w:i/>
          <w:iCs/>
        </w:rPr>
        <w:t>Civ</w:t>
      </w:r>
      <w:proofErr w:type="spellEnd"/>
      <w:r w:rsidRPr="00BE5F28">
        <w:rPr>
          <w:i/>
          <w:iCs/>
        </w:rPr>
        <w:t xml:space="preserve"> 232 (06 March 2012) Available at: </w:t>
      </w:r>
      <w:hyperlink r:id="rId66" w:history="1">
        <w:r w:rsidRPr="00BE5F28">
          <w:rPr>
            <w:rStyle w:val="Hyperlink"/>
            <w:i/>
            <w:iCs/>
          </w:rPr>
          <w:t>R. (on the application of British Telecommunications Plc) v Secretary of State for Business, Innovation and Skills [2012] EWCA Civ 232 (06 March 2012) | Practical Law</w:t>
        </w:r>
      </w:hyperlink>
      <w:r w:rsidRPr="00BE5F28">
        <w:rPr>
          <w:i/>
          <w:iCs/>
        </w:rPr>
        <w:t xml:space="preserve"> &amp; Bailii.org. (2025). British Telecommunications </w:t>
      </w:r>
      <w:proofErr w:type="gramStart"/>
      <w:r w:rsidRPr="00BE5F28">
        <w:rPr>
          <w:i/>
          <w:iCs/>
        </w:rPr>
        <w:t>Plc ,</w:t>
      </w:r>
      <w:proofErr w:type="gramEnd"/>
      <w:r w:rsidRPr="00BE5F28">
        <w:rPr>
          <w:i/>
          <w:iCs/>
        </w:rPr>
        <w:t xml:space="preserve"> R (on the application of) v Secretary of State for Culture, Olympics, Media and Sport [2012] EWCA </w:t>
      </w:r>
      <w:proofErr w:type="spellStart"/>
      <w:r w:rsidRPr="00BE5F28">
        <w:rPr>
          <w:i/>
          <w:iCs/>
        </w:rPr>
        <w:t>Civ</w:t>
      </w:r>
      <w:proofErr w:type="spellEnd"/>
      <w:r w:rsidRPr="00BE5F28">
        <w:rPr>
          <w:i/>
          <w:iCs/>
        </w:rPr>
        <w:t xml:space="preserve"> 232 (06 March 2012). [online] Available at: </w:t>
      </w:r>
      <w:hyperlink r:id="rId67" w:history="1">
        <w:r w:rsidRPr="00BE5F28">
          <w:rPr>
            <w:rStyle w:val="Hyperlink"/>
            <w:i/>
            <w:iCs/>
          </w:rPr>
          <w:t>https://www.bailii.org/ew/cases/EWCA/Civ/2012/232.html</w:t>
        </w:r>
      </w:hyperlink>
      <w:r w:rsidRPr="00BE5F28">
        <w:rPr>
          <w:i/>
          <w:iCs/>
        </w:rPr>
        <w:t xml:space="preserve"> [Accessed 2 Mar. 2025]. </w:t>
      </w:r>
    </w:p>
    <w:p w14:paraId="3C70B5ED" w14:textId="77777777" w:rsidR="00FA23FD" w:rsidRPr="00757A71" w:rsidRDefault="00FA23FD" w:rsidP="00FA23FD">
      <w:pPr>
        <w:rPr>
          <w:i/>
          <w:iCs/>
        </w:rPr>
      </w:pPr>
      <w:r w:rsidRPr="00757A71">
        <w:rPr>
          <w:i/>
          <w:iCs/>
        </w:rPr>
        <w:t xml:space="preserve">Raile, A. N. W., Austin, C. G., &amp; Bratton, V. K. (2023). Can We Talk About Pay Discrimination/Equal Pay/Strategic Compensation Practices? An Exploratory Study on Framing Gender Pay Inequity. Business and Politics, 25(1), 17–33. </w:t>
      </w:r>
      <w:hyperlink r:id="rId68" w:history="1">
        <w:r w:rsidRPr="00757A71">
          <w:rPr>
            <w:rStyle w:val="Hyperlink"/>
            <w:i/>
            <w:iCs/>
          </w:rPr>
          <w:t>https://doi.org/10.1017/bap.2022.21</w:t>
        </w:r>
      </w:hyperlink>
      <w:r>
        <w:rPr>
          <w:i/>
          <w:iCs/>
        </w:rPr>
        <w:t xml:space="preserve"> </w:t>
      </w:r>
    </w:p>
    <w:p w14:paraId="4B0021DC" w14:textId="77777777" w:rsidR="00FA23FD" w:rsidRDefault="00FA23FD" w:rsidP="00FA23FD">
      <w:pPr>
        <w:rPr>
          <w:i/>
          <w:iCs/>
        </w:rPr>
      </w:pPr>
      <w:r w:rsidRPr="00366BA9">
        <w:rPr>
          <w:i/>
          <w:iCs/>
        </w:rPr>
        <w:t xml:space="preserve">Reynold, F., &amp; Palmer, A. (2005). Proving Constructive Dismissal: Should One Be Concerned </w:t>
      </w:r>
      <w:proofErr w:type="gramStart"/>
      <w:r w:rsidRPr="00366BA9">
        <w:rPr>
          <w:i/>
          <w:iCs/>
        </w:rPr>
        <w:t>With</w:t>
      </w:r>
      <w:proofErr w:type="gramEnd"/>
      <w:r w:rsidRPr="00366BA9">
        <w:rPr>
          <w:i/>
          <w:iCs/>
        </w:rPr>
        <w:t xml:space="preserve"> What Was in the Employer’s Mind? Industrial Law Journal (London), 34(1), 96–102. </w:t>
      </w:r>
      <w:hyperlink r:id="rId69" w:history="1">
        <w:r w:rsidRPr="00366BA9">
          <w:rPr>
            <w:rStyle w:val="Hyperlink"/>
            <w:i/>
            <w:iCs/>
          </w:rPr>
          <w:t>https://doi.org/10.1093/ilj/34.1.96</w:t>
        </w:r>
      </w:hyperlink>
      <w:r>
        <w:rPr>
          <w:i/>
          <w:iCs/>
        </w:rPr>
        <w:t xml:space="preserve"> </w:t>
      </w:r>
    </w:p>
    <w:p w14:paraId="5F1FC9D0" w14:textId="77777777" w:rsidR="00FA23FD" w:rsidRDefault="00FA23FD" w:rsidP="00FA23FD">
      <w:pPr>
        <w:rPr>
          <w:i/>
          <w:iCs/>
        </w:rPr>
      </w:pPr>
      <w:r w:rsidRPr="006A765A">
        <w:rPr>
          <w:i/>
          <w:iCs/>
        </w:rPr>
        <w:t xml:space="preserve">Robinson-Steele v. Royal Bank of Scotland (2006) EWCA </w:t>
      </w:r>
      <w:proofErr w:type="spellStart"/>
      <w:r w:rsidRPr="006A765A">
        <w:rPr>
          <w:i/>
          <w:iCs/>
        </w:rPr>
        <w:t>Civ</w:t>
      </w:r>
      <w:proofErr w:type="spellEnd"/>
      <w:r w:rsidRPr="006A765A">
        <w:rPr>
          <w:i/>
          <w:iCs/>
        </w:rPr>
        <w:t xml:space="preserve"> 228.</w:t>
      </w:r>
      <w:r w:rsidRPr="006A765A">
        <w:rPr>
          <w:rFonts w:ascii="Calibri" w:hAnsi="Calibri" w:cs="Calibri"/>
          <w:color w:val="2C3E50"/>
          <w:sz w:val="27"/>
          <w:szCs w:val="27"/>
          <w:shd w:val="clear" w:color="auto" w:fill="FEF1C4"/>
        </w:rPr>
        <w:t xml:space="preserve"> </w:t>
      </w:r>
      <w:r w:rsidRPr="006A765A">
        <w:rPr>
          <w:i/>
          <w:iCs/>
        </w:rPr>
        <w:t xml:space="preserve">[online] Available at: </w:t>
      </w:r>
      <w:hyperlink r:id="rId70" w:history="1">
        <w:r w:rsidRPr="008144CD">
          <w:rPr>
            <w:rStyle w:val="Hyperlink"/>
            <w:i/>
            <w:iCs/>
          </w:rPr>
          <w:t>https://www.bailii.org/eu/cases/EUECJ/2006/C13104.html</w:t>
        </w:r>
      </w:hyperlink>
      <w:r w:rsidRPr="006A765A">
        <w:rPr>
          <w:i/>
          <w:iCs/>
        </w:rPr>
        <w:t>.</w:t>
      </w:r>
      <w:r>
        <w:rPr>
          <w:i/>
          <w:iCs/>
        </w:rPr>
        <w:t xml:space="preserve">  [Accessed 4</w:t>
      </w:r>
      <w:r w:rsidRPr="006A765A">
        <w:rPr>
          <w:i/>
          <w:iCs/>
          <w:vertAlign w:val="superscript"/>
        </w:rPr>
        <w:t>th</w:t>
      </w:r>
      <w:r>
        <w:rPr>
          <w:i/>
          <w:iCs/>
        </w:rPr>
        <w:t xml:space="preserve"> March 2025]</w:t>
      </w:r>
    </w:p>
    <w:p w14:paraId="618E290C" w14:textId="77777777" w:rsidR="00FA23FD" w:rsidRDefault="00FA23FD" w:rsidP="00FA23FD">
      <w:pPr>
        <w:rPr>
          <w:i/>
          <w:iCs/>
        </w:rPr>
      </w:pPr>
      <w:r w:rsidRPr="00840AED">
        <w:rPr>
          <w:i/>
          <w:iCs/>
        </w:rPr>
        <w:t xml:space="preserve">Royal Mail Group Ltd v </w:t>
      </w:r>
      <w:proofErr w:type="spellStart"/>
      <w:r w:rsidRPr="00840AED">
        <w:rPr>
          <w:i/>
          <w:iCs/>
        </w:rPr>
        <w:t>Jhuti</w:t>
      </w:r>
      <w:proofErr w:type="spellEnd"/>
      <w:r w:rsidRPr="00840AED">
        <w:rPr>
          <w:i/>
          <w:iCs/>
        </w:rPr>
        <w:t xml:space="preserve"> [2019] UKSC 55, UK Supreme Court</w:t>
      </w:r>
      <w:r>
        <w:rPr>
          <w:i/>
          <w:iCs/>
        </w:rPr>
        <w:t xml:space="preserve"> </w:t>
      </w:r>
      <w:r w:rsidRPr="00840AED">
        <w:rPr>
          <w:i/>
          <w:iCs/>
        </w:rPr>
        <w:t xml:space="preserve">Available at: </w:t>
      </w:r>
      <w:hyperlink r:id="rId71" w:history="1">
        <w:r w:rsidRPr="008144CD">
          <w:rPr>
            <w:rStyle w:val="Hyperlink"/>
            <w:i/>
            <w:iCs/>
          </w:rPr>
          <w:t>https://assets.publishing.service.gov.uk/media/634e5243d3bf7f618c35e558/Ms_K_Jhuti__vs_Royal_Mail_Group_ltd.pdf</w:t>
        </w:r>
      </w:hyperlink>
      <w:r w:rsidRPr="00840AED">
        <w:rPr>
          <w:i/>
          <w:iCs/>
        </w:rPr>
        <w:t>.</w:t>
      </w:r>
      <w:r>
        <w:rPr>
          <w:i/>
          <w:iCs/>
        </w:rPr>
        <w:t xml:space="preserve"> [Accessed 25</w:t>
      </w:r>
      <w:r w:rsidRPr="00E3392C">
        <w:rPr>
          <w:i/>
          <w:iCs/>
          <w:vertAlign w:val="superscript"/>
        </w:rPr>
        <w:t>th</w:t>
      </w:r>
      <w:r>
        <w:rPr>
          <w:i/>
          <w:iCs/>
        </w:rPr>
        <w:t xml:space="preserve"> February 2025]</w:t>
      </w:r>
    </w:p>
    <w:p w14:paraId="25C98E33" w14:textId="77777777" w:rsidR="00FA23FD" w:rsidRDefault="00FA23FD" w:rsidP="00FA23FD">
      <w:pPr>
        <w:rPr>
          <w:i/>
          <w:iCs/>
        </w:rPr>
      </w:pPr>
      <w:r w:rsidRPr="00590928">
        <w:rPr>
          <w:i/>
          <w:iCs/>
        </w:rPr>
        <w:t xml:space="preserve">Rupp, D. E., &amp; Vodanovich, S. J. (Eds.). (2022). Employment </w:t>
      </w:r>
      <w:proofErr w:type="gramStart"/>
      <w:r w:rsidRPr="00590928">
        <w:rPr>
          <w:i/>
          <w:iCs/>
        </w:rPr>
        <w:t>discrimination :</w:t>
      </w:r>
      <w:proofErr w:type="gramEnd"/>
      <w:r w:rsidRPr="00590928">
        <w:rPr>
          <w:i/>
          <w:iCs/>
        </w:rPr>
        <w:t xml:space="preserve"> a concise review of the legal landscape. Oxford University Press.</w:t>
      </w:r>
      <w:r>
        <w:rPr>
          <w:i/>
          <w:iCs/>
        </w:rPr>
        <w:t xml:space="preserve"> </w:t>
      </w:r>
    </w:p>
    <w:p w14:paraId="4060F007" w14:textId="77777777" w:rsidR="00FA23FD" w:rsidRPr="00007F5B" w:rsidRDefault="00FA23FD" w:rsidP="00FA23FD">
      <w:pPr>
        <w:rPr>
          <w:i/>
          <w:iCs/>
        </w:rPr>
      </w:pPr>
      <w:bookmarkStart w:id="4" w:name="_Hlk191928511"/>
      <w:r w:rsidRPr="007D541C">
        <w:rPr>
          <w:i/>
          <w:iCs/>
        </w:rPr>
        <w:t>‌</w:t>
      </w:r>
      <w:r w:rsidRPr="00007F5B">
        <w:rPr>
          <w:i/>
          <w:iCs/>
        </w:rPr>
        <w:t xml:space="preserve">Shellaker, </w:t>
      </w:r>
      <w:bookmarkEnd w:id="4"/>
      <w:r w:rsidRPr="00007F5B">
        <w:rPr>
          <w:i/>
          <w:iCs/>
        </w:rPr>
        <w:t xml:space="preserve">M., Tong, S., &amp; Swallow, P. (2024). UK–EU law enforcement cooperation post-Brexit: A UK law enforcement practitioner perspective. Criminology &amp; Criminal Justice, 24(4), 841–861. </w:t>
      </w:r>
      <w:hyperlink r:id="rId72" w:history="1">
        <w:r w:rsidRPr="008144CD">
          <w:rPr>
            <w:rStyle w:val="Hyperlink"/>
            <w:i/>
            <w:iCs/>
          </w:rPr>
          <w:t>https://doi.org/10.1177/17488958231162520</w:t>
        </w:r>
      </w:hyperlink>
      <w:r>
        <w:rPr>
          <w:i/>
          <w:iCs/>
        </w:rPr>
        <w:t xml:space="preserve"> [Accessed 3</w:t>
      </w:r>
      <w:r w:rsidRPr="006A765A">
        <w:rPr>
          <w:i/>
          <w:iCs/>
          <w:vertAlign w:val="superscript"/>
        </w:rPr>
        <w:t>rd</w:t>
      </w:r>
      <w:r>
        <w:rPr>
          <w:i/>
          <w:iCs/>
        </w:rPr>
        <w:t xml:space="preserve"> March 2025]</w:t>
      </w:r>
    </w:p>
    <w:p w14:paraId="61E50A8B" w14:textId="77777777" w:rsidR="00FA23FD" w:rsidRDefault="00FA23FD" w:rsidP="00FA23FD">
      <w:pPr>
        <w:rPr>
          <w:i/>
          <w:iCs/>
        </w:rPr>
      </w:pPr>
      <w:r w:rsidRPr="007D541C">
        <w:rPr>
          <w:i/>
          <w:iCs/>
        </w:rPr>
        <w:t xml:space="preserve">The Law Society (2023). What is the European Court of Justice and why does it matter? [online] www.lawsociety.org.uk. Available at: </w:t>
      </w:r>
      <w:hyperlink r:id="rId73" w:history="1">
        <w:r w:rsidRPr="007D541C">
          <w:rPr>
            <w:rStyle w:val="Hyperlink"/>
            <w:i/>
            <w:iCs/>
          </w:rPr>
          <w:t>https://www.lawsociety.org.uk/topics/brexit/what-is-the-european-court-of-justice-and-why-does-it-matter</w:t>
        </w:r>
      </w:hyperlink>
      <w:r w:rsidRPr="007D541C">
        <w:rPr>
          <w:i/>
          <w:iCs/>
        </w:rPr>
        <w:t>.</w:t>
      </w:r>
      <w:r>
        <w:rPr>
          <w:i/>
          <w:iCs/>
        </w:rPr>
        <w:t xml:space="preserve"> [Accessed on 03</w:t>
      </w:r>
      <w:r w:rsidRPr="007D541C">
        <w:rPr>
          <w:i/>
          <w:iCs/>
          <w:vertAlign w:val="superscript"/>
        </w:rPr>
        <w:t>rd</w:t>
      </w:r>
      <w:r>
        <w:rPr>
          <w:i/>
          <w:iCs/>
        </w:rPr>
        <w:t xml:space="preserve"> March 2025]. </w:t>
      </w:r>
    </w:p>
    <w:p w14:paraId="2AD253B5" w14:textId="77777777" w:rsidR="00FA23FD" w:rsidRDefault="00FA23FD" w:rsidP="00FA23FD">
      <w:pPr>
        <w:rPr>
          <w:i/>
          <w:iCs/>
        </w:rPr>
      </w:pPr>
      <w:r w:rsidRPr="00DE1A2E">
        <w:rPr>
          <w:i/>
          <w:iCs/>
        </w:rPr>
        <w:t>‌</w:t>
      </w:r>
      <w:r w:rsidRPr="008659E7">
        <w:rPr>
          <w:i/>
          <w:iCs/>
        </w:rPr>
        <w:t xml:space="preserve">The Transfer of Undertakings (Protection of Employment) Regulations 2006. SI 2006/246. Available at: </w:t>
      </w:r>
      <w:hyperlink r:id="rId74" w:history="1">
        <w:r w:rsidRPr="00AF23C7">
          <w:rPr>
            <w:rStyle w:val="Hyperlink"/>
            <w:i/>
            <w:iCs/>
          </w:rPr>
          <w:t>https://www.legislation.gov.uk/uksi/2006/246/contents/made</w:t>
        </w:r>
      </w:hyperlink>
      <w:r>
        <w:rPr>
          <w:i/>
          <w:iCs/>
        </w:rPr>
        <w:t xml:space="preserve"> </w:t>
      </w:r>
      <w:r w:rsidRPr="008659E7">
        <w:rPr>
          <w:i/>
          <w:iCs/>
        </w:rPr>
        <w:t xml:space="preserve"> [Accessed 8 March 2025].</w:t>
      </w:r>
      <w:r>
        <w:rPr>
          <w:i/>
          <w:iCs/>
        </w:rPr>
        <w:t xml:space="preserve"> </w:t>
      </w:r>
    </w:p>
    <w:p w14:paraId="61E21F18" w14:textId="77777777" w:rsidR="00FA23FD" w:rsidRPr="003801D5" w:rsidRDefault="00FA23FD" w:rsidP="00FA23FD">
      <w:pPr>
        <w:rPr>
          <w:i/>
          <w:iCs/>
        </w:rPr>
      </w:pPr>
      <w:r w:rsidRPr="00E67E86">
        <w:rPr>
          <w:b/>
          <w:bCs/>
          <w:i/>
          <w:iCs/>
        </w:rPr>
        <w:t>The Working Time Regulations 1998</w:t>
      </w:r>
      <w:r w:rsidRPr="00E67E86">
        <w:rPr>
          <w:i/>
          <w:iCs/>
        </w:rPr>
        <w:t xml:space="preserve">. SI 1998/1833. Available at: </w:t>
      </w:r>
      <w:hyperlink r:id="rId75" w:history="1">
        <w:r w:rsidRPr="00AF23C7">
          <w:rPr>
            <w:rStyle w:val="Hyperlink"/>
            <w:i/>
            <w:iCs/>
          </w:rPr>
          <w:t>https://www.legislation.gov.uk/uksi/1998/1833/contents/made</w:t>
        </w:r>
      </w:hyperlink>
      <w:r>
        <w:rPr>
          <w:i/>
          <w:iCs/>
        </w:rPr>
        <w:t xml:space="preserve"> </w:t>
      </w:r>
      <w:r w:rsidRPr="00E67E86">
        <w:rPr>
          <w:i/>
          <w:iCs/>
        </w:rPr>
        <w:t>[Accessed 8 March 2025].</w:t>
      </w:r>
      <w:r>
        <w:rPr>
          <w:i/>
          <w:iCs/>
        </w:rPr>
        <w:t xml:space="preserve"> </w:t>
      </w:r>
    </w:p>
    <w:p w14:paraId="3ACFBB7A" w14:textId="77777777" w:rsidR="00FA23FD" w:rsidRDefault="00FA23FD" w:rsidP="00FA23FD">
      <w:pPr>
        <w:rPr>
          <w:i/>
          <w:iCs/>
        </w:rPr>
      </w:pPr>
      <w:r>
        <w:rPr>
          <w:i/>
          <w:iCs/>
        </w:rPr>
        <w:t xml:space="preserve">Thomson Reuters, Practical Law (2025) </w:t>
      </w:r>
      <w:r w:rsidRPr="00B32649">
        <w:rPr>
          <w:b/>
          <w:bCs/>
          <w:i/>
          <w:iCs/>
        </w:rPr>
        <w:t>Discrimination in employment: exceptions</w:t>
      </w:r>
      <w:r>
        <w:rPr>
          <w:b/>
          <w:bCs/>
          <w:i/>
          <w:iCs/>
        </w:rPr>
        <w:t xml:space="preserve"> </w:t>
      </w:r>
      <w:r w:rsidRPr="00B32649">
        <w:rPr>
          <w:b/>
          <w:bCs/>
          <w:i/>
          <w:iCs/>
        </w:rPr>
        <w:t>by Practical Law Employment</w:t>
      </w:r>
      <w:r>
        <w:rPr>
          <w:b/>
          <w:bCs/>
          <w:i/>
          <w:iCs/>
        </w:rPr>
        <w:t xml:space="preserve">. Available at: </w:t>
      </w:r>
      <w:hyperlink r:id="rId76" w:history="1">
        <w:r w:rsidRPr="00CE62D4">
          <w:rPr>
            <w:rStyle w:val="Hyperlink"/>
            <w:i/>
            <w:iCs/>
          </w:rPr>
          <w:t>https://uk.practicallaw.thomsonreuters.com/9-502-3493</w:t>
        </w:r>
      </w:hyperlink>
      <w:r>
        <w:rPr>
          <w:i/>
          <w:iCs/>
        </w:rPr>
        <w:t xml:space="preserve"> [Accessed 29th February 2025]</w:t>
      </w:r>
    </w:p>
    <w:p w14:paraId="4E581667" w14:textId="77777777" w:rsidR="00FA23FD" w:rsidRPr="0087723E" w:rsidRDefault="00FA23FD" w:rsidP="00FA23FD">
      <w:pPr>
        <w:rPr>
          <w:i/>
          <w:iCs/>
        </w:rPr>
      </w:pPr>
      <w:r w:rsidRPr="0087723E">
        <w:rPr>
          <w:i/>
          <w:iCs/>
        </w:rPr>
        <w:t>Towner, N. (2005). HOW TO REQUEST FLEXIBLE WORKING. In Community care (Haywards Heath, England) (Number 1564, pp. 49-). Mark Allen Group Ltd.</w:t>
      </w:r>
    </w:p>
    <w:p w14:paraId="24605A84" w14:textId="77777777" w:rsidR="00FA23FD" w:rsidRPr="00664E21" w:rsidRDefault="00FA23FD" w:rsidP="00FA23FD">
      <w:pPr>
        <w:rPr>
          <w:i/>
          <w:iCs/>
        </w:rPr>
      </w:pPr>
      <w:r w:rsidRPr="00664E21">
        <w:rPr>
          <w:i/>
          <w:iCs/>
        </w:rPr>
        <w:t>Tynan, R. (2008). Weekly dilemma TUPE and redundancies. Personnel Today, 167, 10-.</w:t>
      </w:r>
    </w:p>
    <w:p w14:paraId="1F7D3F6A" w14:textId="77777777" w:rsidR="00FA23FD" w:rsidRPr="007D541C" w:rsidRDefault="00FA23FD" w:rsidP="00FA23FD">
      <w:pPr>
        <w:rPr>
          <w:i/>
          <w:iCs/>
        </w:rPr>
      </w:pPr>
      <w:r w:rsidRPr="007D541C">
        <w:rPr>
          <w:b/>
          <w:bCs/>
          <w:i/>
          <w:iCs/>
        </w:rPr>
        <w:lastRenderedPageBreak/>
        <w:t>UK Government. (2018).</w:t>
      </w:r>
      <w:r w:rsidRPr="007D541C">
        <w:rPr>
          <w:i/>
          <w:iCs/>
        </w:rPr>
        <w:t xml:space="preserve"> European Union (Withdrawal) Act 2018. [online] Available at: </w:t>
      </w:r>
      <w:hyperlink r:id="rId77" w:history="1">
        <w:r w:rsidRPr="008144CD">
          <w:rPr>
            <w:rStyle w:val="Hyperlink"/>
            <w:i/>
            <w:iCs/>
          </w:rPr>
          <w:t>https://www.legislation.gov.uk/ukpga/2018/16/contents/enacted</w:t>
        </w:r>
      </w:hyperlink>
      <w:r>
        <w:rPr>
          <w:i/>
          <w:iCs/>
        </w:rPr>
        <w:t xml:space="preserve"> </w:t>
      </w:r>
      <w:r w:rsidRPr="007D541C">
        <w:rPr>
          <w:i/>
          <w:iCs/>
        </w:rPr>
        <w:t>[Accessed 3</w:t>
      </w:r>
      <w:r w:rsidRPr="006A765A">
        <w:rPr>
          <w:i/>
          <w:iCs/>
          <w:vertAlign w:val="superscript"/>
        </w:rPr>
        <w:t>rd</w:t>
      </w:r>
      <w:r w:rsidRPr="007D541C">
        <w:rPr>
          <w:i/>
          <w:iCs/>
        </w:rPr>
        <w:t xml:space="preserve"> March 2025].</w:t>
      </w:r>
    </w:p>
    <w:p w14:paraId="22F68799" w14:textId="77777777" w:rsidR="00FA23FD" w:rsidRDefault="00FA23FD" w:rsidP="00FA23FD">
      <w:pPr>
        <w:rPr>
          <w:i/>
          <w:iCs/>
        </w:rPr>
      </w:pPr>
      <w:r w:rsidRPr="00C13CBC">
        <w:rPr>
          <w:i/>
          <w:iCs/>
        </w:rPr>
        <w:t xml:space="preserve">UNISON (2019). UNISON. [online] UNISON National. Available at: </w:t>
      </w:r>
      <w:hyperlink r:id="rId78" w:history="1">
        <w:r w:rsidRPr="00C13CBC">
          <w:rPr>
            <w:rStyle w:val="Hyperlink"/>
            <w:i/>
            <w:iCs/>
          </w:rPr>
          <w:t>https://www.unison.org.uk/get-help/knowledge/pay/equal-pay/</w:t>
        </w:r>
      </w:hyperlink>
      <w:r w:rsidRPr="00C13CBC">
        <w:rPr>
          <w:i/>
          <w:iCs/>
        </w:rPr>
        <w:t>.</w:t>
      </w:r>
      <w:r>
        <w:rPr>
          <w:i/>
          <w:iCs/>
        </w:rPr>
        <w:t xml:space="preserve"> [Accessed: 7</w:t>
      </w:r>
      <w:r w:rsidRPr="00C13CBC">
        <w:rPr>
          <w:i/>
          <w:iCs/>
          <w:vertAlign w:val="superscript"/>
        </w:rPr>
        <w:t>th</w:t>
      </w:r>
      <w:r>
        <w:rPr>
          <w:i/>
          <w:iCs/>
        </w:rPr>
        <w:t xml:space="preserve"> March 2025]</w:t>
      </w:r>
    </w:p>
    <w:p w14:paraId="66BCB400" w14:textId="77777777" w:rsidR="00FA23FD" w:rsidRPr="00041863" w:rsidRDefault="00FA23FD" w:rsidP="00FA23FD">
      <w:pPr>
        <w:rPr>
          <w:i/>
          <w:iCs/>
        </w:rPr>
      </w:pPr>
      <w:bookmarkStart w:id="5" w:name="_Hlk192103684"/>
      <w:r w:rsidRPr="00041863">
        <w:rPr>
          <w:i/>
          <w:iCs/>
        </w:rPr>
        <w:t xml:space="preserve">Vickers, L. (2017). </w:t>
      </w:r>
      <w:bookmarkEnd w:id="5"/>
      <w:r w:rsidRPr="00041863">
        <w:rPr>
          <w:i/>
          <w:iCs/>
        </w:rPr>
        <w:t xml:space="preserve">Headscarves and the Court of Justice of the </w:t>
      </w:r>
      <w:proofErr w:type="spellStart"/>
      <w:r w:rsidRPr="00041863">
        <w:rPr>
          <w:i/>
          <w:iCs/>
        </w:rPr>
        <w:t>eu</w:t>
      </w:r>
      <w:proofErr w:type="spellEnd"/>
      <w:r w:rsidRPr="00041863">
        <w:rPr>
          <w:i/>
          <w:iCs/>
        </w:rPr>
        <w:t xml:space="preserve">: Discrimination and Genuine Occupational Requirements. International Labor Rights Case Law, 3(3), 413–418. </w:t>
      </w:r>
      <w:hyperlink r:id="rId79" w:history="1">
        <w:r w:rsidRPr="00041863">
          <w:rPr>
            <w:rStyle w:val="Hyperlink"/>
            <w:i/>
            <w:iCs/>
          </w:rPr>
          <w:t>https://doi.org/10.1163/24056901-00303018</w:t>
        </w:r>
      </w:hyperlink>
      <w:r>
        <w:rPr>
          <w:i/>
          <w:iCs/>
        </w:rPr>
        <w:t xml:space="preserve"> </w:t>
      </w:r>
    </w:p>
    <w:p w14:paraId="70523F69" w14:textId="77777777" w:rsidR="00FA23FD" w:rsidRPr="00C21BEE" w:rsidRDefault="00FA23FD" w:rsidP="00FA23FD">
      <w:pPr>
        <w:rPr>
          <w:i/>
          <w:iCs/>
        </w:rPr>
      </w:pPr>
      <w:r w:rsidRPr="00C21BEE">
        <w:rPr>
          <w:i/>
          <w:iCs/>
        </w:rPr>
        <w:t xml:space="preserve">Walker, C. (2023). Holiday Pay for Casual Workers: Your Entitlement - Cintra. [online] Cintra. Available at: </w:t>
      </w:r>
      <w:hyperlink r:id="rId80" w:history="1">
        <w:r w:rsidRPr="00C21BEE">
          <w:rPr>
            <w:rStyle w:val="Hyperlink"/>
            <w:i/>
            <w:iCs/>
          </w:rPr>
          <w:t>https://cintra.co.uk/blog/holiday-pay-for-casual-workers/</w:t>
        </w:r>
      </w:hyperlink>
      <w:r>
        <w:rPr>
          <w:i/>
          <w:iCs/>
        </w:rPr>
        <w:t xml:space="preserve"> </w:t>
      </w:r>
      <w:proofErr w:type="gramStart"/>
      <w:r>
        <w:rPr>
          <w:i/>
          <w:iCs/>
        </w:rPr>
        <w:t>Lew</w:t>
      </w:r>
      <w:r w:rsidRPr="00C21BEE">
        <w:rPr>
          <w:i/>
          <w:iCs/>
        </w:rPr>
        <w:t>[</w:t>
      </w:r>
      <w:proofErr w:type="gramEnd"/>
      <w:r w:rsidRPr="00C21BEE">
        <w:rPr>
          <w:i/>
          <w:iCs/>
        </w:rPr>
        <w:t>Accessed 9 Mar. 2025].</w:t>
      </w:r>
    </w:p>
    <w:p w14:paraId="1E579010" w14:textId="77777777" w:rsidR="00FA23FD" w:rsidRPr="006553AA" w:rsidRDefault="00FA23FD" w:rsidP="00FA23FD">
      <w:pPr>
        <w:rPr>
          <w:i/>
          <w:iCs/>
        </w:rPr>
      </w:pPr>
      <w:r w:rsidRPr="00B17859">
        <w:rPr>
          <w:i/>
          <w:iCs/>
        </w:rPr>
        <w:t>Western Excavating (ECC) Ltd v. Sharp [1978] ICR 221 (HL).</w:t>
      </w:r>
      <w:r>
        <w:rPr>
          <w:i/>
          <w:iCs/>
        </w:rPr>
        <w:t xml:space="preserve"> Available at: </w:t>
      </w:r>
      <w:hyperlink r:id="rId81" w:history="1">
        <w:r w:rsidRPr="00867BF9">
          <w:rPr>
            <w:rStyle w:val="Hyperlink"/>
            <w:i/>
            <w:iCs/>
          </w:rPr>
          <w:t>https://assets.publishing.service.gov.uk/media/5a969f59ed915d57d4d0f11d/Mrs_T_Button_v_Birmingham_Community_Healthcare_NHS_Foundation_Trust_1301461_2017.pdf</w:t>
        </w:r>
      </w:hyperlink>
      <w:r>
        <w:rPr>
          <w:i/>
          <w:iCs/>
        </w:rPr>
        <w:t xml:space="preserve"> [Accessed: 7</w:t>
      </w:r>
      <w:r w:rsidRPr="00B31B34">
        <w:rPr>
          <w:i/>
          <w:iCs/>
          <w:vertAlign w:val="superscript"/>
        </w:rPr>
        <w:t>th</w:t>
      </w:r>
      <w:r>
        <w:rPr>
          <w:i/>
          <w:iCs/>
        </w:rPr>
        <w:t xml:space="preserve"> March 2025]. </w:t>
      </w:r>
    </w:p>
    <w:p w14:paraId="203E8577" w14:textId="77777777" w:rsidR="00FA23FD" w:rsidRPr="00F519DA" w:rsidRDefault="00FA23FD" w:rsidP="00FA23FD">
      <w:pPr>
        <w:rPr>
          <w:i/>
          <w:iCs/>
        </w:rPr>
      </w:pPr>
      <w:bookmarkStart w:id="6" w:name="_Hlk192342854"/>
      <w:proofErr w:type="spellStart"/>
      <w:r w:rsidRPr="00F519DA">
        <w:rPr>
          <w:i/>
          <w:iCs/>
        </w:rPr>
        <w:t>Whitear</w:t>
      </w:r>
      <w:proofErr w:type="spellEnd"/>
      <w:r w:rsidRPr="00F519DA">
        <w:rPr>
          <w:i/>
          <w:iCs/>
        </w:rPr>
        <w:t>-Nel,</w:t>
      </w:r>
      <w:bookmarkEnd w:id="6"/>
      <w:r w:rsidRPr="00F519DA">
        <w:rPr>
          <w:i/>
          <w:iCs/>
        </w:rPr>
        <w:t xml:space="preserve"> N., &amp; </w:t>
      </w:r>
      <w:proofErr w:type="spellStart"/>
      <w:r w:rsidRPr="00F519DA">
        <w:rPr>
          <w:i/>
          <w:iCs/>
        </w:rPr>
        <w:t>Rudling</w:t>
      </w:r>
      <w:proofErr w:type="spellEnd"/>
      <w:r w:rsidRPr="00F519DA">
        <w:rPr>
          <w:i/>
          <w:iCs/>
        </w:rPr>
        <w:t xml:space="preserve">, M. (2012). Constructive </w:t>
      </w:r>
      <w:proofErr w:type="gramStart"/>
      <w:r w:rsidRPr="00F519DA">
        <w:rPr>
          <w:i/>
          <w:iCs/>
        </w:rPr>
        <w:t>dismissal :</w:t>
      </w:r>
      <w:proofErr w:type="gramEnd"/>
      <w:r w:rsidRPr="00F519DA">
        <w:rPr>
          <w:i/>
          <w:iCs/>
        </w:rPr>
        <w:t xml:space="preserve"> a tricky horse to ride. Obiter, 33(1), 193–201. </w:t>
      </w:r>
      <w:hyperlink r:id="rId82" w:history="1">
        <w:r w:rsidRPr="00F519DA">
          <w:rPr>
            <w:rStyle w:val="Hyperlink"/>
            <w:i/>
            <w:iCs/>
          </w:rPr>
          <w:t>https://doi.org/10.10520/EJC125377</w:t>
        </w:r>
      </w:hyperlink>
      <w:r>
        <w:rPr>
          <w:i/>
          <w:iCs/>
        </w:rPr>
        <w:t xml:space="preserve"> </w:t>
      </w:r>
    </w:p>
    <w:p w14:paraId="1992DCEE" w14:textId="77777777" w:rsidR="00FA23FD" w:rsidRDefault="00FA23FD" w:rsidP="00FA23FD">
      <w:pPr>
        <w:rPr>
          <w:i/>
          <w:iCs/>
        </w:rPr>
      </w:pPr>
      <w:r w:rsidRPr="00B31B34">
        <w:rPr>
          <w:i/>
          <w:iCs/>
        </w:rPr>
        <w:t xml:space="preserve">Wynn-Evans, C. (2002). Constructive Dismissal, TUPE and Subsidiarity. Industrial Law Journal (London), 31(3), 282–285. </w:t>
      </w:r>
      <w:hyperlink r:id="rId83" w:history="1">
        <w:r w:rsidRPr="00B31B34">
          <w:rPr>
            <w:rStyle w:val="Hyperlink"/>
            <w:i/>
            <w:iCs/>
          </w:rPr>
          <w:t>https://doi.org/10.1093/ilj/31.3.282</w:t>
        </w:r>
      </w:hyperlink>
      <w:r>
        <w:rPr>
          <w:i/>
          <w:iCs/>
        </w:rPr>
        <w:t xml:space="preserve"> </w:t>
      </w:r>
    </w:p>
    <w:p w14:paraId="323260DE" w14:textId="77777777" w:rsidR="00FA23FD" w:rsidRDefault="00FA23FD" w:rsidP="00FA23FD">
      <w:pPr>
        <w:rPr>
          <w:i/>
          <w:iCs/>
        </w:rPr>
      </w:pPr>
      <w:r w:rsidRPr="008659E7">
        <w:rPr>
          <w:i/>
          <w:iCs/>
        </w:rPr>
        <w:t xml:space="preserve">Wynn-Evans, C. (2020). The Use and Abuse of TUPE. Industrial Law Journal (London), 49(3), 459–476. </w:t>
      </w:r>
      <w:hyperlink r:id="rId84" w:history="1">
        <w:r w:rsidRPr="008659E7">
          <w:rPr>
            <w:rStyle w:val="Hyperlink"/>
            <w:i/>
            <w:iCs/>
          </w:rPr>
          <w:t>https://doi.org/10.1093/indlaw/dwaa014</w:t>
        </w:r>
      </w:hyperlink>
      <w:r>
        <w:rPr>
          <w:i/>
          <w:iCs/>
        </w:rPr>
        <w:t xml:space="preserve"> </w:t>
      </w:r>
    </w:p>
    <w:p w14:paraId="0DCEFDB1" w14:textId="77777777" w:rsidR="00FA23FD" w:rsidRPr="00693926" w:rsidRDefault="00FA23FD" w:rsidP="0072672E"/>
    <w:sectPr w:rsidR="00FA23FD" w:rsidRPr="00693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76"/>
    <w:rsid w:val="000174DC"/>
    <w:rsid w:val="0002078E"/>
    <w:rsid w:val="00025E59"/>
    <w:rsid w:val="0018658A"/>
    <w:rsid w:val="00226C1C"/>
    <w:rsid w:val="00250F26"/>
    <w:rsid w:val="00305103"/>
    <w:rsid w:val="003E3150"/>
    <w:rsid w:val="00466E37"/>
    <w:rsid w:val="004F63E0"/>
    <w:rsid w:val="00593E3C"/>
    <w:rsid w:val="006135E4"/>
    <w:rsid w:val="00693926"/>
    <w:rsid w:val="006D2F86"/>
    <w:rsid w:val="00700D3F"/>
    <w:rsid w:val="0072672E"/>
    <w:rsid w:val="00775505"/>
    <w:rsid w:val="007C02F2"/>
    <w:rsid w:val="00865060"/>
    <w:rsid w:val="008D3BF8"/>
    <w:rsid w:val="00A541D2"/>
    <w:rsid w:val="00AA1722"/>
    <w:rsid w:val="00AA6BD5"/>
    <w:rsid w:val="00AC5044"/>
    <w:rsid w:val="00C6797C"/>
    <w:rsid w:val="00CA3AE9"/>
    <w:rsid w:val="00CC588B"/>
    <w:rsid w:val="00DF0F76"/>
    <w:rsid w:val="00E04298"/>
    <w:rsid w:val="00E253B3"/>
    <w:rsid w:val="00FA2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93620"/>
  <w15:chartTrackingRefBased/>
  <w15:docId w15:val="{0A74125D-BFA5-4A2B-820F-92C9ED874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F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0F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0F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0F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0F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0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F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0F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0F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0F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0F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0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F76"/>
    <w:rPr>
      <w:rFonts w:eastAsiaTheme="majorEastAsia" w:cstheme="majorBidi"/>
      <w:color w:val="272727" w:themeColor="text1" w:themeTint="D8"/>
    </w:rPr>
  </w:style>
  <w:style w:type="paragraph" w:styleId="Title">
    <w:name w:val="Title"/>
    <w:basedOn w:val="Normal"/>
    <w:next w:val="Normal"/>
    <w:link w:val="TitleChar"/>
    <w:uiPriority w:val="10"/>
    <w:qFormat/>
    <w:rsid w:val="00DF0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F76"/>
    <w:pPr>
      <w:spacing w:before="160"/>
      <w:jc w:val="center"/>
    </w:pPr>
    <w:rPr>
      <w:i/>
      <w:iCs/>
      <w:color w:val="404040" w:themeColor="text1" w:themeTint="BF"/>
    </w:rPr>
  </w:style>
  <w:style w:type="character" w:customStyle="1" w:styleId="QuoteChar">
    <w:name w:val="Quote Char"/>
    <w:basedOn w:val="DefaultParagraphFont"/>
    <w:link w:val="Quote"/>
    <w:uiPriority w:val="29"/>
    <w:rsid w:val="00DF0F76"/>
    <w:rPr>
      <w:i/>
      <w:iCs/>
      <w:color w:val="404040" w:themeColor="text1" w:themeTint="BF"/>
    </w:rPr>
  </w:style>
  <w:style w:type="paragraph" w:styleId="ListParagraph">
    <w:name w:val="List Paragraph"/>
    <w:basedOn w:val="Normal"/>
    <w:uiPriority w:val="34"/>
    <w:qFormat/>
    <w:rsid w:val="00DF0F76"/>
    <w:pPr>
      <w:ind w:left="720"/>
      <w:contextualSpacing/>
    </w:pPr>
  </w:style>
  <w:style w:type="character" w:styleId="IntenseEmphasis">
    <w:name w:val="Intense Emphasis"/>
    <w:basedOn w:val="DefaultParagraphFont"/>
    <w:uiPriority w:val="21"/>
    <w:qFormat/>
    <w:rsid w:val="00DF0F76"/>
    <w:rPr>
      <w:i/>
      <w:iCs/>
      <w:color w:val="2F5496" w:themeColor="accent1" w:themeShade="BF"/>
    </w:rPr>
  </w:style>
  <w:style w:type="paragraph" w:styleId="IntenseQuote">
    <w:name w:val="Intense Quote"/>
    <w:basedOn w:val="Normal"/>
    <w:next w:val="Normal"/>
    <w:link w:val="IntenseQuoteChar"/>
    <w:uiPriority w:val="30"/>
    <w:qFormat/>
    <w:rsid w:val="00DF0F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0F76"/>
    <w:rPr>
      <w:i/>
      <w:iCs/>
      <w:color w:val="2F5496" w:themeColor="accent1" w:themeShade="BF"/>
    </w:rPr>
  </w:style>
  <w:style w:type="character" w:styleId="IntenseReference">
    <w:name w:val="Intense Reference"/>
    <w:basedOn w:val="DefaultParagraphFont"/>
    <w:uiPriority w:val="32"/>
    <w:qFormat/>
    <w:rsid w:val="00DF0F76"/>
    <w:rPr>
      <w:b/>
      <w:bCs/>
      <w:smallCaps/>
      <w:color w:val="2F5496" w:themeColor="accent1" w:themeShade="BF"/>
      <w:spacing w:val="5"/>
    </w:rPr>
  </w:style>
  <w:style w:type="character" w:styleId="Hyperlink">
    <w:name w:val="Hyperlink"/>
    <w:basedOn w:val="DefaultParagraphFont"/>
    <w:uiPriority w:val="99"/>
    <w:unhideWhenUsed/>
    <w:rsid w:val="00FA23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07076">
      <w:bodyDiv w:val="1"/>
      <w:marLeft w:val="0"/>
      <w:marRight w:val="0"/>
      <w:marTop w:val="0"/>
      <w:marBottom w:val="0"/>
      <w:divBdr>
        <w:top w:val="none" w:sz="0" w:space="0" w:color="auto"/>
        <w:left w:val="none" w:sz="0" w:space="0" w:color="auto"/>
        <w:bottom w:val="none" w:sz="0" w:space="0" w:color="auto"/>
        <w:right w:val="none" w:sz="0" w:space="0" w:color="auto"/>
      </w:divBdr>
      <w:divsChild>
        <w:div w:id="73864420">
          <w:marLeft w:val="0"/>
          <w:marRight w:val="0"/>
          <w:marTop w:val="0"/>
          <w:marBottom w:val="0"/>
          <w:divBdr>
            <w:top w:val="none" w:sz="0" w:space="0" w:color="auto"/>
            <w:left w:val="none" w:sz="0" w:space="0" w:color="auto"/>
            <w:bottom w:val="none" w:sz="0" w:space="0" w:color="auto"/>
            <w:right w:val="none" w:sz="0" w:space="0" w:color="auto"/>
          </w:divBdr>
          <w:divsChild>
            <w:div w:id="1204370059">
              <w:marLeft w:val="0"/>
              <w:marRight w:val="0"/>
              <w:marTop w:val="0"/>
              <w:marBottom w:val="0"/>
              <w:divBdr>
                <w:top w:val="none" w:sz="0" w:space="0" w:color="auto"/>
                <w:left w:val="none" w:sz="0" w:space="0" w:color="auto"/>
                <w:bottom w:val="none" w:sz="0" w:space="0" w:color="auto"/>
                <w:right w:val="none" w:sz="0" w:space="0" w:color="auto"/>
              </w:divBdr>
              <w:divsChild>
                <w:div w:id="1452092174">
                  <w:marLeft w:val="0"/>
                  <w:marRight w:val="0"/>
                  <w:marTop w:val="0"/>
                  <w:marBottom w:val="0"/>
                  <w:divBdr>
                    <w:top w:val="none" w:sz="0" w:space="0" w:color="auto"/>
                    <w:left w:val="none" w:sz="0" w:space="0" w:color="auto"/>
                    <w:bottom w:val="none" w:sz="0" w:space="0" w:color="auto"/>
                    <w:right w:val="none" w:sz="0" w:space="0" w:color="auto"/>
                  </w:divBdr>
                  <w:divsChild>
                    <w:div w:id="1582332885">
                      <w:marLeft w:val="0"/>
                      <w:marRight w:val="0"/>
                      <w:marTop w:val="0"/>
                      <w:marBottom w:val="0"/>
                      <w:divBdr>
                        <w:top w:val="none" w:sz="0" w:space="0" w:color="auto"/>
                        <w:left w:val="none" w:sz="0" w:space="0" w:color="auto"/>
                        <w:bottom w:val="none" w:sz="0" w:space="0" w:color="auto"/>
                        <w:right w:val="none" w:sz="0" w:space="0" w:color="auto"/>
                      </w:divBdr>
                      <w:divsChild>
                        <w:div w:id="1678313795">
                          <w:marLeft w:val="0"/>
                          <w:marRight w:val="0"/>
                          <w:marTop w:val="0"/>
                          <w:marBottom w:val="0"/>
                          <w:divBdr>
                            <w:top w:val="none" w:sz="0" w:space="0" w:color="auto"/>
                            <w:left w:val="none" w:sz="0" w:space="0" w:color="auto"/>
                            <w:bottom w:val="none" w:sz="0" w:space="0" w:color="auto"/>
                            <w:right w:val="none" w:sz="0" w:space="0" w:color="auto"/>
                          </w:divBdr>
                          <w:divsChild>
                            <w:div w:id="364327175">
                              <w:marLeft w:val="0"/>
                              <w:marRight w:val="0"/>
                              <w:marTop w:val="0"/>
                              <w:marBottom w:val="0"/>
                              <w:divBdr>
                                <w:top w:val="none" w:sz="0" w:space="0" w:color="auto"/>
                                <w:left w:val="none" w:sz="0" w:space="0" w:color="auto"/>
                                <w:bottom w:val="none" w:sz="0" w:space="0" w:color="auto"/>
                                <w:right w:val="none" w:sz="0" w:space="0" w:color="auto"/>
                              </w:divBdr>
                              <w:divsChild>
                                <w:div w:id="1187135493">
                                  <w:marLeft w:val="0"/>
                                  <w:marRight w:val="0"/>
                                  <w:marTop w:val="0"/>
                                  <w:marBottom w:val="0"/>
                                  <w:divBdr>
                                    <w:top w:val="none" w:sz="0" w:space="0" w:color="auto"/>
                                    <w:left w:val="none" w:sz="0" w:space="0" w:color="auto"/>
                                    <w:bottom w:val="none" w:sz="0" w:space="0" w:color="auto"/>
                                    <w:right w:val="none" w:sz="0" w:space="0" w:color="auto"/>
                                  </w:divBdr>
                                  <w:divsChild>
                                    <w:div w:id="57528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962809">
      <w:bodyDiv w:val="1"/>
      <w:marLeft w:val="0"/>
      <w:marRight w:val="0"/>
      <w:marTop w:val="0"/>
      <w:marBottom w:val="0"/>
      <w:divBdr>
        <w:top w:val="none" w:sz="0" w:space="0" w:color="auto"/>
        <w:left w:val="none" w:sz="0" w:space="0" w:color="auto"/>
        <w:bottom w:val="none" w:sz="0" w:space="0" w:color="auto"/>
        <w:right w:val="none" w:sz="0" w:space="0" w:color="auto"/>
      </w:divBdr>
    </w:div>
    <w:div w:id="321351638">
      <w:bodyDiv w:val="1"/>
      <w:marLeft w:val="0"/>
      <w:marRight w:val="0"/>
      <w:marTop w:val="0"/>
      <w:marBottom w:val="0"/>
      <w:divBdr>
        <w:top w:val="none" w:sz="0" w:space="0" w:color="auto"/>
        <w:left w:val="none" w:sz="0" w:space="0" w:color="auto"/>
        <w:bottom w:val="none" w:sz="0" w:space="0" w:color="auto"/>
        <w:right w:val="none" w:sz="0" w:space="0" w:color="auto"/>
      </w:divBdr>
    </w:div>
    <w:div w:id="410735471">
      <w:bodyDiv w:val="1"/>
      <w:marLeft w:val="0"/>
      <w:marRight w:val="0"/>
      <w:marTop w:val="0"/>
      <w:marBottom w:val="0"/>
      <w:divBdr>
        <w:top w:val="none" w:sz="0" w:space="0" w:color="auto"/>
        <w:left w:val="none" w:sz="0" w:space="0" w:color="auto"/>
        <w:bottom w:val="none" w:sz="0" w:space="0" w:color="auto"/>
        <w:right w:val="none" w:sz="0" w:space="0" w:color="auto"/>
      </w:divBdr>
    </w:div>
    <w:div w:id="467011363">
      <w:bodyDiv w:val="1"/>
      <w:marLeft w:val="0"/>
      <w:marRight w:val="0"/>
      <w:marTop w:val="0"/>
      <w:marBottom w:val="0"/>
      <w:divBdr>
        <w:top w:val="none" w:sz="0" w:space="0" w:color="auto"/>
        <w:left w:val="none" w:sz="0" w:space="0" w:color="auto"/>
        <w:bottom w:val="none" w:sz="0" w:space="0" w:color="auto"/>
        <w:right w:val="none" w:sz="0" w:space="0" w:color="auto"/>
      </w:divBdr>
    </w:div>
    <w:div w:id="642733265">
      <w:bodyDiv w:val="1"/>
      <w:marLeft w:val="0"/>
      <w:marRight w:val="0"/>
      <w:marTop w:val="0"/>
      <w:marBottom w:val="0"/>
      <w:divBdr>
        <w:top w:val="none" w:sz="0" w:space="0" w:color="auto"/>
        <w:left w:val="none" w:sz="0" w:space="0" w:color="auto"/>
        <w:bottom w:val="none" w:sz="0" w:space="0" w:color="auto"/>
        <w:right w:val="none" w:sz="0" w:space="0" w:color="auto"/>
      </w:divBdr>
    </w:div>
    <w:div w:id="659891047">
      <w:bodyDiv w:val="1"/>
      <w:marLeft w:val="0"/>
      <w:marRight w:val="0"/>
      <w:marTop w:val="0"/>
      <w:marBottom w:val="0"/>
      <w:divBdr>
        <w:top w:val="none" w:sz="0" w:space="0" w:color="auto"/>
        <w:left w:val="none" w:sz="0" w:space="0" w:color="auto"/>
        <w:bottom w:val="none" w:sz="0" w:space="0" w:color="auto"/>
        <w:right w:val="none" w:sz="0" w:space="0" w:color="auto"/>
      </w:divBdr>
      <w:divsChild>
        <w:div w:id="1329870075">
          <w:marLeft w:val="0"/>
          <w:marRight w:val="0"/>
          <w:marTop w:val="0"/>
          <w:marBottom w:val="0"/>
          <w:divBdr>
            <w:top w:val="none" w:sz="0" w:space="0" w:color="auto"/>
            <w:left w:val="none" w:sz="0" w:space="0" w:color="auto"/>
            <w:bottom w:val="none" w:sz="0" w:space="0" w:color="auto"/>
            <w:right w:val="none" w:sz="0" w:space="0" w:color="auto"/>
          </w:divBdr>
          <w:divsChild>
            <w:div w:id="1268150929">
              <w:marLeft w:val="0"/>
              <w:marRight w:val="0"/>
              <w:marTop w:val="0"/>
              <w:marBottom w:val="0"/>
              <w:divBdr>
                <w:top w:val="none" w:sz="0" w:space="0" w:color="auto"/>
                <w:left w:val="none" w:sz="0" w:space="0" w:color="auto"/>
                <w:bottom w:val="none" w:sz="0" w:space="0" w:color="auto"/>
                <w:right w:val="none" w:sz="0" w:space="0" w:color="auto"/>
              </w:divBdr>
              <w:divsChild>
                <w:div w:id="508064748">
                  <w:marLeft w:val="0"/>
                  <w:marRight w:val="0"/>
                  <w:marTop w:val="0"/>
                  <w:marBottom w:val="0"/>
                  <w:divBdr>
                    <w:top w:val="none" w:sz="0" w:space="0" w:color="auto"/>
                    <w:left w:val="none" w:sz="0" w:space="0" w:color="auto"/>
                    <w:bottom w:val="none" w:sz="0" w:space="0" w:color="auto"/>
                    <w:right w:val="none" w:sz="0" w:space="0" w:color="auto"/>
                  </w:divBdr>
                  <w:divsChild>
                    <w:div w:id="1573925605">
                      <w:marLeft w:val="0"/>
                      <w:marRight w:val="0"/>
                      <w:marTop w:val="0"/>
                      <w:marBottom w:val="0"/>
                      <w:divBdr>
                        <w:top w:val="none" w:sz="0" w:space="0" w:color="auto"/>
                        <w:left w:val="none" w:sz="0" w:space="0" w:color="auto"/>
                        <w:bottom w:val="none" w:sz="0" w:space="0" w:color="auto"/>
                        <w:right w:val="none" w:sz="0" w:space="0" w:color="auto"/>
                      </w:divBdr>
                      <w:divsChild>
                        <w:div w:id="184831537">
                          <w:marLeft w:val="0"/>
                          <w:marRight w:val="0"/>
                          <w:marTop w:val="0"/>
                          <w:marBottom w:val="0"/>
                          <w:divBdr>
                            <w:top w:val="none" w:sz="0" w:space="0" w:color="auto"/>
                            <w:left w:val="none" w:sz="0" w:space="0" w:color="auto"/>
                            <w:bottom w:val="none" w:sz="0" w:space="0" w:color="auto"/>
                            <w:right w:val="none" w:sz="0" w:space="0" w:color="auto"/>
                          </w:divBdr>
                          <w:divsChild>
                            <w:div w:id="736516179">
                              <w:marLeft w:val="0"/>
                              <w:marRight w:val="0"/>
                              <w:marTop w:val="0"/>
                              <w:marBottom w:val="0"/>
                              <w:divBdr>
                                <w:top w:val="none" w:sz="0" w:space="0" w:color="auto"/>
                                <w:left w:val="none" w:sz="0" w:space="0" w:color="auto"/>
                                <w:bottom w:val="none" w:sz="0" w:space="0" w:color="auto"/>
                                <w:right w:val="none" w:sz="0" w:space="0" w:color="auto"/>
                              </w:divBdr>
                              <w:divsChild>
                                <w:div w:id="87235684">
                                  <w:marLeft w:val="0"/>
                                  <w:marRight w:val="0"/>
                                  <w:marTop w:val="0"/>
                                  <w:marBottom w:val="0"/>
                                  <w:divBdr>
                                    <w:top w:val="none" w:sz="0" w:space="0" w:color="auto"/>
                                    <w:left w:val="none" w:sz="0" w:space="0" w:color="auto"/>
                                    <w:bottom w:val="none" w:sz="0" w:space="0" w:color="auto"/>
                                    <w:right w:val="none" w:sz="0" w:space="0" w:color="auto"/>
                                  </w:divBdr>
                                  <w:divsChild>
                                    <w:div w:id="158448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0680666">
      <w:bodyDiv w:val="1"/>
      <w:marLeft w:val="0"/>
      <w:marRight w:val="0"/>
      <w:marTop w:val="0"/>
      <w:marBottom w:val="0"/>
      <w:divBdr>
        <w:top w:val="none" w:sz="0" w:space="0" w:color="auto"/>
        <w:left w:val="none" w:sz="0" w:space="0" w:color="auto"/>
        <w:bottom w:val="none" w:sz="0" w:space="0" w:color="auto"/>
        <w:right w:val="none" w:sz="0" w:space="0" w:color="auto"/>
      </w:divBdr>
    </w:div>
    <w:div w:id="819465675">
      <w:bodyDiv w:val="1"/>
      <w:marLeft w:val="0"/>
      <w:marRight w:val="0"/>
      <w:marTop w:val="0"/>
      <w:marBottom w:val="0"/>
      <w:divBdr>
        <w:top w:val="none" w:sz="0" w:space="0" w:color="auto"/>
        <w:left w:val="none" w:sz="0" w:space="0" w:color="auto"/>
        <w:bottom w:val="none" w:sz="0" w:space="0" w:color="auto"/>
        <w:right w:val="none" w:sz="0" w:space="0" w:color="auto"/>
      </w:divBdr>
    </w:div>
    <w:div w:id="904528631">
      <w:bodyDiv w:val="1"/>
      <w:marLeft w:val="0"/>
      <w:marRight w:val="0"/>
      <w:marTop w:val="0"/>
      <w:marBottom w:val="0"/>
      <w:divBdr>
        <w:top w:val="none" w:sz="0" w:space="0" w:color="auto"/>
        <w:left w:val="none" w:sz="0" w:space="0" w:color="auto"/>
        <w:bottom w:val="none" w:sz="0" w:space="0" w:color="auto"/>
        <w:right w:val="none" w:sz="0" w:space="0" w:color="auto"/>
      </w:divBdr>
    </w:div>
    <w:div w:id="904755969">
      <w:bodyDiv w:val="1"/>
      <w:marLeft w:val="0"/>
      <w:marRight w:val="0"/>
      <w:marTop w:val="0"/>
      <w:marBottom w:val="0"/>
      <w:divBdr>
        <w:top w:val="none" w:sz="0" w:space="0" w:color="auto"/>
        <w:left w:val="none" w:sz="0" w:space="0" w:color="auto"/>
        <w:bottom w:val="none" w:sz="0" w:space="0" w:color="auto"/>
        <w:right w:val="none" w:sz="0" w:space="0" w:color="auto"/>
      </w:divBdr>
    </w:div>
    <w:div w:id="917786092">
      <w:bodyDiv w:val="1"/>
      <w:marLeft w:val="0"/>
      <w:marRight w:val="0"/>
      <w:marTop w:val="0"/>
      <w:marBottom w:val="0"/>
      <w:divBdr>
        <w:top w:val="none" w:sz="0" w:space="0" w:color="auto"/>
        <w:left w:val="none" w:sz="0" w:space="0" w:color="auto"/>
        <w:bottom w:val="none" w:sz="0" w:space="0" w:color="auto"/>
        <w:right w:val="none" w:sz="0" w:space="0" w:color="auto"/>
      </w:divBdr>
    </w:div>
    <w:div w:id="951790853">
      <w:bodyDiv w:val="1"/>
      <w:marLeft w:val="0"/>
      <w:marRight w:val="0"/>
      <w:marTop w:val="0"/>
      <w:marBottom w:val="0"/>
      <w:divBdr>
        <w:top w:val="none" w:sz="0" w:space="0" w:color="auto"/>
        <w:left w:val="none" w:sz="0" w:space="0" w:color="auto"/>
        <w:bottom w:val="none" w:sz="0" w:space="0" w:color="auto"/>
        <w:right w:val="none" w:sz="0" w:space="0" w:color="auto"/>
      </w:divBdr>
    </w:div>
    <w:div w:id="1044063585">
      <w:bodyDiv w:val="1"/>
      <w:marLeft w:val="0"/>
      <w:marRight w:val="0"/>
      <w:marTop w:val="0"/>
      <w:marBottom w:val="0"/>
      <w:divBdr>
        <w:top w:val="none" w:sz="0" w:space="0" w:color="auto"/>
        <w:left w:val="none" w:sz="0" w:space="0" w:color="auto"/>
        <w:bottom w:val="none" w:sz="0" w:space="0" w:color="auto"/>
        <w:right w:val="none" w:sz="0" w:space="0" w:color="auto"/>
      </w:divBdr>
    </w:div>
    <w:div w:id="1057045928">
      <w:bodyDiv w:val="1"/>
      <w:marLeft w:val="0"/>
      <w:marRight w:val="0"/>
      <w:marTop w:val="0"/>
      <w:marBottom w:val="0"/>
      <w:divBdr>
        <w:top w:val="none" w:sz="0" w:space="0" w:color="auto"/>
        <w:left w:val="none" w:sz="0" w:space="0" w:color="auto"/>
        <w:bottom w:val="none" w:sz="0" w:space="0" w:color="auto"/>
        <w:right w:val="none" w:sz="0" w:space="0" w:color="auto"/>
      </w:divBdr>
    </w:div>
    <w:div w:id="1057895002">
      <w:bodyDiv w:val="1"/>
      <w:marLeft w:val="0"/>
      <w:marRight w:val="0"/>
      <w:marTop w:val="0"/>
      <w:marBottom w:val="0"/>
      <w:divBdr>
        <w:top w:val="none" w:sz="0" w:space="0" w:color="auto"/>
        <w:left w:val="none" w:sz="0" w:space="0" w:color="auto"/>
        <w:bottom w:val="none" w:sz="0" w:space="0" w:color="auto"/>
        <w:right w:val="none" w:sz="0" w:space="0" w:color="auto"/>
      </w:divBdr>
    </w:div>
    <w:div w:id="1209024481">
      <w:bodyDiv w:val="1"/>
      <w:marLeft w:val="0"/>
      <w:marRight w:val="0"/>
      <w:marTop w:val="0"/>
      <w:marBottom w:val="0"/>
      <w:divBdr>
        <w:top w:val="none" w:sz="0" w:space="0" w:color="auto"/>
        <w:left w:val="none" w:sz="0" w:space="0" w:color="auto"/>
        <w:bottom w:val="none" w:sz="0" w:space="0" w:color="auto"/>
        <w:right w:val="none" w:sz="0" w:space="0" w:color="auto"/>
      </w:divBdr>
    </w:div>
    <w:div w:id="1278374283">
      <w:bodyDiv w:val="1"/>
      <w:marLeft w:val="0"/>
      <w:marRight w:val="0"/>
      <w:marTop w:val="0"/>
      <w:marBottom w:val="0"/>
      <w:divBdr>
        <w:top w:val="none" w:sz="0" w:space="0" w:color="auto"/>
        <w:left w:val="none" w:sz="0" w:space="0" w:color="auto"/>
        <w:bottom w:val="none" w:sz="0" w:space="0" w:color="auto"/>
        <w:right w:val="none" w:sz="0" w:space="0" w:color="auto"/>
      </w:divBdr>
    </w:div>
    <w:div w:id="1300573939">
      <w:bodyDiv w:val="1"/>
      <w:marLeft w:val="0"/>
      <w:marRight w:val="0"/>
      <w:marTop w:val="0"/>
      <w:marBottom w:val="0"/>
      <w:divBdr>
        <w:top w:val="none" w:sz="0" w:space="0" w:color="auto"/>
        <w:left w:val="none" w:sz="0" w:space="0" w:color="auto"/>
        <w:bottom w:val="none" w:sz="0" w:space="0" w:color="auto"/>
        <w:right w:val="none" w:sz="0" w:space="0" w:color="auto"/>
      </w:divBdr>
      <w:divsChild>
        <w:div w:id="147864949">
          <w:marLeft w:val="0"/>
          <w:marRight w:val="0"/>
          <w:marTop w:val="0"/>
          <w:marBottom w:val="0"/>
          <w:divBdr>
            <w:top w:val="none" w:sz="0" w:space="0" w:color="auto"/>
            <w:left w:val="none" w:sz="0" w:space="0" w:color="auto"/>
            <w:bottom w:val="none" w:sz="0" w:space="0" w:color="auto"/>
            <w:right w:val="none" w:sz="0" w:space="0" w:color="auto"/>
          </w:divBdr>
          <w:divsChild>
            <w:div w:id="1435899445">
              <w:marLeft w:val="0"/>
              <w:marRight w:val="0"/>
              <w:marTop w:val="0"/>
              <w:marBottom w:val="0"/>
              <w:divBdr>
                <w:top w:val="none" w:sz="0" w:space="0" w:color="auto"/>
                <w:left w:val="none" w:sz="0" w:space="0" w:color="auto"/>
                <w:bottom w:val="none" w:sz="0" w:space="0" w:color="auto"/>
                <w:right w:val="none" w:sz="0" w:space="0" w:color="auto"/>
              </w:divBdr>
              <w:divsChild>
                <w:div w:id="2013991319">
                  <w:marLeft w:val="0"/>
                  <w:marRight w:val="0"/>
                  <w:marTop w:val="0"/>
                  <w:marBottom w:val="0"/>
                  <w:divBdr>
                    <w:top w:val="none" w:sz="0" w:space="0" w:color="auto"/>
                    <w:left w:val="none" w:sz="0" w:space="0" w:color="auto"/>
                    <w:bottom w:val="none" w:sz="0" w:space="0" w:color="auto"/>
                    <w:right w:val="none" w:sz="0" w:space="0" w:color="auto"/>
                  </w:divBdr>
                  <w:divsChild>
                    <w:div w:id="1802649494">
                      <w:marLeft w:val="0"/>
                      <w:marRight w:val="0"/>
                      <w:marTop w:val="0"/>
                      <w:marBottom w:val="0"/>
                      <w:divBdr>
                        <w:top w:val="none" w:sz="0" w:space="0" w:color="auto"/>
                        <w:left w:val="none" w:sz="0" w:space="0" w:color="auto"/>
                        <w:bottom w:val="none" w:sz="0" w:space="0" w:color="auto"/>
                        <w:right w:val="none" w:sz="0" w:space="0" w:color="auto"/>
                      </w:divBdr>
                      <w:divsChild>
                        <w:div w:id="652829352">
                          <w:marLeft w:val="0"/>
                          <w:marRight w:val="0"/>
                          <w:marTop w:val="0"/>
                          <w:marBottom w:val="0"/>
                          <w:divBdr>
                            <w:top w:val="none" w:sz="0" w:space="0" w:color="auto"/>
                            <w:left w:val="none" w:sz="0" w:space="0" w:color="auto"/>
                            <w:bottom w:val="none" w:sz="0" w:space="0" w:color="auto"/>
                            <w:right w:val="none" w:sz="0" w:space="0" w:color="auto"/>
                          </w:divBdr>
                          <w:divsChild>
                            <w:div w:id="3217327">
                              <w:marLeft w:val="0"/>
                              <w:marRight w:val="0"/>
                              <w:marTop w:val="0"/>
                              <w:marBottom w:val="0"/>
                              <w:divBdr>
                                <w:top w:val="none" w:sz="0" w:space="0" w:color="auto"/>
                                <w:left w:val="none" w:sz="0" w:space="0" w:color="auto"/>
                                <w:bottom w:val="none" w:sz="0" w:space="0" w:color="auto"/>
                                <w:right w:val="none" w:sz="0" w:space="0" w:color="auto"/>
                              </w:divBdr>
                              <w:divsChild>
                                <w:div w:id="267124863">
                                  <w:marLeft w:val="0"/>
                                  <w:marRight w:val="0"/>
                                  <w:marTop w:val="0"/>
                                  <w:marBottom w:val="0"/>
                                  <w:divBdr>
                                    <w:top w:val="none" w:sz="0" w:space="0" w:color="auto"/>
                                    <w:left w:val="none" w:sz="0" w:space="0" w:color="auto"/>
                                    <w:bottom w:val="none" w:sz="0" w:space="0" w:color="auto"/>
                                    <w:right w:val="none" w:sz="0" w:space="0" w:color="auto"/>
                                  </w:divBdr>
                                  <w:divsChild>
                                    <w:div w:id="636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121673">
      <w:bodyDiv w:val="1"/>
      <w:marLeft w:val="0"/>
      <w:marRight w:val="0"/>
      <w:marTop w:val="0"/>
      <w:marBottom w:val="0"/>
      <w:divBdr>
        <w:top w:val="none" w:sz="0" w:space="0" w:color="auto"/>
        <w:left w:val="none" w:sz="0" w:space="0" w:color="auto"/>
        <w:bottom w:val="none" w:sz="0" w:space="0" w:color="auto"/>
        <w:right w:val="none" w:sz="0" w:space="0" w:color="auto"/>
      </w:divBdr>
    </w:div>
    <w:div w:id="1463766233">
      <w:bodyDiv w:val="1"/>
      <w:marLeft w:val="0"/>
      <w:marRight w:val="0"/>
      <w:marTop w:val="0"/>
      <w:marBottom w:val="0"/>
      <w:divBdr>
        <w:top w:val="none" w:sz="0" w:space="0" w:color="auto"/>
        <w:left w:val="none" w:sz="0" w:space="0" w:color="auto"/>
        <w:bottom w:val="none" w:sz="0" w:space="0" w:color="auto"/>
        <w:right w:val="none" w:sz="0" w:space="0" w:color="auto"/>
      </w:divBdr>
    </w:div>
    <w:div w:id="1475563188">
      <w:bodyDiv w:val="1"/>
      <w:marLeft w:val="0"/>
      <w:marRight w:val="0"/>
      <w:marTop w:val="0"/>
      <w:marBottom w:val="0"/>
      <w:divBdr>
        <w:top w:val="none" w:sz="0" w:space="0" w:color="auto"/>
        <w:left w:val="none" w:sz="0" w:space="0" w:color="auto"/>
        <w:bottom w:val="none" w:sz="0" w:space="0" w:color="auto"/>
        <w:right w:val="none" w:sz="0" w:space="0" w:color="auto"/>
      </w:divBdr>
    </w:div>
    <w:div w:id="1535262930">
      <w:bodyDiv w:val="1"/>
      <w:marLeft w:val="0"/>
      <w:marRight w:val="0"/>
      <w:marTop w:val="0"/>
      <w:marBottom w:val="0"/>
      <w:divBdr>
        <w:top w:val="none" w:sz="0" w:space="0" w:color="auto"/>
        <w:left w:val="none" w:sz="0" w:space="0" w:color="auto"/>
        <w:bottom w:val="none" w:sz="0" w:space="0" w:color="auto"/>
        <w:right w:val="none" w:sz="0" w:space="0" w:color="auto"/>
      </w:divBdr>
    </w:div>
    <w:div w:id="1566602387">
      <w:bodyDiv w:val="1"/>
      <w:marLeft w:val="0"/>
      <w:marRight w:val="0"/>
      <w:marTop w:val="0"/>
      <w:marBottom w:val="0"/>
      <w:divBdr>
        <w:top w:val="none" w:sz="0" w:space="0" w:color="auto"/>
        <w:left w:val="none" w:sz="0" w:space="0" w:color="auto"/>
        <w:bottom w:val="none" w:sz="0" w:space="0" w:color="auto"/>
        <w:right w:val="none" w:sz="0" w:space="0" w:color="auto"/>
      </w:divBdr>
    </w:div>
    <w:div w:id="1570581539">
      <w:bodyDiv w:val="1"/>
      <w:marLeft w:val="0"/>
      <w:marRight w:val="0"/>
      <w:marTop w:val="0"/>
      <w:marBottom w:val="0"/>
      <w:divBdr>
        <w:top w:val="none" w:sz="0" w:space="0" w:color="auto"/>
        <w:left w:val="none" w:sz="0" w:space="0" w:color="auto"/>
        <w:bottom w:val="none" w:sz="0" w:space="0" w:color="auto"/>
        <w:right w:val="none" w:sz="0" w:space="0" w:color="auto"/>
      </w:divBdr>
    </w:div>
    <w:div w:id="1605111683">
      <w:bodyDiv w:val="1"/>
      <w:marLeft w:val="0"/>
      <w:marRight w:val="0"/>
      <w:marTop w:val="0"/>
      <w:marBottom w:val="0"/>
      <w:divBdr>
        <w:top w:val="none" w:sz="0" w:space="0" w:color="auto"/>
        <w:left w:val="none" w:sz="0" w:space="0" w:color="auto"/>
        <w:bottom w:val="none" w:sz="0" w:space="0" w:color="auto"/>
        <w:right w:val="none" w:sz="0" w:space="0" w:color="auto"/>
      </w:divBdr>
      <w:divsChild>
        <w:div w:id="1705712574">
          <w:marLeft w:val="0"/>
          <w:marRight w:val="0"/>
          <w:marTop w:val="0"/>
          <w:marBottom w:val="0"/>
          <w:divBdr>
            <w:top w:val="none" w:sz="0" w:space="0" w:color="auto"/>
            <w:left w:val="none" w:sz="0" w:space="0" w:color="auto"/>
            <w:bottom w:val="none" w:sz="0" w:space="0" w:color="auto"/>
            <w:right w:val="none" w:sz="0" w:space="0" w:color="auto"/>
          </w:divBdr>
          <w:divsChild>
            <w:div w:id="481772661">
              <w:marLeft w:val="0"/>
              <w:marRight w:val="0"/>
              <w:marTop w:val="0"/>
              <w:marBottom w:val="0"/>
              <w:divBdr>
                <w:top w:val="none" w:sz="0" w:space="0" w:color="auto"/>
                <w:left w:val="none" w:sz="0" w:space="0" w:color="auto"/>
                <w:bottom w:val="none" w:sz="0" w:space="0" w:color="auto"/>
                <w:right w:val="none" w:sz="0" w:space="0" w:color="auto"/>
              </w:divBdr>
              <w:divsChild>
                <w:div w:id="345207510">
                  <w:marLeft w:val="0"/>
                  <w:marRight w:val="0"/>
                  <w:marTop w:val="0"/>
                  <w:marBottom w:val="0"/>
                  <w:divBdr>
                    <w:top w:val="none" w:sz="0" w:space="0" w:color="auto"/>
                    <w:left w:val="none" w:sz="0" w:space="0" w:color="auto"/>
                    <w:bottom w:val="none" w:sz="0" w:space="0" w:color="auto"/>
                    <w:right w:val="none" w:sz="0" w:space="0" w:color="auto"/>
                  </w:divBdr>
                  <w:divsChild>
                    <w:div w:id="171532615">
                      <w:marLeft w:val="0"/>
                      <w:marRight w:val="0"/>
                      <w:marTop w:val="0"/>
                      <w:marBottom w:val="0"/>
                      <w:divBdr>
                        <w:top w:val="none" w:sz="0" w:space="0" w:color="auto"/>
                        <w:left w:val="none" w:sz="0" w:space="0" w:color="auto"/>
                        <w:bottom w:val="none" w:sz="0" w:space="0" w:color="auto"/>
                        <w:right w:val="none" w:sz="0" w:space="0" w:color="auto"/>
                      </w:divBdr>
                      <w:divsChild>
                        <w:div w:id="999507099">
                          <w:marLeft w:val="0"/>
                          <w:marRight w:val="0"/>
                          <w:marTop w:val="0"/>
                          <w:marBottom w:val="0"/>
                          <w:divBdr>
                            <w:top w:val="none" w:sz="0" w:space="0" w:color="auto"/>
                            <w:left w:val="none" w:sz="0" w:space="0" w:color="auto"/>
                            <w:bottom w:val="none" w:sz="0" w:space="0" w:color="auto"/>
                            <w:right w:val="none" w:sz="0" w:space="0" w:color="auto"/>
                          </w:divBdr>
                          <w:divsChild>
                            <w:div w:id="417948287">
                              <w:marLeft w:val="0"/>
                              <w:marRight w:val="0"/>
                              <w:marTop w:val="0"/>
                              <w:marBottom w:val="0"/>
                              <w:divBdr>
                                <w:top w:val="none" w:sz="0" w:space="0" w:color="auto"/>
                                <w:left w:val="none" w:sz="0" w:space="0" w:color="auto"/>
                                <w:bottom w:val="none" w:sz="0" w:space="0" w:color="auto"/>
                                <w:right w:val="none" w:sz="0" w:space="0" w:color="auto"/>
                              </w:divBdr>
                              <w:divsChild>
                                <w:div w:id="803079746">
                                  <w:marLeft w:val="0"/>
                                  <w:marRight w:val="0"/>
                                  <w:marTop w:val="0"/>
                                  <w:marBottom w:val="0"/>
                                  <w:divBdr>
                                    <w:top w:val="none" w:sz="0" w:space="0" w:color="auto"/>
                                    <w:left w:val="none" w:sz="0" w:space="0" w:color="auto"/>
                                    <w:bottom w:val="none" w:sz="0" w:space="0" w:color="auto"/>
                                    <w:right w:val="none" w:sz="0" w:space="0" w:color="auto"/>
                                  </w:divBdr>
                                  <w:divsChild>
                                    <w:div w:id="1399787746">
                                      <w:marLeft w:val="0"/>
                                      <w:marRight w:val="0"/>
                                      <w:marTop w:val="0"/>
                                      <w:marBottom w:val="0"/>
                                      <w:divBdr>
                                        <w:top w:val="none" w:sz="0" w:space="0" w:color="auto"/>
                                        <w:left w:val="none" w:sz="0" w:space="0" w:color="auto"/>
                                        <w:bottom w:val="none" w:sz="0" w:space="0" w:color="auto"/>
                                        <w:right w:val="none" w:sz="0" w:space="0" w:color="auto"/>
                                      </w:divBdr>
                                      <w:divsChild>
                                        <w:div w:id="680670427">
                                          <w:marLeft w:val="0"/>
                                          <w:marRight w:val="0"/>
                                          <w:marTop w:val="0"/>
                                          <w:marBottom w:val="0"/>
                                          <w:divBdr>
                                            <w:top w:val="none" w:sz="0" w:space="0" w:color="auto"/>
                                            <w:left w:val="none" w:sz="0" w:space="0" w:color="auto"/>
                                            <w:bottom w:val="none" w:sz="0" w:space="0" w:color="auto"/>
                                            <w:right w:val="none" w:sz="0" w:space="0" w:color="auto"/>
                                          </w:divBdr>
                                          <w:divsChild>
                                            <w:div w:id="527377051">
                                              <w:marLeft w:val="0"/>
                                              <w:marRight w:val="0"/>
                                              <w:marTop w:val="0"/>
                                              <w:marBottom w:val="0"/>
                                              <w:divBdr>
                                                <w:top w:val="none" w:sz="0" w:space="0" w:color="auto"/>
                                                <w:left w:val="none" w:sz="0" w:space="0" w:color="auto"/>
                                                <w:bottom w:val="none" w:sz="0" w:space="0" w:color="auto"/>
                                                <w:right w:val="none" w:sz="0" w:space="0" w:color="auto"/>
                                              </w:divBdr>
                                              <w:divsChild>
                                                <w:div w:id="1442140960">
                                                  <w:marLeft w:val="0"/>
                                                  <w:marRight w:val="0"/>
                                                  <w:marTop w:val="0"/>
                                                  <w:marBottom w:val="0"/>
                                                  <w:divBdr>
                                                    <w:top w:val="none" w:sz="0" w:space="0" w:color="auto"/>
                                                    <w:left w:val="none" w:sz="0" w:space="0" w:color="auto"/>
                                                    <w:bottom w:val="none" w:sz="0" w:space="0" w:color="auto"/>
                                                    <w:right w:val="none" w:sz="0" w:space="0" w:color="auto"/>
                                                  </w:divBdr>
                                                  <w:divsChild>
                                                    <w:div w:id="154386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58038717">
          <w:marLeft w:val="0"/>
          <w:marRight w:val="0"/>
          <w:marTop w:val="0"/>
          <w:marBottom w:val="0"/>
          <w:divBdr>
            <w:top w:val="none" w:sz="0" w:space="0" w:color="auto"/>
            <w:left w:val="none" w:sz="0" w:space="0" w:color="auto"/>
            <w:bottom w:val="none" w:sz="0" w:space="0" w:color="auto"/>
            <w:right w:val="none" w:sz="0" w:space="0" w:color="auto"/>
          </w:divBdr>
          <w:divsChild>
            <w:div w:id="100875903">
              <w:marLeft w:val="0"/>
              <w:marRight w:val="0"/>
              <w:marTop w:val="0"/>
              <w:marBottom w:val="0"/>
              <w:divBdr>
                <w:top w:val="none" w:sz="0" w:space="0" w:color="auto"/>
                <w:left w:val="none" w:sz="0" w:space="0" w:color="auto"/>
                <w:bottom w:val="none" w:sz="0" w:space="0" w:color="auto"/>
                <w:right w:val="none" w:sz="0" w:space="0" w:color="auto"/>
              </w:divBdr>
              <w:divsChild>
                <w:div w:id="1808014815">
                  <w:marLeft w:val="0"/>
                  <w:marRight w:val="0"/>
                  <w:marTop w:val="0"/>
                  <w:marBottom w:val="0"/>
                  <w:divBdr>
                    <w:top w:val="none" w:sz="0" w:space="0" w:color="auto"/>
                    <w:left w:val="none" w:sz="0" w:space="0" w:color="auto"/>
                    <w:bottom w:val="none" w:sz="0" w:space="0" w:color="auto"/>
                    <w:right w:val="none" w:sz="0" w:space="0" w:color="auto"/>
                  </w:divBdr>
                  <w:divsChild>
                    <w:div w:id="1113138515">
                      <w:marLeft w:val="0"/>
                      <w:marRight w:val="0"/>
                      <w:marTop w:val="0"/>
                      <w:marBottom w:val="0"/>
                      <w:divBdr>
                        <w:top w:val="none" w:sz="0" w:space="0" w:color="auto"/>
                        <w:left w:val="none" w:sz="0" w:space="0" w:color="auto"/>
                        <w:bottom w:val="none" w:sz="0" w:space="0" w:color="auto"/>
                        <w:right w:val="none" w:sz="0" w:space="0" w:color="auto"/>
                      </w:divBdr>
                      <w:divsChild>
                        <w:div w:id="2006932234">
                          <w:marLeft w:val="0"/>
                          <w:marRight w:val="0"/>
                          <w:marTop w:val="0"/>
                          <w:marBottom w:val="0"/>
                          <w:divBdr>
                            <w:top w:val="none" w:sz="0" w:space="0" w:color="auto"/>
                            <w:left w:val="none" w:sz="0" w:space="0" w:color="auto"/>
                            <w:bottom w:val="none" w:sz="0" w:space="0" w:color="auto"/>
                            <w:right w:val="none" w:sz="0" w:space="0" w:color="auto"/>
                          </w:divBdr>
                          <w:divsChild>
                            <w:div w:id="1072656672">
                              <w:marLeft w:val="0"/>
                              <w:marRight w:val="0"/>
                              <w:marTop w:val="0"/>
                              <w:marBottom w:val="0"/>
                              <w:divBdr>
                                <w:top w:val="none" w:sz="0" w:space="0" w:color="auto"/>
                                <w:left w:val="none" w:sz="0" w:space="0" w:color="auto"/>
                                <w:bottom w:val="none" w:sz="0" w:space="0" w:color="auto"/>
                                <w:right w:val="none" w:sz="0" w:space="0" w:color="auto"/>
                              </w:divBdr>
                              <w:divsChild>
                                <w:div w:id="34083509">
                                  <w:marLeft w:val="0"/>
                                  <w:marRight w:val="0"/>
                                  <w:marTop w:val="0"/>
                                  <w:marBottom w:val="0"/>
                                  <w:divBdr>
                                    <w:top w:val="none" w:sz="0" w:space="0" w:color="auto"/>
                                    <w:left w:val="none" w:sz="0" w:space="0" w:color="auto"/>
                                    <w:bottom w:val="none" w:sz="0" w:space="0" w:color="auto"/>
                                    <w:right w:val="none" w:sz="0" w:space="0" w:color="auto"/>
                                  </w:divBdr>
                                  <w:divsChild>
                                    <w:div w:id="497773142">
                                      <w:marLeft w:val="0"/>
                                      <w:marRight w:val="0"/>
                                      <w:marTop w:val="0"/>
                                      <w:marBottom w:val="0"/>
                                      <w:divBdr>
                                        <w:top w:val="none" w:sz="0" w:space="0" w:color="auto"/>
                                        <w:left w:val="none" w:sz="0" w:space="0" w:color="auto"/>
                                        <w:bottom w:val="none" w:sz="0" w:space="0" w:color="auto"/>
                                        <w:right w:val="none" w:sz="0" w:space="0" w:color="auto"/>
                                      </w:divBdr>
                                      <w:divsChild>
                                        <w:div w:id="632826920">
                                          <w:marLeft w:val="0"/>
                                          <w:marRight w:val="0"/>
                                          <w:marTop w:val="0"/>
                                          <w:marBottom w:val="0"/>
                                          <w:divBdr>
                                            <w:top w:val="none" w:sz="0" w:space="0" w:color="auto"/>
                                            <w:left w:val="none" w:sz="0" w:space="0" w:color="auto"/>
                                            <w:bottom w:val="none" w:sz="0" w:space="0" w:color="auto"/>
                                            <w:right w:val="none" w:sz="0" w:space="0" w:color="auto"/>
                                          </w:divBdr>
                                          <w:divsChild>
                                            <w:div w:id="445737942">
                                              <w:marLeft w:val="0"/>
                                              <w:marRight w:val="0"/>
                                              <w:marTop w:val="0"/>
                                              <w:marBottom w:val="0"/>
                                              <w:divBdr>
                                                <w:top w:val="none" w:sz="0" w:space="0" w:color="auto"/>
                                                <w:left w:val="none" w:sz="0" w:space="0" w:color="auto"/>
                                                <w:bottom w:val="none" w:sz="0" w:space="0" w:color="auto"/>
                                                <w:right w:val="none" w:sz="0" w:space="0" w:color="auto"/>
                                              </w:divBdr>
                                              <w:divsChild>
                                                <w:div w:id="552429556">
                                                  <w:marLeft w:val="0"/>
                                                  <w:marRight w:val="0"/>
                                                  <w:marTop w:val="0"/>
                                                  <w:marBottom w:val="0"/>
                                                  <w:divBdr>
                                                    <w:top w:val="none" w:sz="0" w:space="0" w:color="auto"/>
                                                    <w:left w:val="none" w:sz="0" w:space="0" w:color="auto"/>
                                                    <w:bottom w:val="none" w:sz="0" w:space="0" w:color="auto"/>
                                                    <w:right w:val="none" w:sz="0" w:space="0" w:color="auto"/>
                                                  </w:divBdr>
                                                  <w:divsChild>
                                                    <w:div w:id="171141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313236">
                                      <w:marLeft w:val="0"/>
                                      <w:marRight w:val="0"/>
                                      <w:marTop w:val="0"/>
                                      <w:marBottom w:val="0"/>
                                      <w:divBdr>
                                        <w:top w:val="none" w:sz="0" w:space="0" w:color="auto"/>
                                        <w:left w:val="none" w:sz="0" w:space="0" w:color="auto"/>
                                        <w:bottom w:val="none" w:sz="0" w:space="0" w:color="auto"/>
                                        <w:right w:val="none" w:sz="0" w:space="0" w:color="auto"/>
                                      </w:divBdr>
                                      <w:divsChild>
                                        <w:div w:id="1654066638">
                                          <w:marLeft w:val="0"/>
                                          <w:marRight w:val="0"/>
                                          <w:marTop w:val="0"/>
                                          <w:marBottom w:val="0"/>
                                          <w:divBdr>
                                            <w:top w:val="none" w:sz="0" w:space="0" w:color="auto"/>
                                            <w:left w:val="none" w:sz="0" w:space="0" w:color="auto"/>
                                            <w:bottom w:val="none" w:sz="0" w:space="0" w:color="auto"/>
                                            <w:right w:val="none" w:sz="0" w:space="0" w:color="auto"/>
                                          </w:divBdr>
                                          <w:divsChild>
                                            <w:div w:id="1524399343">
                                              <w:marLeft w:val="0"/>
                                              <w:marRight w:val="0"/>
                                              <w:marTop w:val="0"/>
                                              <w:marBottom w:val="0"/>
                                              <w:divBdr>
                                                <w:top w:val="none" w:sz="0" w:space="0" w:color="auto"/>
                                                <w:left w:val="none" w:sz="0" w:space="0" w:color="auto"/>
                                                <w:bottom w:val="none" w:sz="0" w:space="0" w:color="auto"/>
                                                <w:right w:val="none" w:sz="0" w:space="0" w:color="auto"/>
                                              </w:divBdr>
                                              <w:divsChild>
                                                <w:div w:id="1537818257">
                                                  <w:marLeft w:val="0"/>
                                                  <w:marRight w:val="0"/>
                                                  <w:marTop w:val="0"/>
                                                  <w:marBottom w:val="0"/>
                                                  <w:divBdr>
                                                    <w:top w:val="none" w:sz="0" w:space="0" w:color="auto"/>
                                                    <w:left w:val="none" w:sz="0" w:space="0" w:color="auto"/>
                                                    <w:bottom w:val="none" w:sz="0" w:space="0" w:color="auto"/>
                                                    <w:right w:val="none" w:sz="0" w:space="0" w:color="auto"/>
                                                  </w:divBdr>
                                                  <w:divsChild>
                                                    <w:div w:id="1858616126">
                                                      <w:marLeft w:val="0"/>
                                                      <w:marRight w:val="0"/>
                                                      <w:marTop w:val="0"/>
                                                      <w:marBottom w:val="0"/>
                                                      <w:divBdr>
                                                        <w:top w:val="none" w:sz="0" w:space="0" w:color="auto"/>
                                                        <w:left w:val="none" w:sz="0" w:space="0" w:color="auto"/>
                                                        <w:bottom w:val="none" w:sz="0" w:space="0" w:color="auto"/>
                                                        <w:right w:val="none" w:sz="0" w:space="0" w:color="auto"/>
                                                      </w:divBdr>
                                                      <w:divsChild>
                                                        <w:div w:id="14038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091558">
                                              <w:marLeft w:val="0"/>
                                              <w:marRight w:val="0"/>
                                              <w:marTop w:val="0"/>
                                              <w:marBottom w:val="0"/>
                                              <w:divBdr>
                                                <w:top w:val="none" w:sz="0" w:space="0" w:color="auto"/>
                                                <w:left w:val="none" w:sz="0" w:space="0" w:color="auto"/>
                                                <w:bottom w:val="none" w:sz="0" w:space="0" w:color="auto"/>
                                                <w:right w:val="none" w:sz="0" w:space="0" w:color="auto"/>
                                              </w:divBdr>
                                              <w:divsChild>
                                                <w:div w:id="1368220880">
                                                  <w:marLeft w:val="0"/>
                                                  <w:marRight w:val="0"/>
                                                  <w:marTop w:val="0"/>
                                                  <w:marBottom w:val="0"/>
                                                  <w:divBdr>
                                                    <w:top w:val="none" w:sz="0" w:space="0" w:color="auto"/>
                                                    <w:left w:val="none" w:sz="0" w:space="0" w:color="auto"/>
                                                    <w:bottom w:val="none" w:sz="0" w:space="0" w:color="auto"/>
                                                    <w:right w:val="none" w:sz="0" w:space="0" w:color="auto"/>
                                                  </w:divBdr>
                                                  <w:divsChild>
                                                    <w:div w:id="349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9857">
                                              <w:marLeft w:val="0"/>
                                              <w:marRight w:val="0"/>
                                              <w:marTop w:val="0"/>
                                              <w:marBottom w:val="0"/>
                                              <w:divBdr>
                                                <w:top w:val="none" w:sz="0" w:space="0" w:color="auto"/>
                                                <w:left w:val="none" w:sz="0" w:space="0" w:color="auto"/>
                                                <w:bottom w:val="none" w:sz="0" w:space="0" w:color="auto"/>
                                                <w:right w:val="none" w:sz="0" w:space="0" w:color="auto"/>
                                              </w:divBdr>
                                              <w:divsChild>
                                                <w:div w:id="391124663">
                                                  <w:marLeft w:val="0"/>
                                                  <w:marRight w:val="0"/>
                                                  <w:marTop w:val="0"/>
                                                  <w:marBottom w:val="0"/>
                                                  <w:divBdr>
                                                    <w:top w:val="none" w:sz="0" w:space="0" w:color="auto"/>
                                                    <w:left w:val="none" w:sz="0" w:space="0" w:color="auto"/>
                                                    <w:bottom w:val="none" w:sz="0" w:space="0" w:color="auto"/>
                                                    <w:right w:val="none" w:sz="0" w:space="0" w:color="auto"/>
                                                  </w:divBdr>
                                                  <w:divsChild>
                                                    <w:div w:id="73154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2149946">
      <w:bodyDiv w:val="1"/>
      <w:marLeft w:val="0"/>
      <w:marRight w:val="0"/>
      <w:marTop w:val="0"/>
      <w:marBottom w:val="0"/>
      <w:divBdr>
        <w:top w:val="none" w:sz="0" w:space="0" w:color="auto"/>
        <w:left w:val="none" w:sz="0" w:space="0" w:color="auto"/>
        <w:bottom w:val="none" w:sz="0" w:space="0" w:color="auto"/>
        <w:right w:val="none" w:sz="0" w:space="0" w:color="auto"/>
      </w:divBdr>
    </w:div>
    <w:div w:id="1626815553">
      <w:bodyDiv w:val="1"/>
      <w:marLeft w:val="0"/>
      <w:marRight w:val="0"/>
      <w:marTop w:val="0"/>
      <w:marBottom w:val="0"/>
      <w:divBdr>
        <w:top w:val="none" w:sz="0" w:space="0" w:color="auto"/>
        <w:left w:val="none" w:sz="0" w:space="0" w:color="auto"/>
        <w:bottom w:val="none" w:sz="0" w:space="0" w:color="auto"/>
        <w:right w:val="none" w:sz="0" w:space="0" w:color="auto"/>
      </w:divBdr>
      <w:divsChild>
        <w:div w:id="1042754702">
          <w:marLeft w:val="0"/>
          <w:marRight w:val="0"/>
          <w:marTop w:val="0"/>
          <w:marBottom w:val="0"/>
          <w:divBdr>
            <w:top w:val="none" w:sz="0" w:space="0" w:color="auto"/>
            <w:left w:val="none" w:sz="0" w:space="0" w:color="auto"/>
            <w:bottom w:val="none" w:sz="0" w:space="0" w:color="auto"/>
            <w:right w:val="none" w:sz="0" w:space="0" w:color="auto"/>
          </w:divBdr>
          <w:divsChild>
            <w:div w:id="163130583">
              <w:marLeft w:val="0"/>
              <w:marRight w:val="0"/>
              <w:marTop w:val="0"/>
              <w:marBottom w:val="0"/>
              <w:divBdr>
                <w:top w:val="none" w:sz="0" w:space="0" w:color="auto"/>
                <w:left w:val="none" w:sz="0" w:space="0" w:color="auto"/>
                <w:bottom w:val="none" w:sz="0" w:space="0" w:color="auto"/>
                <w:right w:val="none" w:sz="0" w:space="0" w:color="auto"/>
              </w:divBdr>
              <w:divsChild>
                <w:div w:id="1954284908">
                  <w:marLeft w:val="0"/>
                  <w:marRight w:val="0"/>
                  <w:marTop w:val="0"/>
                  <w:marBottom w:val="0"/>
                  <w:divBdr>
                    <w:top w:val="none" w:sz="0" w:space="0" w:color="auto"/>
                    <w:left w:val="none" w:sz="0" w:space="0" w:color="auto"/>
                    <w:bottom w:val="none" w:sz="0" w:space="0" w:color="auto"/>
                    <w:right w:val="none" w:sz="0" w:space="0" w:color="auto"/>
                  </w:divBdr>
                  <w:divsChild>
                    <w:div w:id="841629793">
                      <w:marLeft w:val="0"/>
                      <w:marRight w:val="0"/>
                      <w:marTop w:val="0"/>
                      <w:marBottom w:val="0"/>
                      <w:divBdr>
                        <w:top w:val="none" w:sz="0" w:space="0" w:color="auto"/>
                        <w:left w:val="none" w:sz="0" w:space="0" w:color="auto"/>
                        <w:bottom w:val="none" w:sz="0" w:space="0" w:color="auto"/>
                        <w:right w:val="none" w:sz="0" w:space="0" w:color="auto"/>
                      </w:divBdr>
                      <w:divsChild>
                        <w:div w:id="888960576">
                          <w:marLeft w:val="0"/>
                          <w:marRight w:val="0"/>
                          <w:marTop w:val="0"/>
                          <w:marBottom w:val="0"/>
                          <w:divBdr>
                            <w:top w:val="none" w:sz="0" w:space="0" w:color="auto"/>
                            <w:left w:val="none" w:sz="0" w:space="0" w:color="auto"/>
                            <w:bottom w:val="none" w:sz="0" w:space="0" w:color="auto"/>
                            <w:right w:val="none" w:sz="0" w:space="0" w:color="auto"/>
                          </w:divBdr>
                          <w:divsChild>
                            <w:div w:id="1345671829">
                              <w:marLeft w:val="0"/>
                              <w:marRight w:val="0"/>
                              <w:marTop w:val="0"/>
                              <w:marBottom w:val="0"/>
                              <w:divBdr>
                                <w:top w:val="none" w:sz="0" w:space="0" w:color="auto"/>
                                <w:left w:val="none" w:sz="0" w:space="0" w:color="auto"/>
                                <w:bottom w:val="none" w:sz="0" w:space="0" w:color="auto"/>
                                <w:right w:val="none" w:sz="0" w:space="0" w:color="auto"/>
                              </w:divBdr>
                              <w:divsChild>
                                <w:div w:id="1358890033">
                                  <w:marLeft w:val="0"/>
                                  <w:marRight w:val="0"/>
                                  <w:marTop w:val="0"/>
                                  <w:marBottom w:val="0"/>
                                  <w:divBdr>
                                    <w:top w:val="none" w:sz="0" w:space="0" w:color="auto"/>
                                    <w:left w:val="none" w:sz="0" w:space="0" w:color="auto"/>
                                    <w:bottom w:val="none" w:sz="0" w:space="0" w:color="auto"/>
                                    <w:right w:val="none" w:sz="0" w:space="0" w:color="auto"/>
                                  </w:divBdr>
                                  <w:divsChild>
                                    <w:div w:id="213139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4721933">
      <w:bodyDiv w:val="1"/>
      <w:marLeft w:val="0"/>
      <w:marRight w:val="0"/>
      <w:marTop w:val="0"/>
      <w:marBottom w:val="0"/>
      <w:divBdr>
        <w:top w:val="none" w:sz="0" w:space="0" w:color="auto"/>
        <w:left w:val="none" w:sz="0" w:space="0" w:color="auto"/>
        <w:bottom w:val="none" w:sz="0" w:space="0" w:color="auto"/>
        <w:right w:val="none" w:sz="0" w:space="0" w:color="auto"/>
      </w:divBdr>
    </w:div>
    <w:div w:id="1694191092">
      <w:bodyDiv w:val="1"/>
      <w:marLeft w:val="0"/>
      <w:marRight w:val="0"/>
      <w:marTop w:val="0"/>
      <w:marBottom w:val="0"/>
      <w:divBdr>
        <w:top w:val="none" w:sz="0" w:space="0" w:color="auto"/>
        <w:left w:val="none" w:sz="0" w:space="0" w:color="auto"/>
        <w:bottom w:val="none" w:sz="0" w:space="0" w:color="auto"/>
        <w:right w:val="none" w:sz="0" w:space="0" w:color="auto"/>
      </w:divBdr>
      <w:divsChild>
        <w:div w:id="559708860">
          <w:marLeft w:val="0"/>
          <w:marRight w:val="0"/>
          <w:marTop w:val="0"/>
          <w:marBottom w:val="0"/>
          <w:divBdr>
            <w:top w:val="none" w:sz="0" w:space="0" w:color="auto"/>
            <w:left w:val="none" w:sz="0" w:space="0" w:color="auto"/>
            <w:bottom w:val="none" w:sz="0" w:space="0" w:color="auto"/>
            <w:right w:val="none" w:sz="0" w:space="0" w:color="auto"/>
          </w:divBdr>
          <w:divsChild>
            <w:div w:id="641619034">
              <w:marLeft w:val="0"/>
              <w:marRight w:val="0"/>
              <w:marTop w:val="0"/>
              <w:marBottom w:val="0"/>
              <w:divBdr>
                <w:top w:val="none" w:sz="0" w:space="0" w:color="auto"/>
                <w:left w:val="none" w:sz="0" w:space="0" w:color="auto"/>
                <w:bottom w:val="none" w:sz="0" w:space="0" w:color="auto"/>
                <w:right w:val="none" w:sz="0" w:space="0" w:color="auto"/>
              </w:divBdr>
              <w:divsChild>
                <w:div w:id="2043555574">
                  <w:marLeft w:val="0"/>
                  <w:marRight w:val="0"/>
                  <w:marTop w:val="0"/>
                  <w:marBottom w:val="0"/>
                  <w:divBdr>
                    <w:top w:val="none" w:sz="0" w:space="0" w:color="auto"/>
                    <w:left w:val="none" w:sz="0" w:space="0" w:color="auto"/>
                    <w:bottom w:val="none" w:sz="0" w:space="0" w:color="auto"/>
                    <w:right w:val="none" w:sz="0" w:space="0" w:color="auto"/>
                  </w:divBdr>
                  <w:divsChild>
                    <w:div w:id="1697462743">
                      <w:marLeft w:val="0"/>
                      <w:marRight w:val="0"/>
                      <w:marTop w:val="0"/>
                      <w:marBottom w:val="0"/>
                      <w:divBdr>
                        <w:top w:val="none" w:sz="0" w:space="0" w:color="auto"/>
                        <w:left w:val="none" w:sz="0" w:space="0" w:color="auto"/>
                        <w:bottom w:val="none" w:sz="0" w:space="0" w:color="auto"/>
                        <w:right w:val="none" w:sz="0" w:space="0" w:color="auto"/>
                      </w:divBdr>
                      <w:divsChild>
                        <w:div w:id="898249968">
                          <w:marLeft w:val="0"/>
                          <w:marRight w:val="0"/>
                          <w:marTop w:val="0"/>
                          <w:marBottom w:val="0"/>
                          <w:divBdr>
                            <w:top w:val="none" w:sz="0" w:space="0" w:color="auto"/>
                            <w:left w:val="none" w:sz="0" w:space="0" w:color="auto"/>
                            <w:bottom w:val="none" w:sz="0" w:space="0" w:color="auto"/>
                            <w:right w:val="none" w:sz="0" w:space="0" w:color="auto"/>
                          </w:divBdr>
                          <w:divsChild>
                            <w:div w:id="1637835961">
                              <w:marLeft w:val="0"/>
                              <w:marRight w:val="0"/>
                              <w:marTop w:val="0"/>
                              <w:marBottom w:val="0"/>
                              <w:divBdr>
                                <w:top w:val="none" w:sz="0" w:space="0" w:color="auto"/>
                                <w:left w:val="none" w:sz="0" w:space="0" w:color="auto"/>
                                <w:bottom w:val="none" w:sz="0" w:space="0" w:color="auto"/>
                                <w:right w:val="none" w:sz="0" w:space="0" w:color="auto"/>
                              </w:divBdr>
                              <w:divsChild>
                                <w:div w:id="126358138">
                                  <w:marLeft w:val="0"/>
                                  <w:marRight w:val="0"/>
                                  <w:marTop w:val="0"/>
                                  <w:marBottom w:val="0"/>
                                  <w:divBdr>
                                    <w:top w:val="none" w:sz="0" w:space="0" w:color="auto"/>
                                    <w:left w:val="none" w:sz="0" w:space="0" w:color="auto"/>
                                    <w:bottom w:val="none" w:sz="0" w:space="0" w:color="auto"/>
                                    <w:right w:val="none" w:sz="0" w:space="0" w:color="auto"/>
                                  </w:divBdr>
                                  <w:divsChild>
                                    <w:div w:id="559947528">
                                      <w:marLeft w:val="0"/>
                                      <w:marRight w:val="0"/>
                                      <w:marTop w:val="0"/>
                                      <w:marBottom w:val="0"/>
                                      <w:divBdr>
                                        <w:top w:val="none" w:sz="0" w:space="0" w:color="auto"/>
                                        <w:left w:val="none" w:sz="0" w:space="0" w:color="auto"/>
                                        <w:bottom w:val="none" w:sz="0" w:space="0" w:color="auto"/>
                                        <w:right w:val="none" w:sz="0" w:space="0" w:color="auto"/>
                                      </w:divBdr>
                                      <w:divsChild>
                                        <w:div w:id="1003052159">
                                          <w:marLeft w:val="0"/>
                                          <w:marRight w:val="0"/>
                                          <w:marTop w:val="0"/>
                                          <w:marBottom w:val="0"/>
                                          <w:divBdr>
                                            <w:top w:val="none" w:sz="0" w:space="0" w:color="auto"/>
                                            <w:left w:val="none" w:sz="0" w:space="0" w:color="auto"/>
                                            <w:bottom w:val="none" w:sz="0" w:space="0" w:color="auto"/>
                                            <w:right w:val="none" w:sz="0" w:space="0" w:color="auto"/>
                                          </w:divBdr>
                                          <w:divsChild>
                                            <w:div w:id="925115009">
                                              <w:marLeft w:val="0"/>
                                              <w:marRight w:val="0"/>
                                              <w:marTop w:val="0"/>
                                              <w:marBottom w:val="0"/>
                                              <w:divBdr>
                                                <w:top w:val="none" w:sz="0" w:space="0" w:color="auto"/>
                                                <w:left w:val="none" w:sz="0" w:space="0" w:color="auto"/>
                                                <w:bottom w:val="none" w:sz="0" w:space="0" w:color="auto"/>
                                                <w:right w:val="none" w:sz="0" w:space="0" w:color="auto"/>
                                              </w:divBdr>
                                              <w:divsChild>
                                                <w:div w:id="955016117">
                                                  <w:marLeft w:val="0"/>
                                                  <w:marRight w:val="0"/>
                                                  <w:marTop w:val="0"/>
                                                  <w:marBottom w:val="0"/>
                                                  <w:divBdr>
                                                    <w:top w:val="none" w:sz="0" w:space="0" w:color="auto"/>
                                                    <w:left w:val="none" w:sz="0" w:space="0" w:color="auto"/>
                                                    <w:bottom w:val="none" w:sz="0" w:space="0" w:color="auto"/>
                                                    <w:right w:val="none" w:sz="0" w:space="0" w:color="auto"/>
                                                  </w:divBdr>
                                                  <w:divsChild>
                                                    <w:div w:id="1758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81384761">
          <w:marLeft w:val="0"/>
          <w:marRight w:val="0"/>
          <w:marTop w:val="0"/>
          <w:marBottom w:val="0"/>
          <w:divBdr>
            <w:top w:val="none" w:sz="0" w:space="0" w:color="auto"/>
            <w:left w:val="none" w:sz="0" w:space="0" w:color="auto"/>
            <w:bottom w:val="none" w:sz="0" w:space="0" w:color="auto"/>
            <w:right w:val="none" w:sz="0" w:space="0" w:color="auto"/>
          </w:divBdr>
          <w:divsChild>
            <w:div w:id="2056998359">
              <w:marLeft w:val="0"/>
              <w:marRight w:val="0"/>
              <w:marTop w:val="0"/>
              <w:marBottom w:val="0"/>
              <w:divBdr>
                <w:top w:val="none" w:sz="0" w:space="0" w:color="auto"/>
                <w:left w:val="none" w:sz="0" w:space="0" w:color="auto"/>
                <w:bottom w:val="none" w:sz="0" w:space="0" w:color="auto"/>
                <w:right w:val="none" w:sz="0" w:space="0" w:color="auto"/>
              </w:divBdr>
              <w:divsChild>
                <w:div w:id="197549569">
                  <w:marLeft w:val="0"/>
                  <w:marRight w:val="0"/>
                  <w:marTop w:val="0"/>
                  <w:marBottom w:val="0"/>
                  <w:divBdr>
                    <w:top w:val="none" w:sz="0" w:space="0" w:color="auto"/>
                    <w:left w:val="none" w:sz="0" w:space="0" w:color="auto"/>
                    <w:bottom w:val="none" w:sz="0" w:space="0" w:color="auto"/>
                    <w:right w:val="none" w:sz="0" w:space="0" w:color="auto"/>
                  </w:divBdr>
                  <w:divsChild>
                    <w:div w:id="1728407376">
                      <w:marLeft w:val="0"/>
                      <w:marRight w:val="0"/>
                      <w:marTop w:val="0"/>
                      <w:marBottom w:val="0"/>
                      <w:divBdr>
                        <w:top w:val="none" w:sz="0" w:space="0" w:color="auto"/>
                        <w:left w:val="none" w:sz="0" w:space="0" w:color="auto"/>
                        <w:bottom w:val="none" w:sz="0" w:space="0" w:color="auto"/>
                        <w:right w:val="none" w:sz="0" w:space="0" w:color="auto"/>
                      </w:divBdr>
                      <w:divsChild>
                        <w:div w:id="1116144693">
                          <w:marLeft w:val="0"/>
                          <w:marRight w:val="0"/>
                          <w:marTop w:val="0"/>
                          <w:marBottom w:val="0"/>
                          <w:divBdr>
                            <w:top w:val="none" w:sz="0" w:space="0" w:color="auto"/>
                            <w:left w:val="none" w:sz="0" w:space="0" w:color="auto"/>
                            <w:bottom w:val="none" w:sz="0" w:space="0" w:color="auto"/>
                            <w:right w:val="none" w:sz="0" w:space="0" w:color="auto"/>
                          </w:divBdr>
                          <w:divsChild>
                            <w:div w:id="1650594849">
                              <w:marLeft w:val="0"/>
                              <w:marRight w:val="0"/>
                              <w:marTop w:val="0"/>
                              <w:marBottom w:val="0"/>
                              <w:divBdr>
                                <w:top w:val="none" w:sz="0" w:space="0" w:color="auto"/>
                                <w:left w:val="none" w:sz="0" w:space="0" w:color="auto"/>
                                <w:bottom w:val="none" w:sz="0" w:space="0" w:color="auto"/>
                                <w:right w:val="none" w:sz="0" w:space="0" w:color="auto"/>
                              </w:divBdr>
                              <w:divsChild>
                                <w:div w:id="1471939086">
                                  <w:marLeft w:val="0"/>
                                  <w:marRight w:val="0"/>
                                  <w:marTop w:val="0"/>
                                  <w:marBottom w:val="0"/>
                                  <w:divBdr>
                                    <w:top w:val="none" w:sz="0" w:space="0" w:color="auto"/>
                                    <w:left w:val="none" w:sz="0" w:space="0" w:color="auto"/>
                                    <w:bottom w:val="none" w:sz="0" w:space="0" w:color="auto"/>
                                    <w:right w:val="none" w:sz="0" w:space="0" w:color="auto"/>
                                  </w:divBdr>
                                  <w:divsChild>
                                    <w:div w:id="823158781">
                                      <w:marLeft w:val="0"/>
                                      <w:marRight w:val="0"/>
                                      <w:marTop w:val="0"/>
                                      <w:marBottom w:val="0"/>
                                      <w:divBdr>
                                        <w:top w:val="none" w:sz="0" w:space="0" w:color="auto"/>
                                        <w:left w:val="none" w:sz="0" w:space="0" w:color="auto"/>
                                        <w:bottom w:val="none" w:sz="0" w:space="0" w:color="auto"/>
                                        <w:right w:val="none" w:sz="0" w:space="0" w:color="auto"/>
                                      </w:divBdr>
                                      <w:divsChild>
                                        <w:div w:id="635260121">
                                          <w:marLeft w:val="0"/>
                                          <w:marRight w:val="0"/>
                                          <w:marTop w:val="0"/>
                                          <w:marBottom w:val="0"/>
                                          <w:divBdr>
                                            <w:top w:val="none" w:sz="0" w:space="0" w:color="auto"/>
                                            <w:left w:val="none" w:sz="0" w:space="0" w:color="auto"/>
                                            <w:bottom w:val="none" w:sz="0" w:space="0" w:color="auto"/>
                                            <w:right w:val="none" w:sz="0" w:space="0" w:color="auto"/>
                                          </w:divBdr>
                                          <w:divsChild>
                                            <w:div w:id="1245065110">
                                              <w:marLeft w:val="0"/>
                                              <w:marRight w:val="0"/>
                                              <w:marTop w:val="0"/>
                                              <w:marBottom w:val="0"/>
                                              <w:divBdr>
                                                <w:top w:val="none" w:sz="0" w:space="0" w:color="auto"/>
                                                <w:left w:val="none" w:sz="0" w:space="0" w:color="auto"/>
                                                <w:bottom w:val="none" w:sz="0" w:space="0" w:color="auto"/>
                                                <w:right w:val="none" w:sz="0" w:space="0" w:color="auto"/>
                                              </w:divBdr>
                                              <w:divsChild>
                                                <w:div w:id="1433435013">
                                                  <w:marLeft w:val="0"/>
                                                  <w:marRight w:val="0"/>
                                                  <w:marTop w:val="0"/>
                                                  <w:marBottom w:val="0"/>
                                                  <w:divBdr>
                                                    <w:top w:val="none" w:sz="0" w:space="0" w:color="auto"/>
                                                    <w:left w:val="none" w:sz="0" w:space="0" w:color="auto"/>
                                                    <w:bottom w:val="none" w:sz="0" w:space="0" w:color="auto"/>
                                                    <w:right w:val="none" w:sz="0" w:space="0" w:color="auto"/>
                                                  </w:divBdr>
                                                  <w:divsChild>
                                                    <w:div w:id="72838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943028">
                                      <w:marLeft w:val="0"/>
                                      <w:marRight w:val="0"/>
                                      <w:marTop w:val="0"/>
                                      <w:marBottom w:val="0"/>
                                      <w:divBdr>
                                        <w:top w:val="none" w:sz="0" w:space="0" w:color="auto"/>
                                        <w:left w:val="none" w:sz="0" w:space="0" w:color="auto"/>
                                        <w:bottom w:val="none" w:sz="0" w:space="0" w:color="auto"/>
                                        <w:right w:val="none" w:sz="0" w:space="0" w:color="auto"/>
                                      </w:divBdr>
                                      <w:divsChild>
                                        <w:div w:id="772210786">
                                          <w:marLeft w:val="0"/>
                                          <w:marRight w:val="0"/>
                                          <w:marTop w:val="0"/>
                                          <w:marBottom w:val="0"/>
                                          <w:divBdr>
                                            <w:top w:val="none" w:sz="0" w:space="0" w:color="auto"/>
                                            <w:left w:val="none" w:sz="0" w:space="0" w:color="auto"/>
                                            <w:bottom w:val="none" w:sz="0" w:space="0" w:color="auto"/>
                                            <w:right w:val="none" w:sz="0" w:space="0" w:color="auto"/>
                                          </w:divBdr>
                                          <w:divsChild>
                                            <w:div w:id="688065896">
                                              <w:marLeft w:val="0"/>
                                              <w:marRight w:val="0"/>
                                              <w:marTop w:val="0"/>
                                              <w:marBottom w:val="0"/>
                                              <w:divBdr>
                                                <w:top w:val="none" w:sz="0" w:space="0" w:color="auto"/>
                                                <w:left w:val="none" w:sz="0" w:space="0" w:color="auto"/>
                                                <w:bottom w:val="none" w:sz="0" w:space="0" w:color="auto"/>
                                                <w:right w:val="none" w:sz="0" w:space="0" w:color="auto"/>
                                              </w:divBdr>
                                              <w:divsChild>
                                                <w:div w:id="1626695411">
                                                  <w:marLeft w:val="0"/>
                                                  <w:marRight w:val="0"/>
                                                  <w:marTop w:val="0"/>
                                                  <w:marBottom w:val="0"/>
                                                  <w:divBdr>
                                                    <w:top w:val="none" w:sz="0" w:space="0" w:color="auto"/>
                                                    <w:left w:val="none" w:sz="0" w:space="0" w:color="auto"/>
                                                    <w:bottom w:val="none" w:sz="0" w:space="0" w:color="auto"/>
                                                    <w:right w:val="none" w:sz="0" w:space="0" w:color="auto"/>
                                                  </w:divBdr>
                                                  <w:divsChild>
                                                    <w:div w:id="435827151">
                                                      <w:marLeft w:val="0"/>
                                                      <w:marRight w:val="0"/>
                                                      <w:marTop w:val="0"/>
                                                      <w:marBottom w:val="0"/>
                                                      <w:divBdr>
                                                        <w:top w:val="none" w:sz="0" w:space="0" w:color="auto"/>
                                                        <w:left w:val="none" w:sz="0" w:space="0" w:color="auto"/>
                                                        <w:bottom w:val="none" w:sz="0" w:space="0" w:color="auto"/>
                                                        <w:right w:val="none" w:sz="0" w:space="0" w:color="auto"/>
                                                      </w:divBdr>
                                                      <w:divsChild>
                                                        <w:div w:id="176221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803587">
                                              <w:marLeft w:val="0"/>
                                              <w:marRight w:val="0"/>
                                              <w:marTop w:val="0"/>
                                              <w:marBottom w:val="0"/>
                                              <w:divBdr>
                                                <w:top w:val="none" w:sz="0" w:space="0" w:color="auto"/>
                                                <w:left w:val="none" w:sz="0" w:space="0" w:color="auto"/>
                                                <w:bottom w:val="none" w:sz="0" w:space="0" w:color="auto"/>
                                                <w:right w:val="none" w:sz="0" w:space="0" w:color="auto"/>
                                              </w:divBdr>
                                              <w:divsChild>
                                                <w:div w:id="1345594068">
                                                  <w:marLeft w:val="0"/>
                                                  <w:marRight w:val="0"/>
                                                  <w:marTop w:val="0"/>
                                                  <w:marBottom w:val="0"/>
                                                  <w:divBdr>
                                                    <w:top w:val="none" w:sz="0" w:space="0" w:color="auto"/>
                                                    <w:left w:val="none" w:sz="0" w:space="0" w:color="auto"/>
                                                    <w:bottom w:val="none" w:sz="0" w:space="0" w:color="auto"/>
                                                    <w:right w:val="none" w:sz="0" w:space="0" w:color="auto"/>
                                                  </w:divBdr>
                                                  <w:divsChild>
                                                    <w:div w:id="165081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470876">
                                              <w:marLeft w:val="0"/>
                                              <w:marRight w:val="0"/>
                                              <w:marTop w:val="0"/>
                                              <w:marBottom w:val="0"/>
                                              <w:divBdr>
                                                <w:top w:val="none" w:sz="0" w:space="0" w:color="auto"/>
                                                <w:left w:val="none" w:sz="0" w:space="0" w:color="auto"/>
                                                <w:bottom w:val="none" w:sz="0" w:space="0" w:color="auto"/>
                                                <w:right w:val="none" w:sz="0" w:space="0" w:color="auto"/>
                                              </w:divBdr>
                                              <w:divsChild>
                                                <w:div w:id="1933931772">
                                                  <w:marLeft w:val="0"/>
                                                  <w:marRight w:val="0"/>
                                                  <w:marTop w:val="0"/>
                                                  <w:marBottom w:val="0"/>
                                                  <w:divBdr>
                                                    <w:top w:val="none" w:sz="0" w:space="0" w:color="auto"/>
                                                    <w:left w:val="none" w:sz="0" w:space="0" w:color="auto"/>
                                                    <w:bottom w:val="none" w:sz="0" w:space="0" w:color="auto"/>
                                                    <w:right w:val="none" w:sz="0" w:space="0" w:color="auto"/>
                                                  </w:divBdr>
                                                  <w:divsChild>
                                                    <w:div w:id="56167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3675898">
      <w:bodyDiv w:val="1"/>
      <w:marLeft w:val="0"/>
      <w:marRight w:val="0"/>
      <w:marTop w:val="0"/>
      <w:marBottom w:val="0"/>
      <w:divBdr>
        <w:top w:val="none" w:sz="0" w:space="0" w:color="auto"/>
        <w:left w:val="none" w:sz="0" w:space="0" w:color="auto"/>
        <w:bottom w:val="none" w:sz="0" w:space="0" w:color="auto"/>
        <w:right w:val="none" w:sz="0" w:space="0" w:color="auto"/>
      </w:divBdr>
      <w:divsChild>
        <w:div w:id="1725253047">
          <w:marLeft w:val="0"/>
          <w:marRight w:val="0"/>
          <w:marTop w:val="0"/>
          <w:marBottom w:val="0"/>
          <w:divBdr>
            <w:top w:val="none" w:sz="0" w:space="0" w:color="auto"/>
            <w:left w:val="none" w:sz="0" w:space="0" w:color="auto"/>
            <w:bottom w:val="none" w:sz="0" w:space="0" w:color="auto"/>
            <w:right w:val="none" w:sz="0" w:space="0" w:color="auto"/>
          </w:divBdr>
          <w:divsChild>
            <w:div w:id="816336517">
              <w:marLeft w:val="0"/>
              <w:marRight w:val="0"/>
              <w:marTop w:val="0"/>
              <w:marBottom w:val="0"/>
              <w:divBdr>
                <w:top w:val="none" w:sz="0" w:space="0" w:color="auto"/>
                <w:left w:val="none" w:sz="0" w:space="0" w:color="auto"/>
                <w:bottom w:val="none" w:sz="0" w:space="0" w:color="auto"/>
                <w:right w:val="none" w:sz="0" w:space="0" w:color="auto"/>
              </w:divBdr>
              <w:divsChild>
                <w:div w:id="882712526">
                  <w:marLeft w:val="0"/>
                  <w:marRight w:val="0"/>
                  <w:marTop w:val="0"/>
                  <w:marBottom w:val="0"/>
                  <w:divBdr>
                    <w:top w:val="none" w:sz="0" w:space="0" w:color="auto"/>
                    <w:left w:val="none" w:sz="0" w:space="0" w:color="auto"/>
                    <w:bottom w:val="none" w:sz="0" w:space="0" w:color="auto"/>
                    <w:right w:val="none" w:sz="0" w:space="0" w:color="auto"/>
                  </w:divBdr>
                  <w:divsChild>
                    <w:div w:id="761025360">
                      <w:marLeft w:val="0"/>
                      <w:marRight w:val="0"/>
                      <w:marTop w:val="0"/>
                      <w:marBottom w:val="0"/>
                      <w:divBdr>
                        <w:top w:val="none" w:sz="0" w:space="0" w:color="auto"/>
                        <w:left w:val="none" w:sz="0" w:space="0" w:color="auto"/>
                        <w:bottom w:val="none" w:sz="0" w:space="0" w:color="auto"/>
                        <w:right w:val="none" w:sz="0" w:space="0" w:color="auto"/>
                      </w:divBdr>
                      <w:divsChild>
                        <w:div w:id="1869754389">
                          <w:marLeft w:val="0"/>
                          <w:marRight w:val="0"/>
                          <w:marTop w:val="0"/>
                          <w:marBottom w:val="0"/>
                          <w:divBdr>
                            <w:top w:val="none" w:sz="0" w:space="0" w:color="auto"/>
                            <w:left w:val="none" w:sz="0" w:space="0" w:color="auto"/>
                            <w:bottom w:val="none" w:sz="0" w:space="0" w:color="auto"/>
                            <w:right w:val="none" w:sz="0" w:space="0" w:color="auto"/>
                          </w:divBdr>
                          <w:divsChild>
                            <w:div w:id="1821651771">
                              <w:marLeft w:val="0"/>
                              <w:marRight w:val="0"/>
                              <w:marTop w:val="0"/>
                              <w:marBottom w:val="0"/>
                              <w:divBdr>
                                <w:top w:val="none" w:sz="0" w:space="0" w:color="auto"/>
                                <w:left w:val="none" w:sz="0" w:space="0" w:color="auto"/>
                                <w:bottom w:val="none" w:sz="0" w:space="0" w:color="auto"/>
                                <w:right w:val="none" w:sz="0" w:space="0" w:color="auto"/>
                              </w:divBdr>
                              <w:divsChild>
                                <w:div w:id="916788228">
                                  <w:marLeft w:val="0"/>
                                  <w:marRight w:val="0"/>
                                  <w:marTop w:val="0"/>
                                  <w:marBottom w:val="0"/>
                                  <w:divBdr>
                                    <w:top w:val="none" w:sz="0" w:space="0" w:color="auto"/>
                                    <w:left w:val="none" w:sz="0" w:space="0" w:color="auto"/>
                                    <w:bottom w:val="none" w:sz="0" w:space="0" w:color="auto"/>
                                    <w:right w:val="none" w:sz="0" w:space="0" w:color="auto"/>
                                  </w:divBdr>
                                  <w:divsChild>
                                    <w:div w:id="660154609">
                                      <w:marLeft w:val="0"/>
                                      <w:marRight w:val="0"/>
                                      <w:marTop w:val="0"/>
                                      <w:marBottom w:val="0"/>
                                      <w:divBdr>
                                        <w:top w:val="none" w:sz="0" w:space="0" w:color="auto"/>
                                        <w:left w:val="none" w:sz="0" w:space="0" w:color="auto"/>
                                        <w:bottom w:val="none" w:sz="0" w:space="0" w:color="auto"/>
                                        <w:right w:val="none" w:sz="0" w:space="0" w:color="auto"/>
                                      </w:divBdr>
                                      <w:divsChild>
                                        <w:div w:id="279382755">
                                          <w:marLeft w:val="0"/>
                                          <w:marRight w:val="0"/>
                                          <w:marTop w:val="0"/>
                                          <w:marBottom w:val="0"/>
                                          <w:divBdr>
                                            <w:top w:val="none" w:sz="0" w:space="0" w:color="auto"/>
                                            <w:left w:val="none" w:sz="0" w:space="0" w:color="auto"/>
                                            <w:bottom w:val="none" w:sz="0" w:space="0" w:color="auto"/>
                                            <w:right w:val="none" w:sz="0" w:space="0" w:color="auto"/>
                                          </w:divBdr>
                                          <w:divsChild>
                                            <w:div w:id="693846191">
                                              <w:marLeft w:val="0"/>
                                              <w:marRight w:val="0"/>
                                              <w:marTop w:val="0"/>
                                              <w:marBottom w:val="0"/>
                                              <w:divBdr>
                                                <w:top w:val="none" w:sz="0" w:space="0" w:color="auto"/>
                                                <w:left w:val="none" w:sz="0" w:space="0" w:color="auto"/>
                                                <w:bottom w:val="none" w:sz="0" w:space="0" w:color="auto"/>
                                                <w:right w:val="none" w:sz="0" w:space="0" w:color="auto"/>
                                              </w:divBdr>
                                              <w:divsChild>
                                                <w:div w:id="1730415978">
                                                  <w:marLeft w:val="0"/>
                                                  <w:marRight w:val="0"/>
                                                  <w:marTop w:val="0"/>
                                                  <w:marBottom w:val="0"/>
                                                  <w:divBdr>
                                                    <w:top w:val="none" w:sz="0" w:space="0" w:color="auto"/>
                                                    <w:left w:val="none" w:sz="0" w:space="0" w:color="auto"/>
                                                    <w:bottom w:val="none" w:sz="0" w:space="0" w:color="auto"/>
                                                    <w:right w:val="none" w:sz="0" w:space="0" w:color="auto"/>
                                                  </w:divBdr>
                                                  <w:divsChild>
                                                    <w:div w:id="42345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76009373">
          <w:marLeft w:val="0"/>
          <w:marRight w:val="0"/>
          <w:marTop w:val="0"/>
          <w:marBottom w:val="0"/>
          <w:divBdr>
            <w:top w:val="none" w:sz="0" w:space="0" w:color="auto"/>
            <w:left w:val="none" w:sz="0" w:space="0" w:color="auto"/>
            <w:bottom w:val="none" w:sz="0" w:space="0" w:color="auto"/>
            <w:right w:val="none" w:sz="0" w:space="0" w:color="auto"/>
          </w:divBdr>
          <w:divsChild>
            <w:div w:id="1248467231">
              <w:marLeft w:val="0"/>
              <w:marRight w:val="0"/>
              <w:marTop w:val="0"/>
              <w:marBottom w:val="0"/>
              <w:divBdr>
                <w:top w:val="none" w:sz="0" w:space="0" w:color="auto"/>
                <w:left w:val="none" w:sz="0" w:space="0" w:color="auto"/>
                <w:bottom w:val="none" w:sz="0" w:space="0" w:color="auto"/>
                <w:right w:val="none" w:sz="0" w:space="0" w:color="auto"/>
              </w:divBdr>
              <w:divsChild>
                <w:div w:id="1878812731">
                  <w:marLeft w:val="0"/>
                  <w:marRight w:val="0"/>
                  <w:marTop w:val="0"/>
                  <w:marBottom w:val="0"/>
                  <w:divBdr>
                    <w:top w:val="none" w:sz="0" w:space="0" w:color="auto"/>
                    <w:left w:val="none" w:sz="0" w:space="0" w:color="auto"/>
                    <w:bottom w:val="none" w:sz="0" w:space="0" w:color="auto"/>
                    <w:right w:val="none" w:sz="0" w:space="0" w:color="auto"/>
                  </w:divBdr>
                  <w:divsChild>
                    <w:div w:id="891696278">
                      <w:marLeft w:val="0"/>
                      <w:marRight w:val="0"/>
                      <w:marTop w:val="0"/>
                      <w:marBottom w:val="0"/>
                      <w:divBdr>
                        <w:top w:val="none" w:sz="0" w:space="0" w:color="auto"/>
                        <w:left w:val="none" w:sz="0" w:space="0" w:color="auto"/>
                        <w:bottom w:val="none" w:sz="0" w:space="0" w:color="auto"/>
                        <w:right w:val="none" w:sz="0" w:space="0" w:color="auto"/>
                      </w:divBdr>
                      <w:divsChild>
                        <w:div w:id="81339769">
                          <w:marLeft w:val="0"/>
                          <w:marRight w:val="0"/>
                          <w:marTop w:val="0"/>
                          <w:marBottom w:val="0"/>
                          <w:divBdr>
                            <w:top w:val="none" w:sz="0" w:space="0" w:color="auto"/>
                            <w:left w:val="none" w:sz="0" w:space="0" w:color="auto"/>
                            <w:bottom w:val="none" w:sz="0" w:space="0" w:color="auto"/>
                            <w:right w:val="none" w:sz="0" w:space="0" w:color="auto"/>
                          </w:divBdr>
                          <w:divsChild>
                            <w:div w:id="141125259">
                              <w:marLeft w:val="0"/>
                              <w:marRight w:val="0"/>
                              <w:marTop w:val="0"/>
                              <w:marBottom w:val="0"/>
                              <w:divBdr>
                                <w:top w:val="none" w:sz="0" w:space="0" w:color="auto"/>
                                <w:left w:val="none" w:sz="0" w:space="0" w:color="auto"/>
                                <w:bottom w:val="none" w:sz="0" w:space="0" w:color="auto"/>
                                <w:right w:val="none" w:sz="0" w:space="0" w:color="auto"/>
                              </w:divBdr>
                              <w:divsChild>
                                <w:div w:id="270548509">
                                  <w:marLeft w:val="0"/>
                                  <w:marRight w:val="0"/>
                                  <w:marTop w:val="0"/>
                                  <w:marBottom w:val="0"/>
                                  <w:divBdr>
                                    <w:top w:val="none" w:sz="0" w:space="0" w:color="auto"/>
                                    <w:left w:val="none" w:sz="0" w:space="0" w:color="auto"/>
                                    <w:bottom w:val="none" w:sz="0" w:space="0" w:color="auto"/>
                                    <w:right w:val="none" w:sz="0" w:space="0" w:color="auto"/>
                                  </w:divBdr>
                                  <w:divsChild>
                                    <w:div w:id="622344018">
                                      <w:marLeft w:val="0"/>
                                      <w:marRight w:val="0"/>
                                      <w:marTop w:val="0"/>
                                      <w:marBottom w:val="0"/>
                                      <w:divBdr>
                                        <w:top w:val="none" w:sz="0" w:space="0" w:color="auto"/>
                                        <w:left w:val="none" w:sz="0" w:space="0" w:color="auto"/>
                                        <w:bottom w:val="none" w:sz="0" w:space="0" w:color="auto"/>
                                        <w:right w:val="none" w:sz="0" w:space="0" w:color="auto"/>
                                      </w:divBdr>
                                      <w:divsChild>
                                        <w:div w:id="1877352197">
                                          <w:marLeft w:val="0"/>
                                          <w:marRight w:val="0"/>
                                          <w:marTop w:val="0"/>
                                          <w:marBottom w:val="0"/>
                                          <w:divBdr>
                                            <w:top w:val="none" w:sz="0" w:space="0" w:color="auto"/>
                                            <w:left w:val="none" w:sz="0" w:space="0" w:color="auto"/>
                                            <w:bottom w:val="none" w:sz="0" w:space="0" w:color="auto"/>
                                            <w:right w:val="none" w:sz="0" w:space="0" w:color="auto"/>
                                          </w:divBdr>
                                          <w:divsChild>
                                            <w:div w:id="2083527902">
                                              <w:marLeft w:val="0"/>
                                              <w:marRight w:val="0"/>
                                              <w:marTop w:val="0"/>
                                              <w:marBottom w:val="0"/>
                                              <w:divBdr>
                                                <w:top w:val="none" w:sz="0" w:space="0" w:color="auto"/>
                                                <w:left w:val="none" w:sz="0" w:space="0" w:color="auto"/>
                                                <w:bottom w:val="none" w:sz="0" w:space="0" w:color="auto"/>
                                                <w:right w:val="none" w:sz="0" w:space="0" w:color="auto"/>
                                              </w:divBdr>
                                              <w:divsChild>
                                                <w:div w:id="1162281063">
                                                  <w:marLeft w:val="0"/>
                                                  <w:marRight w:val="0"/>
                                                  <w:marTop w:val="0"/>
                                                  <w:marBottom w:val="0"/>
                                                  <w:divBdr>
                                                    <w:top w:val="none" w:sz="0" w:space="0" w:color="auto"/>
                                                    <w:left w:val="none" w:sz="0" w:space="0" w:color="auto"/>
                                                    <w:bottom w:val="none" w:sz="0" w:space="0" w:color="auto"/>
                                                    <w:right w:val="none" w:sz="0" w:space="0" w:color="auto"/>
                                                  </w:divBdr>
                                                  <w:divsChild>
                                                    <w:div w:id="58426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790266">
                                      <w:marLeft w:val="0"/>
                                      <w:marRight w:val="0"/>
                                      <w:marTop w:val="0"/>
                                      <w:marBottom w:val="0"/>
                                      <w:divBdr>
                                        <w:top w:val="none" w:sz="0" w:space="0" w:color="auto"/>
                                        <w:left w:val="none" w:sz="0" w:space="0" w:color="auto"/>
                                        <w:bottom w:val="none" w:sz="0" w:space="0" w:color="auto"/>
                                        <w:right w:val="none" w:sz="0" w:space="0" w:color="auto"/>
                                      </w:divBdr>
                                      <w:divsChild>
                                        <w:div w:id="924194709">
                                          <w:marLeft w:val="0"/>
                                          <w:marRight w:val="0"/>
                                          <w:marTop w:val="0"/>
                                          <w:marBottom w:val="0"/>
                                          <w:divBdr>
                                            <w:top w:val="none" w:sz="0" w:space="0" w:color="auto"/>
                                            <w:left w:val="none" w:sz="0" w:space="0" w:color="auto"/>
                                            <w:bottom w:val="none" w:sz="0" w:space="0" w:color="auto"/>
                                            <w:right w:val="none" w:sz="0" w:space="0" w:color="auto"/>
                                          </w:divBdr>
                                          <w:divsChild>
                                            <w:div w:id="536820381">
                                              <w:marLeft w:val="0"/>
                                              <w:marRight w:val="0"/>
                                              <w:marTop w:val="0"/>
                                              <w:marBottom w:val="0"/>
                                              <w:divBdr>
                                                <w:top w:val="none" w:sz="0" w:space="0" w:color="auto"/>
                                                <w:left w:val="none" w:sz="0" w:space="0" w:color="auto"/>
                                                <w:bottom w:val="none" w:sz="0" w:space="0" w:color="auto"/>
                                                <w:right w:val="none" w:sz="0" w:space="0" w:color="auto"/>
                                              </w:divBdr>
                                              <w:divsChild>
                                                <w:div w:id="1098867239">
                                                  <w:marLeft w:val="0"/>
                                                  <w:marRight w:val="0"/>
                                                  <w:marTop w:val="0"/>
                                                  <w:marBottom w:val="0"/>
                                                  <w:divBdr>
                                                    <w:top w:val="none" w:sz="0" w:space="0" w:color="auto"/>
                                                    <w:left w:val="none" w:sz="0" w:space="0" w:color="auto"/>
                                                    <w:bottom w:val="none" w:sz="0" w:space="0" w:color="auto"/>
                                                    <w:right w:val="none" w:sz="0" w:space="0" w:color="auto"/>
                                                  </w:divBdr>
                                                  <w:divsChild>
                                                    <w:div w:id="1092776769">
                                                      <w:marLeft w:val="0"/>
                                                      <w:marRight w:val="0"/>
                                                      <w:marTop w:val="0"/>
                                                      <w:marBottom w:val="0"/>
                                                      <w:divBdr>
                                                        <w:top w:val="none" w:sz="0" w:space="0" w:color="auto"/>
                                                        <w:left w:val="none" w:sz="0" w:space="0" w:color="auto"/>
                                                        <w:bottom w:val="none" w:sz="0" w:space="0" w:color="auto"/>
                                                        <w:right w:val="none" w:sz="0" w:space="0" w:color="auto"/>
                                                      </w:divBdr>
                                                      <w:divsChild>
                                                        <w:div w:id="140641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438073">
                                              <w:marLeft w:val="0"/>
                                              <w:marRight w:val="0"/>
                                              <w:marTop w:val="0"/>
                                              <w:marBottom w:val="0"/>
                                              <w:divBdr>
                                                <w:top w:val="none" w:sz="0" w:space="0" w:color="auto"/>
                                                <w:left w:val="none" w:sz="0" w:space="0" w:color="auto"/>
                                                <w:bottom w:val="none" w:sz="0" w:space="0" w:color="auto"/>
                                                <w:right w:val="none" w:sz="0" w:space="0" w:color="auto"/>
                                              </w:divBdr>
                                              <w:divsChild>
                                                <w:div w:id="1798839868">
                                                  <w:marLeft w:val="0"/>
                                                  <w:marRight w:val="0"/>
                                                  <w:marTop w:val="0"/>
                                                  <w:marBottom w:val="0"/>
                                                  <w:divBdr>
                                                    <w:top w:val="none" w:sz="0" w:space="0" w:color="auto"/>
                                                    <w:left w:val="none" w:sz="0" w:space="0" w:color="auto"/>
                                                    <w:bottom w:val="none" w:sz="0" w:space="0" w:color="auto"/>
                                                    <w:right w:val="none" w:sz="0" w:space="0" w:color="auto"/>
                                                  </w:divBdr>
                                                  <w:divsChild>
                                                    <w:div w:id="114546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86730">
                                              <w:marLeft w:val="0"/>
                                              <w:marRight w:val="0"/>
                                              <w:marTop w:val="0"/>
                                              <w:marBottom w:val="0"/>
                                              <w:divBdr>
                                                <w:top w:val="none" w:sz="0" w:space="0" w:color="auto"/>
                                                <w:left w:val="none" w:sz="0" w:space="0" w:color="auto"/>
                                                <w:bottom w:val="none" w:sz="0" w:space="0" w:color="auto"/>
                                                <w:right w:val="none" w:sz="0" w:space="0" w:color="auto"/>
                                              </w:divBdr>
                                              <w:divsChild>
                                                <w:div w:id="1623611934">
                                                  <w:marLeft w:val="0"/>
                                                  <w:marRight w:val="0"/>
                                                  <w:marTop w:val="0"/>
                                                  <w:marBottom w:val="0"/>
                                                  <w:divBdr>
                                                    <w:top w:val="none" w:sz="0" w:space="0" w:color="auto"/>
                                                    <w:left w:val="none" w:sz="0" w:space="0" w:color="auto"/>
                                                    <w:bottom w:val="none" w:sz="0" w:space="0" w:color="auto"/>
                                                    <w:right w:val="none" w:sz="0" w:space="0" w:color="auto"/>
                                                  </w:divBdr>
                                                  <w:divsChild>
                                                    <w:div w:id="144861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3620656">
      <w:bodyDiv w:val="1"/>
      <w:marLeft w:val="0"/>
      <w:marRight w:val="0"/>
      <w:marTop w:val="0"/>
      <w:marBottom w:val="0"/>
      <w:divBdr>
        <w:top w:val="none" w:sz="0" w:space="0" w:color="auto"/>
        <w:left w:val="none" w:sz="0" w:space="0" w:color="auto"/>
        <w:bottom w:val="none" w:sz="0" w:space="0" w:color="auto"/>
        <w:right w:val="none" w:sz="0" w:space="0" w:color="auto"/>
      </w:divBdr>
    </w:div>
    <w:div w:id="1822428580">
      <w:bodyDiv w:val="1"/>
      <w:marLeft w:val="0"/>
      <w:marRight w:val="0"/>
      <w:marTop w:val="0"/>
      <w:marBottom w:val="0"/>
      <w:divBdr>
        <w:top w:val="none" w:sz="0" w:space="0" w:color="auto"/>
        <w:left w:val="none" w:sz="0" w:space="0" w:color="auto"/>
        <w:bottom w:val="none" w:sz="0" w:space="0" w:color="auto"/>
        <w:right w:val="none" w:sz="0" w:space="0" w:color="auto"/>
      </w:divBdr>
    </w:div>
    <w:div w:id="1858037391">
      <w:bodyDiv w:val="1"/>
      <w:marLeft w:val="0"/>
      <w:marRight w:val="0"/>
      <w:marTop w:val="0"/>
      <w:marBottom w:val="0"/>
      <w:divBdr>
        <w:top w:val="none" w:sz="0" w:space="0" w:color="auto"/>
        <w:left w:val="none" w:sz="0" w:space="0" w:color="auto"/>
        <w:bottom w:val="none" w:sz="0" w:space="0" w:color="auto"/>
        <w:right w:val="none" w:sz="0" w:space="0" w:color="auto"/>
      </w:divBdr>
    </w:div>
    <w:div w:id="1976909704">
      <w:bodyDiv w:val="1"/>
      <w:marLeft w:val="0"/>
      <w:marRight w:val="0"/>
      <w:marTop w:val="0"/>
      <w:marBottom w:val="0"/>
      <w:divBdr>
        <w:top w:val="none" w:sz="0" w:space="0" w:color="auto"/>
        <w:left w:val="none" w:sz="0" w:space="0" w:color="auto"/>
        <w:bottom w:val="none" w:sz="0" w:space="0" w:color="auto"/>
        <w:right w:val="none" w:sz="0" w:space="0" w:color="auto"/>
      </w:divBdr>
      <w:divsChild>
        <w:div w:id="1322732570">
          <w:marLeft w:val="0"/>
          <w:marRight w:val="0"/>
          <w:marTop w:val="0"/>
          <w:marBottom w:val="0"/>
          <w:divBdr>
            <w:top w:val="none" w:sz="0" w:space="0" w:color="auto"/>
            <w:left w:val="none" w:sz="0" w:space="0" w:color="auto"/>
            <w:bottom w:val="none" w:sz="0" w:space="0" w:color="auto"/>
            <w:right w:val="none" w:sz="0" w:space="0" w:color="auto"/>
          </w:divBdr>
          <w:divsChild>
            <w:div w:id="241984881">
              <w:marLeft w:val="0"/>
              <w:marRight w:val="0"/>
              <w:marTop w:val="0"/>
              <w:marBottom w:val="0"/>
              <w:divBdr>
                <w:top w:val="none" w:sz="0" w:space="0" w:color="auto"/>
                <w:left w:val="none" w:sz="0" w:space="0" w:color="auto"/>
                <w:bottom w:val="none" w:sz="0" w:space="0" w:color="auto"/>
                <w:right w:val="none" w:sz="0" w:space="0" w:color="auto"/>
              </w:divBdr>
              <w:divsChild>
                <w:div w:id="1893105390">
                  <w:marLeft w:val="0"/>
                  <w:marRight w:val="0"/>
                  <w:marTop w:val="0"/>
                  <w:marBottom w:val="0"/>
                  <w:divBdr>
                    <w:top w:val="none" w:sz="0" w:space="0" w:color="auto"/>
                    <w:left w:val="none" w:sz="0" w:space="0" w:color="auto"/>
                    <w:bottom w:val="none" w:sz="0" w:space="0" w:color="auto"/>
                    <w:right w:val="none" w:sz="0" w:space="0" w:color="auto"/>
                  </w:divBdr>
                  <w:divsChild>
                    <w:div w:id="2028604453">
                      <w:marLeft w:val="0"/>
                      <w:marRight w:val="0"/>
                      <w:marTop w:val="0"/>
                      <w:marBottom w:val="0"/>
                      <w:divBdr>
                        <w:top w:val="none" w:sz="0" w:space="0" w:color="auto"/>
                        <w:left w:val="none" w:sz="0" w:space="0" w:color="auto"/>
                        <w:bottom w:val="none" w:sz="0" w:space="0" w:color="auto"/>
                        <w:right w:val="none" w:sz="0" w:space="0" w:color="auto"/>
                      </w:divBdr>
                      <w:divsChild>
                        <w:div w:id="499740539">
                          <w:marLeft w:val="0"/>
                          <w:marRight w:val="0"/>
                          <w:marTop w:val="0"/>
                          <w:marBottom w:val="0"/>
                          <w:divBdr>
                            <w:top w:val="none" w:sz="0" w:space="0" w:color="auto"/>
                            <w:left w:val="none" w:sz="0" w:space="0" w:color="auto"/>
                            <w:bottom w:val="none" w:sz="0" w:space="0" w:color="auto"/>
                            <w:right w:val="none" w:sz="0" w:space="0" w:color="auto"/>
                          </w:divBdr>
                          <w:divsChild>
                            <w:div w:id="150874726">
                              <w:marLeft w:val="0"/>
                              <w:marRight w:val="0"/>
                              <w:marTop w:val="0"/>
                              <w:marBottom w:val="0"/>
                              <w:divBdr>
                                <w:top w:val="none" w:sz="0" w:space="0" w:color="auto"/>
                                <w:left w:val="none" w:sz="0" w:space="0" w:color="auto"/>
                                <w:bottom w:val="none" w:sz="0" w:space="0" w:color="auto"/>
                                <w:right w:val="none" w:sz="0" w:space="0" w:color="auto"/>
                              </w:divBdr>
                              <w:divsChild>
                                <w:div w:id="1816407327">
                                  <w:marLeft w:val="0"/>
                                  <w:marRight w:val="0"/>
                                  <w:marTop w:val="0"/>
                                  <w:marBottom w:val="0"/>
                                  <w:divBdr>
                                    <w:top w:val="none" w:sz="0" w:space="0" w:color="auto"/>
                                    <w:left w:val="none" w:sz="0" w:space="0" w:color="auto"/>
                                    <w:bottom w:val="none" w:sz="0" w:space="0" w:color="auto"/>
                                    <w:right w:val="none" w:sz="0" w:space="0" w:color="auto"/>
                                  </w:divBdr>
                                  <w:divsChild>
                                    <w:div w:id="553345931">
                                      <w:marLeft w:val="0"/>
                                      <w:marRight w:val="0"/>
                                      <w:marTop w:val="0"/>
                                      <w:marBottom w:val="0"/>
                                      <w:divBdr>
                                        <w:top w:val="none" w:sz="0" w:space="0" w:color="auto"/>
                                        <w:left w:val="none" w:sz="0" w:space="0" w:color="auto"/>
                                        <w:bottom w:val="none" w:sz="0" w:space="0" w:color="auto"/>
                                        <w:right w:val="none" w:sz="0" w:space="0" w:color="auto"/>
                                      </w:divBdr>
                                      <w:divsChild>
                                        <w:div w:id="417602940">
                                          <w:marLeft w:val="0"/>
                                          <w:marRight w:val="0"/>
                                          <w:marTop w:val="0"/>
                                          <w:marBottom w:val="0"/>
                                          <w:divBdr>
                                            <w:top w:val="none" w:sz="0" w:space="0" w:color="auto"/>
                                            <w:left w:val="none" w:sz="0" w:space="0" w:color="auto"/>
                                            <w:bottom w:val="none" w:sz="0" w:space="0" w:color="auto"/>
                                            <w:right w:val="none" w:sz="0" w:space="0" w:color="auto"/>
                                          </w:divBdr>
                                          <w:divsChild>
                                            <w:div w:id="219482844">
                                              <w:marLeft w:val="0"/>
                                              <w:marRight w:val="0"/>
                                              <w:marTop w:val="0"/>
                                              <w:marBottom w:val="0"/>
                                              <w:divBdr>
                                                <w:top w:val="none" w:sz="0" w:space="0" w:color="auto"/>
                                                <w:left w:val="none" w:sz="0" w:space="0" w:color="auto"/>
                                                <w:bottom w:val="none" w:sz="0" w:space="0" w:color="auto"/>
                                                <w:right w:val="none" w:sz="0" w:space="0" w:color="auto"/>
                                              </w:divBdr>
                                              <w:divsChild>
                                                <w:div w:id="1171993657">
                                                  <w:marLeft w:val="0"/>
                                                  <w:marRight w:val="0"/>
                                                  <w:marTop w:val="0"/>
                                                  <w:marBottom w:val="0"/>
                                                  <w:divBdr>
                                                    <w:top w:val="none" w:sz="0" w:space="0" w:color="auto"/>
                                                    <w:left w:val="none" w:sz="0" w:space="0" w:color="auto"/>
                                                    <w:bottom w:val="none" w:sz="0" w:space="0" w:color="auto"/>
                                                    <w:right w:val="none" w:sz="0" w:space="0" w:color="auto"/>
                                                  </w:divBdr>
                                                  <w:divsChild>
                                                    <w:div w:id="173894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9045839">
          <w:marLeft w:val="0"/>
          <w:marRight w:val="0"/>
          <w:marTop w:val="0"/>
          <w:marBottom w:val="0"/>
          <w:divBdr>
            <w:top w:val="none" w:sz="0" w:space="0" w:color="auto"/>
            <w:left w:val="none" w:sz="0" w:space="0" w:color="auto"/>
            <w:bottom w:val="none" w:sz="0" w:space="0" w:color="auto"/>
            <w:right w:val="none" w:sz="0" w:space="0" w:color="auto"/>
          </w:divBdr>
          <w:divsChild>
            <w:div w:id="245001131">
              <w:marLeft w:val="0"/>
              <w:marRight w:val="0"/>
              <w:marTop w:val="0"/>
              <w:marBottom w:val="0"/>
              <w:divBdr>
                <w:top w:val="none" w:sz="0" w:space="0" w:color="auto"/>
                <w:left w:val="none" w:sz="0" w:space="0" w:color="auto"/>
                <w:bottom w:val="none" w:sz="0" w:space="0" w:color="auto"/>
                <w:right w:val="none" w:sz="0" w:space="0" w:color="auto"/>
              </w:divBdr>
              <w:divsChild>
                <w:div w:id="865411345">
                  <w:marLeft w:val="0"/>
                  <w:marRight w:val="0"/>
                  <w:marTop w:val="0"/>
                  <w:marBottom w:val="0"/>
                  <w:divBdr>
                    <w:top w:val="none" w:sz="0" w:space="0" w:color="auto"/>
                    <w:left w:val="none" w:sz="0" w:space="0" w:color="auto"/>
                    <w:bottom w:val="none" w:sz="0" w:space="0" w:color="auto"/>
                    <w:right w:val="none" w:sz="0" w:space="0" w:color="auto"/>
                  </w:divBdr>
                  <w:divsChild>
                    <w:div w:id="2049336111">
                      <w:marLeft w:val="0"/>
                      <w:marRight w:val="0"/>
                      <w:marTop w:val="0"/>
                      <w:marBottom w:val="0"/>
                      <w:divBdr>
                        <w:top w:val="none" w:sz="0" w:space="0" w:color="auto"/>
                        <w:left w:val="none" w:sz="0" w:space="0" w:color="auto"/>
                        <w:bottom w:val="none" w:sz="0" w:space="0" w:color="auto"/>
                        <w:right w:val="none" w:sz="0" w:space="0" w:color="auto"/>
                      </w:divBdr>
                      <w:divsChild>
                        <w:div w:id="181096283">
                          <w:marLeft w:val="0"/>
                          <w:marRight w:val="0"/>
                          <w:marTop w:val="0"/>
                          <w:marBottom w:val="0"/>
                          <w:divBdr>
                            <w:top w:val="none" w:sz="0" w:space="0" w:color="auto"/>
                            <w:left w:val="none" w:sz="0" w:space="0" w:color="auto"/>
                            <w:bottom w:val="none" w:sz="0" w:space="0" w:color="auto"/>
                            <w:right w:val="none" w:sz="0" w:space="0" w:color="auto"/>
                          </w:divBdr>
                          <w:divsChild>
                            <w:div w:id="1891262908">
                              <w:marLeft w:val="0"/>
                              <w:marRight w:val="0"/>
                              <w:marTop w:val="0"/>
                              <w:marBottom w:val="0"/>
                              <w:divBdr>
                                <w:top w:val="none" w:sz="0" w:space="0" w:color="auto"/>
                                <w:left w:val="none" w:sz="0" w:space="0" w:color="auto"/>
                                <w:bottom w:val="none" w:sz="0" w:space="0" w:color="auto"/>
                                <w:right w:val="none" w:sz="0" w:space="0" w:color="auto"/>
                              </w:divBdr>
                              <w:divsChild>
                                <w:div w:id="10910701">
                                  <w:marLeft w:val="0"/>
                                  <w:marRight w:val="0"/>
                                  <w:marTop w:val="0"/>
                                  <w:marBottom w:val="0"/>
                                  <w:divBdr>
                                    <w:top w:val="none" w:sz="0" w:space="0" w:color="auto"/>
                                    <w:left w:val="none" w:sz="0" w:space="0" w:color="auto"/>
                                    <w:bottom w:val="none" w:sz="0" w:space="0" w:color="auto"/>
                                    <w:right w:val="none" w:sz="0" w:space="0" w:color="auto"/>
                                  </w:divBdr>
                                  <w:divsChild>
                                    <w:div w:id="462967373">
                                      <w:marLeft w:val="0"/>
                                      <w:marRight w:val="0"/>
                                      <w:marTop w:val="0"/>
                                      <w:marBottom w:val="0"/>
                                      <w:divBdr>
                                        <w:top w:val="none" w:sz="0" w:space="0" w:color="auto"/>
                                        <w:left w:val="none" w:sz="0" w:space="0" w:color="auto"/>
                                        <w:bottom w:val="none" w:sz="0" w:space="0" w:color="auto"/>
                                        <w:right w:val="none" w:sz="0" w:space="0" w:color="auto"/>
                                      </w:divBdr>
                                      <w:divsChild>
                                        <w:div w:id="1723286764">
                                          <w:marLeft w:val="0"/>
                                          <w:marRight w:val="0"/>
                                          <w:marTop w:val="0"/>
                                          <w:marBottom w:val="0"/>
                                          <w:divBdr>
                                            <w:top w:val="none" w:sz="0" w:space="0" w:color="auto"/>
                                            <w:left w:val="none" w:sz="0" w:space="0" w:color="auto"/>
                                            <w:bottom w:val="none" w:sz="0" w:space="0" w:color="auto"/>
                                            <w:right w:val="none" w:sz="0" w:space="0" w:color="auto"/>
                                          </w:divBdr>
                                          <w:divsChild>
                                            <w:div w:id="352461509">
                                              <w:marLeft w:val="0"/>
                                              <w:marRight w:val="0"/>
                                              <w:marTop w:val="0"/>
                                              <w:marBottom w:val="0"/>
                                              <w:divBdr>
                                                <w:top w:val="none" w:sz="0" w:space="0" w:color="auto"/>
                                                <w:left w:val="none" w:sz="0" w:space="0" w:color="auto"/>
                                                <w:bottom w:val="none" w:sz="0" w:space="0" w:color="auto"/>
                                                <w:right w:val="none" w:sz="0" w:space="0" w:color="auto"/>
                                              </w:divBdr>
                                              <w:divsChild>
                                                <w:div w:id="69890203">
                                                  <w:marLeft w:val="0"/>
                                                  <w:marRight w:val="0"/>
                                                  <w:marTop w:val="0"/>
                                                  <w:marBottom w:val="0"/>
                                                  <w:divBdr>
                                                    <w:top w:val="none" w:sz="0" w:space="0" w:color="auto"/>
                                                    <w:left w:val="none" w:sz="0" w:space="0" w:color="auto"/>
                                                    <w:bottom w:val="none" w:sz="0" w:space="0" w:color="auto"/>
                                                    <w:right w:val="none" w:sz="0" w:space="0" w:color="auto"/>
                                                  </w:divBdr>
                                                  <w:divsChild>
                                                    <w:div w:id="29229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226313">
                                      <w:marLeft w:val="0"/>
                                      <w:marRight w:val="0"/>
                                      <w:marTop w:val="0"/>
                                      <w:marBottom w:val="0"/>
                                      <w:divBdr>
                                        <w:top w:val="none" w:sz="0" w:space="0" w:color="auto"/>
                                        <w:left w:val="none" w:sz="0" w:space="0" w:color="auto"/>
                                        <w:bottom w:val="none" w:sz="0" w:space="0" w:color="auto"/>
                                        <w:right w:val="none" w:sz="0" w:space="0" w:color="auto"/>
                                      </w:divBdr>
                                      <w:divsChild>
                                        <w:div w:id="922639881">
                                          <w:marLeft w:val="0"/>
                                          <w:marRight w:val="0"/>
                                          <w:marTop w:val="0"/>
                                          <w:marBottom w:val="0"/>
                                          <w:divBdr>
                                            <w:top w:val="none" w:sz="0" w:space="0" w:color="auto"/>
                                            <w:left w:val="none" w:sz="0" w:space="0" w:color="auto"/>
                                            <w:bottom w:val="none" w:sz="0" w:space="0" w:color="auto"/>
                                            <w:right w:val="none" w:sz="0" w:space="0" w:color="auto"/>
                                          </w:divBdr>
                                          <w:divsChild>
                                            <w:div w:id="341708877">
                                              <w:marLeft w:val="0"/>
                                              <w:marRight w:val="0"/>
                                              <w:marTop w:val="0"/>
                                              <w:marBottom w:val="0"/>
                                              <w:divBdr>
                                                <w:top w:val="none" w:sz="0" w:space="0" w:color="auto"/>
                                                <w:left w:val="none" w:sz="0" w:space="0" w:color="auto"/>
                                                <w:bottom w:val="none" w:sz="0" w:space="0" w:color="auto"/>
                                                <w:right w:val="none" w:sz="0" w:space="0" w:color="auto"/>
                                              </w:divBdr>
                                              <w:divsChild>
                                                <w:div w:id="860512290">
                                                  <w:marLeft w:val="0"/>
                                                  <w:marRight w:val="0"/>
                                                  <w:marTop w:val="0"/>
                                                  <w:marBottom w:val="0"/>
                                                  <w:divBdr>
                                                    <w:top w:val="none" w:sz="0" w:space="0" w:color="auto"/>
                                                    <w:left w:val="none" w:sz="0" w:space="0" w:color="auto"/>
                                                    <w:bottom w:val="none" w:sz="0" w:space="0" w:color="auto"/>
                                                    <w:right w:val="none" w:sz="0" w:space="0" w:color="auto"/>
                                                  </w:divBdr>
                                                  <w:divsChild>
                                                    <w:div w:id="208567636">
                                                      <w:marLeft w:val="0"/>
                                                      <w:marRight w:val="0"/>
                                                      <w:marTop w:val="0"/>
                                                      <w:marBottom w:val="0"/>
                                                      <w:divBdr>
                                                        <w:top w:val="none" w:sz="0" w:space="0" w:color="auto"/>
                                                        <w:left w:val="none" w:sz="0" w:space="0" w:color="auto"/>
                                                        <w:bottom w:val="none" w:sz="0" w:space="0" w:color="auto"/>
                                                        <w:right w:val="none" w:sz="0" w:space="0" w:color="auto"/>
                                                      </w:divBdr>
                                                      <w:divsChild>
                                                        <w:div w:id="193154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990492">
                                              <w:marLeft w:val="0"/>
                                              <w:marRight w:val="0"/>
                                              <w:marTop w:val="0"/>
                                              <w:marBottom w:val="0"/>
                                              <w:divBdr>
                                                <w:top w:val="none" w:sz="0" w:space="0" w:color="auto"/>
                                                <w:left w:val="none" w:sz="0" w:space="0" w:color="auto"/>
                                                <w:bottom w:val="none" w:sz="0" w:space="0" w:color="auto"/>
                                                <w:right w:val="none" w:sz="0" w:space="0" w:color="auto"/>
                                              </w:divBdr>
                                              <w:divsChild>
                                                <w:div w:id="1620334913">
                                                  <w:marLeft w:val="0"/>
                                                  <w:marRight w:val="0"/>
                                                  <w:marTop w:val="0"/>
                                                  <w:marBottom w:val="0"/>
                                                  <w:divBdr>
                                                    <w:top w:val="none" w:sz="0" w:space="0" w:color="auto"/>
                                                    <w:left w:val="none" w:sz="0" w:space="0" w:color="auto"/>
                                                    <w:bottom w:val="none" w:sz="0" w:space="0" w:color="auto"/>
                                                    <w:right w:val="none" w:sz="0" w:space="0" w:color="auto"/>
                                                  </w:divBdr>
                                                  <w:divsChild>
                                                    <w:div w:id="144700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3429">
                                              <w:marLeft w:val="0"/>
                                              <w:marRight w:val="0"/>
                                              <w:marTop w:val="0"/>
                                              <w:marBottom w:val="0"/>
                                              <w:divBdr>
                                                <w:top w:val="none" w:sz="0" w:space="0" w:color="auto"/>
                                                <w:left w:val="none" w:sz="0" w:space="0" w:color="auto"/>
                                                <w:bottom w:val="none" w:sz="0" w:space="0" w:color="auto"/>
                                                <w:right w:val="none" w:sz="0" w:space="0" w:color="auto"/>
                                              </w:divBdr>
                                              <w:divsChild>
                                                <w:div w:id="975837616">
                                                  <w:marLeft w:val="0"/>
                                                  <w:marRight w:val="0"/>
                                                  <w:marTop w:val="0"/>
                                                  <w:marBottom w:val="0"/>
                                                  <w:divBdr>
                                                    <w:top w:val="none" w:sz="0" w:space="0" w:color="auto"/>
                                                    <w:left w:val="none" w:sz="0" w:space="0" w:color="auto"/>
                                                    <w:bottom w:val="none" w:sz="0" w:space="0" w:color="auto"/>
                                                    <w:right w:val="none" w:sz="0" w:space="0" w:color="auto"/>
                                                  </w:divBdr>
                                                  <w:divsChild>
                                                    <w:div w:id="102702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8903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upremecourt.uk/cases/uksc-2009-0042" TargetMode="External"/><Relationship Id="rId21" Type="http://schemas.openxmlformats.org/officeDocument/2006/relationships/hyperlink" Target="https://www.acas.org.uk/discrimination-and-the-law" TargetMode="External"/><Relationship Id="rId42" Type="http://schemas.openxmlformats.org/officeDocument/2006/relationships/hyperlink" Target="https://www.gov.uk/maternity-pay-leave" TargetMode="External"/><Relationship Id="rId47" Type="http://schemas.openxmlformats.org/officeDocument/2006/relationships/hyperlink" Target="https://www.bailii.org/ew/cases/EWCA/Civ/2005/245.html" TargetMode="External"/><Relationship Id="rId63" Type="http://schemas.openxmlformats.org/officeDocument/2006/relationships/hyperlink" Target="https://www.thehrconsultants.co.uk/what-is-employment-law-why-is-it-important/" TargetMode="External"/><Relationship Id="rId68" Type="http://schemas.openxmlformats.org/officeDocument/2006/relationships/hyperlink" Target="https://doi.org/10.1017/bap.2022.21" TargetMode="External"/><Relationship Id="rId84" Type="http://schemas.openxmlformats.org/officeDocument/2006/relationships/hyperlink" Target="https://doi.org/10.1093/indlaw/dwaa014" TargetMode="External"/><Relationship Id="rId16" Type="http://schemas.openxmlformats.org/officeDocument/2006/relationships/hyperlink" Target="https://www.acas.org.uk/statutory-flexible-working-requests" TargetMode="External"/><Relationship Id="rId11" Type="http://schemas.openxmlformats.org/officeDocument/2006/relationships/hyperlink" Target="https://www.acas.org.uk/index.aspx?articleid=1655" TargetMode="External"/><Relationship Id="rId32" Type="http://schemas.openxmlformats.org/officeDocument/2006/relationships/hyperlink" Target="https://www.cipd.org/uk/knowledge/guides/managing-the-redundancy-process/" TargetMode="External"/><Relationship Id="rId37" Type="http://schemas.openxmlformats.org/officeDocument/2006/relationships/hyperlink" Target="https://www.legislation.gov.uk/ukpga/2010/15/contents/enacted" TargetMode="External"/><Relationship Id="rId53" Type="http://schemas.openxmlformats.org/officeDocument/2006/relationships/hyperlink" Target="https://doi.org/10.1093/indlaw/dws025" TargetMode="External"/><Relationship Id="rId58" Type="http://schemas.openxmlformats.org/officeDocument/2006/relationships/hyperlink" Target="https://curia.europa.eu/juris/document/document.jsf?text=&amp;docid=124504&amp;pageIndex=0&amp;doclang=EN&amp;mode=req&amp;dir=&amp;occ=first&amp;part=1" TargetMode="External"/><Relationship Id="rId74" Type="http://schemas.openxmlformats.org/officeDocument/2006/relationships/hyperlink" Target="https://www.legislation.gov.uk/uksi/2006/246/contents/made" TargetMode="External"/><Relationship Id="rId79" Type="http://schemas.openxmlformats.org/officeDocument/2006/relationships/hyperlink" Target="https://doi.org/10.1163/24056901-00303018" TargetMode="External"/><Relationship Id="rId5" Type="http://schemas.openxmlformats.org/officeDocument/2006/relationships/hyperlink" Target="https://www.gov.uk/government/publications/regulatory-judgement-golden-lane-housing-limited/golden-lane-housing-limited-4803-regulatory-judgement-15-january-2025" TargetMode="External"/><Relationship Id="rId19" Type="http://schemas.openxmlformats.org/officeDocument/2006/relationships/hyperlink" Target="https://www.acas.org.uk/equal-pay/equal-pay-law" TargetMode="External"/><Relationship Id="rId14" Type="http://schemas.openxmlformats.org/officeDocument/2006/relationships/hyperlink" Target="https://www.acas.org.uk/checking-holiday-entitlement/calculating-holiday-pay" TargetMode="External"/><Relationship Id="rId22" Type="http://schemas.openxmlformats.org/officeDocument/2006/relationships/hyperlink" Target="https://www.acas.org.uk/final-pay-when-someone-leaves-a-job/pay-during-the-notice-period" TargetMode="External"/><Relationship Id="rId27" Type="http://schemas.openxmlformats.org/officeDocument/2006/relationships/hyperlink" Target="https://doi.org/10.1080/09615768.2022.2093620" TargetMode="External"/><Relationship Id="rId30" Type="http://schemas.openxmlformats.org/officeDocument/2006/relationships/hyperlink" Target="https://www.cipd.org/uk/knowledge/factsheets/tupe-factsheet/" TargetMode="External"/><Relationship Id="rId35" Type="http://schemas.openxmlformats.org/officeDocument/2006/relationships/hyperlink" Target="https://uk.practicallaw.thomsonreuters.com/w-009-5540?transitionType=Default&amp;contextData=(sc.Default)" TargetMode="External"/><Relationship Id="rId43" Type="http://schemas.openxmlformats.org/officeDocument/2006/relationships/hyperlink" Target="https://www.gov.uk/government/publications/calculating-holiday-pay-for-workers-without-fixed-hours-or-pay/calculating-holiday-pay-for-workers-without-fixed-hours-or-pay--2" TargetMode="External"/><Relationship Id="rId48" Type="http://schemas.openxmlformats.org/officeDocument/2006/relationships/hyperlink" Target="https://www.gov.uk/employment-appeal-tribunal-decisions/k-v-l-ukeats-0014-18-jw" TargetMode="External"/><Relationship Id="rId56" Type="http://schemas.openxmlformats.org/officeDocument/2006/relationships/hyperlink" Target="https://neu.org.uk/advice/your-rights-work/family-rights/shared-parental-leave-and-pay" TargetMode="External"/><Relationship Id="rId64" Type="http://schemas.openxmlformats.org/officeDocument/2006/relationships/hyperlink" Target="https://uk.practicallaw.thomsonreuters.com/7-201-7057?comp=pluk&amp;transitionType=Default&amp;contextData=(sc.Default)&amp;firstPage=true&amp;OWSessionId=3adffb1113e549bf82e382e9a293c5e4&amp;skipAnonymous=true" TargetMode="External"/><Relationship Id="rId69" Type="http://schemas.openxmlformats.org/officeDocument/2006/relationships/hyperlink" Target="https://doi.org/10.1093/ilj/34.1.96" TargetMode="External"/><Relationship Id="rId77" Type="http://schemas.openxmlformats.org/officeDocument/2006/relationships/hyperlink" Target="https://www.legislation.gov.uk/ukpga/2018/16/contents/enacted" TargetMode="External"/><Relationship Id="rId8" Type="http://schemas.openxmlformats.org/officeDocument/2006/relationships/hyperlink" Target="https://www.legislation.gov.uk/ukpga/2010/15/contents/enacted" TargetMode="External"/><Relationship Id="rId51" Type="http://schemas.openxmlformats.org/officeDocument/2006/relationships/hyperlink" Target="https://publications.parliament.uk/pa/ld199899/ldjudgmt/jd990715/mann.htm" TargetMode="External"/><Relationship Id="rId72" Type="http://schemas.openxmlformats.org/officeDocument/2006/relationships/hyperlink" Target="https://doi.org/10.1177/17488958231162520" TargetMode="External"/><Relationship Id="rId80" Type="http://schemas.openxmlformats.org/officeDocument/2006/relationships/hyperlink" Target="https://cintra.co.uk/blog/holiday-pay-for-casual-workers/" TargetMode="External"/><Relationship Id="rId85"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acas.org.uk/collective-consultation-redundancy" TargetMode="External"/><Relationship Id="rId17" Type="http://schemas.openxmlformats.org/officeDocument/2006/relationships/hyperlink" Target="https://www.acas.org.uk/acas-code-of-practice-on-flexible-working-requests/html" TargetMode="External"/><Relationship Id="rId25" Type="http://schemas.openxmlformats.org/officeDocument/2006/relationships/hyperlink" Target="https://doi.org/10.1177/0038026118809002" TargetMode="External"/><Relationship Id="rId33" Type="http://schemas.openxmlformats.org/officeDocument/2006/relationships/hyperlink" Target="https://www.cipd.org/uk/knowledge/employment-law/equal-pay/" TargetMode="External"/><Relationship Id="rId38" Type="http://schemas.openxmlformats.org/officeDocument/2006/relationships/hyperlink" Target="https://www.legislation.gov.uk/ukpga/2010/15/contents/enacted" TargetMode="External"/><Relationship Id="rId46" Type="http://schemas.openxmlformats.org/officeDocument/2006/relationships/hyperlink" Target="https://www.peoplemanagement.co.uk/article/1856168/new-flexible-working-laws-employers-guide" TargetMode="External"/><Relationship Id="rId59" Type="http://schemas.openxmlformats.org/officeDocument/2006/relationships/hyperlink" Target="https://doi.org/10.1007/s10940-021-09498-6" TargetMode="External"/><Relationship Id="rId67" Type="http://schemas.openxmlformats.org/officeDocument/2006/relationships/hyperlink" Target="https://www.bailii.org/ew/cases/EWCA/Civ/2012/232.html" TargetMode="External"/><Relationship Id="rId20" Type="http://schemas.openxmlformats.org/officeDocument/2006/relationships/hyperlink" Target="https://www.acas.org.uk/tupe/advice-for-employers-and-employees" TargetMode="External"/><Relationship Id="rId41" Type="http://schemas.openxmlformats.org/officeDocument/2006/relationships/hyperlink" Target="https://www.gov.uk/redundancy-your-rights/redundancy-pay" TargetMode="External"/><Relationship Id="rId54" Type="http://schemas.openxmlformats.org/officeDocument/2006/relationships/hyperlink" Target="https://doi.org/10.1093/indlaw/dwab019" TargetMode="External"/><Relationship Id="rId62" Type="http://schemas.openxmlformats.org/officeDocument/2006/relationships/hyperlink" Target="https://eur-lex.europa.eu/legal-content/EN/TXT/?uri=CELEX%3A61994CJ0013" TargetMode="External"/><Relationship Id="rId70" Type="http://schemas.openxmlformats.org/officeDocument/2006/relationships/hyperlink" Target="https://www.bailii.org/eu/cases/EUECJ/2006/C13104.html" TargetMode="External"/><Relationship Id="rId75" Type="http://schemas.openxmlformats.org/officeDocument/2006/relationships/hyperlink" Target="https://www.legislation.gov.uk/uksi/1998/1833/contents/made" TargetMode="External"/><Relationship Id="rId83" Type="http://schemas.openxmlformats.org/officeDocument/2006/relationships/hyperlink" Target="https://doi.org/10.1093/ilj/31.3.282" TargetMode="External"/><Relationship Id="rId1" Type="http://schemas.openxmlformats.org/officeDocument/2006/relationships/styles" Target="styles.xml"/><Relationship Id="rId6" Type="http://schemas.openxmlformats.org/officeDocument/2006/relationships/hyperlink" Target="https://doi.org/10.1108/ER-07-2014-0085" TargetMode="External"/><Relationship Id="rId15" Type="http://schemas.openxmlformats.org/officeDocument/2006/relationships/hyperlink" Target="https://www.acas.org.uk/your-maternity-leave-pay-and-other-rights/working-out-maternity-pay" TargetMode="External"/><Relationship Id="rId23" Type="http://schemas.openxmlformats.org/officeDocument/2006/relationships/hyperlink" Target="https://www.youtube.com/watch?v=x5yMEG_01R8" TargetMode="External"/><Relationship Id="rId28" Type="http://schemas.openxmlformats.org/officeDocument/2006/relationships/hyperlink" Target="https://doi.org/10.1038/d41586-019-03019-z" TargetMode="External"/><Relationship Id="rId36" Type="http://schemas.openxmlformats.org/officeDocument/2006/relationships/hyperlink" Target="https://www.legislation.gov.uk/ukpga/1970/41/contents/enacted" TargetMode="External"/><Relationship Id="rId49" Type="http://schemas.openxmlformats.org/officeDocument/2006/relationships/hyperlink" Target="https://doi.org/10.1177/0265407520961841" TargetMode="External"/><Relationship Id="rId57" Type="http://schemas.openxmlformats.org/officeDocument/2006/relationships/hyperlink" Target="https://doi.org/10.1108/IJLMA-07-2017-0160" TargetMode="External"/><Relationship Id="rId10" Type="http://schemas.openxmlformats.org/officeDocument/2006/relationships/hyperlink" Target="https://doi.org/10.1177/0143831X11425542" TargetMode="External"/><Relationship Id="rId31" Type="http://schemas.openxmlformats.org/officeDocument/2006/relationships/hyperlink" Target="https://www.cipd.org/uk/knowledge/guides/requesting-flexible-working-guide/" TargetMode="External"/><Relationship Id="rId44" Type="http://schemas.openxmlformats.org/officeDocument/2006/relationships/hyperlink" Target="https://www.gov.uk/transfers-takeovers" TargetMode="External"/><Relationship Id="rId52" Type="http://schemas.openxmlformats.org/officeDocument/2006/relationships/hyperlink" Target="https://commonslibrary.parliament.uk/brexit-next-steps-the-court-of-justice-of-the-eu-and-the-uk/" TargetMode="External"/><Relationship Id="rId60" Type="http://schemas.openxmlformats.org/officeDocument/2006/relationships/hyperlink" Target="https://employmentcasesupdate.co.uk/content/nhs-leeds-v-larner-2012-ewca-civ-1034.6bb8dd8300cb4777af65c8cec3878760.htm" TargetMode="External"/><Relationship Id="rId65" Type="http://schemas.openxmlformats.org/officeDocument/2006/relationships/hyperlink" Target="https://doi.org/10.1093/ilj/25.3.191" TargetMode="External"/><Relationship Id="rId73" Type="http://schemas.openxmlformats.org/officeDocument/2006/relationships/hyperlink" Target="https://www.lawsociety.org.uk/topics/brexit/what-is-the-european-court-of-justice-and-why-does-it-matter" TargetMode="External"/><Relationship Id="rId78" Type="http://schemas.openxmlformats.org/officeDocument/2006/relationships/hyperlink" Target="https://www.unison.org.uk/get-help/knowledge/pay/equal-pay/" TargetMode="External"/><Relationship Id="rId81" Type="http://schemas.openxmlformats.org/officeDocument/2006/relationships/hyperlink" Target="https://assets.publishing.service.gov.uk/media/5a969f59ed915d57d4d0f11d/Mrs_T_Button_v_Birmingham_Community_Healthcare_NHS_Foundation_Trust_1301461_2017.pdf" TargetMode="External"/><Relationship Id="rId86" Type="http://schemas.openxmlformats.org/officeDocument/2006/relationships/theme" Target="theme/theme1.xml"/><Relationship Id="rId4" Type="http://schemas.openxmlformats.org/officeDocument/2006/relationships/hyperlink" Target="https://www.acas.org.uk/" TargetMode="External"/><Relationship Id="rId9" Type="http://schemas.openxmlformats.org/officeDocument/2006/relationships/hyperlink" Target="https://doi.org/10.1177/2031952520911063" TargetMode="External"/><Relationship Id="rId13" Type="http://schemas.openxmlformats.org/officeDocument/2006/relationships/hyperlink" Target="https://www.acas.org.uk/7-out-of-10-employees-are-unaware-of-new-day-one-right-to-request-flexible-working" TargetMode="External"/><Relationship Id="rId18" Type="http://schemas.openxmlformats.org/officeDocument/2006/relationships/hyperlink" Target="https://www.acas.org.uk/dismissals/constructive-dismissal" TargetMode="External"/><Relationship Id="rId39" Type="http://schemas.openxmlformats.org/officeDocument/2006/relationships/hyperlink" Target="https://www.gov.uk/dismissal/what-to-do-if-youre-dismissed" TargetMode="External"/><Relationship Id="rId34" Type="http://schemas.openxmlformats.org/officeDocument/2006/relationships/hyperlink" Target="https://www.supremecourt.uk/cases/uksc-2023-0068" TargetMode="External"/><Relationship Id="rId50" Type="http://schemas.openxmlformats.org/officeDocument/2006/relationships/hyperlink" Target="https://employmentcasesupdate.co.uk/content/lock-v-british-gas-trading-limited-2014-cjeu-c-539-12.efbd568708f447779b7ebfde08881d8d.htm" TargetMode="External"/><Relationship Id="rId55" Type="http://schemas.openxmlformats.org/officeDocument/2006/relationships/hyperlink" Target="https://doi.org/10.1093/indlaw/dwac015" TargetMode="External"/><Relationship Id="rId76" Type="http://schemas.openxmlformats.org/officeDocument/2006/relationships/hyperlink" Target="https://uk.practicallaw.thomsonreuters.com/9-502-3493" TargetMode="External"/><Relationship Id="rId7" Type="http://schemas.openxmlformats.org/officeDocument/2006/relationships/hyperlink" Target="https://www.equalityhumanrights.com/guidance/equal-pay" TargetMode="External"/><Relationship Id="rId71" Type="http://schemas.openxmlformats.org/officeDocument/2006/relationships/hyperlink" Target="https://assets.publishing.service.gov.uk/media/634e5243d3bf7f618c35e558/Ms_K_Jhuti__vs_Royal_Mail_Group_ltd.pdf" TargetMode="External"/><Relationship Id="rId2" Type="http://schemas.openxmlformats.org/officeDocument/2006/relationships/settings" Target="settings.xml"/><Relationship Id="rId29" Type="http://schemas.openxmlformats.org/officeDocument/2006/relationships/hyperlink" Target="https://doi.org/10.1093/indlaw/dwy008" TargetMode="External"/><Relationship Id="rId24" Type="http://schemas.openxmlformats.org/officeDocument/2006/relationships/hyperlink" Target="https://employmentcasesupdate.co.uk/content/asda-stores-ltd-v-brierley-ors-2021-uksc-10.1fc99372b9fe479ebf392fbe139a4351.htm" TargetMode="External"/><Relationship Id="rId40" Type="http://schemas.openxmlformats.org/officeDocument/2006/relationships/hyperlink" Target="https://www.gov.uk/staff-redundant/redundancy-consultations" TargetMode="External"/><Relationship Id="rId45" Type="http://schemas.openxmlformats.org/officeDocument/2006/relationships/hyperlink" Target="https://doi.org/10.1308/rcsbull.TB2021.12" TargetMode="External"/><Relationship Id="rId66" Type="http://schemas.openxmlformats.org/officeDocument/2006/relationships/hyperlink" Target="https://uk.practicallaw.thomsonreuters.com/D-011-7548?transitionType=Default&amp;contextData=(sc.Default)" TargetMode="External"/><Relationship Id="rId61" Type="http://schemas.openxmlformats.org/officeDocument/2006/relationships/hyperlink" Target="https://doi.org/10.1093/ilj/33.1.1" TargetMode="External"/><Relationship Id="rId82" Type="http://schemas.openxmlformats.org/officeDocument/2006/relationships/hyperlink" Target="https://doi.org/10.10520/EJC125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8399</Words>
  <Characters>47876</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dc:description/>
  <cp:lastModifiedBy>Kamil Test</cp:lastModifiedBy>
  <cp:revision>2</cp:revision>
  <dcterms:created xsi:type="dcterms:W3CDTF">2025-05-23T15:08:00Z</dcterms:created>
  <dcterms:modified xsi:type="dcterms:W3CDTF">2025-05-23T15:08:00Z</dcterms:modified>
</cp:coreProperties>
</file>