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598629756"/>
        <w:docPartObj>
          <w:docPartGallery w:val="Cover Pages"/>
          <w:docPartUnique/>
        </w:docPartObj>
      </w:sdtPr>
      <w:sdtEndPr>
        <w:rPr>
          <w:rFonts w:ascii="Times New Roman" w:hAnsi="Times New Roman" w:cs="Times New Roman"/>
        </w:rPr>
      </w:sdtEndPr>
      <w:sdtContent>
        <w:p w14:paraId="15BECF3E" w14:textId="7B75D47E" w:rsidR="00777DDA" w:rsidRPr="00777DDA" w:rsidRDefault="00777DDA" w:rsidP="00777DDA">
          <w:pPr>
            <w:rPr>
              <w:rFonts w:ascii="Times New Roman" w:hAnsi="Times New Roman" w:cs="Times New Roman"/>
              <w:b/>
              <w:bCs/>
              <w:color w:val="E97132" w:themeColor="accent2"/>
              <w:sz w:val="44"/>
              <w:szCs w:val="44"/>
            </w:rPr>
          </w:pPr>
          <w:r w:rsidRPr="00777DDA">
            <w:rPr>
              <w:rFonts w:ascii="Times New Roman" w:hAnsi="Times New Roman" w:cs="Times New Roman"/>
              <w:b/>
              <w:bCs/>
              <w:color w:val="E97132" w:themeColor="accent2"/>
              <w:sz w:val="44"/>
              <w:szCs w:val="44"/>
            </w:rPr>
            <w:t>Student name:</w:t>
          </w:r>
          <w:r w:rsidRPr="00777DDA">
            <w:rPr>
              <w:rFonts w:ascii="Times New Roman" w:hAnsi="Times New Roman" w:cs="Times New Roman"/>
              <w:b/>
              <w:bCs/>
              <w:color w:val="E97132" w:themeColor="accent2"/>
              <w:sz w:val="44"/>
              <w:szCs w:val="44"/>
            </w:rPr>
            <w:t xml:space="preserve"> Ana Petronela Radulea </w:t>
          </w:r>
          <w:r w:rsidRPr="00777DDA">
            <w:rPr>
              <w:rFonts w:ascii="Times New Roman" w:hAnsi="Times New Roman" w:cs="Times New Roman"/>
              <w:b/>
              <w:bCs/>
              <w:color w:val="E97132" w:themeColor="accent2"/>
              <w:sz w:val="44"/>
              <w:szCs w:val="44"/>
            </w:rPr>
            <w:tab/>
            <w:t xml:space="preserve">     </w:t>
          </w:r>
        </w:p>
        <w:p w14:paraId="17C385CA" w14:textId="5E573098" w:rsidR="00777DDA" w:rsidRPr="00777DDA" w:rsidRDefault="00777DDA" w:rsidP="00777DDA">
          <w:pPr>
            <w:rPr>
              <w:rFonts w:ascii="Times New Roman" w:hAnsi="Times New Roman" w:cs="Times New Roman"/>
              <w:b/>
              <w:bCs/>
              <w:color w:val="E97132" w:themeColor="accent2"/>
              <w:sz w:val="44"/>
              <w:szCs w:val="44"/>
            </w:rPr>
          </w:pPr>
          <w:r w:rsidRPr="00777DDA">
            <w:rPr>
              <w:rFonts w:ascii="Times New Roman" w:hAnsi="Times New Roman" w:cs="Times New Roman"/>
              <w:b/>
              <w:bCs/>
              <w:color w:val="E97132" w:themeColor="accent2"/>
              <w:sz w:val="44"/>
              <w:szCs w:val="44"/>
            </w:rPr>
            <w:t>Module:</w:t>
          </w:r>
          <w:r w:rsidRPr="00777DDA">
            <w:rPr>
              <w:rFonts w:ascii="Times New Roman" w:hAnsi="Times New Roman" w:cs="Times New Roman"/>
              <w:b/>
              <w:bCs/>
              <w:color w:val="E97132" w:themeColor="accent2"/>
              <w:sz w:val="44"/>
              <w:szCs w:val="44"/>
            </w:rPr>
            <w:t xml:space="preserve"> </w:t>
          </w:r>
          <w:r w:rsidRPr="00777DDA">
            <w:rPr>
              <w:rFonts w:ascii="Times New Roman" w:hAnsi="Times New Roman" w:cs="Times New Roman"/>
              <w:b/>
              <w:bCs/>
              <w:color w:val="E97132" w:themeColor="accent2"/>
              <w:sz w:val="44"/>
              <w:szCs w:val="44"/>
            </w:rPr>
            <w:t>Distinctiveness and Regeneration</w:t>
          </w:r>
        </w:p>
        <w:p w14:paraId="42F045E3" w14:textId="2BE52DB0" w:rsidR="00777DDA" w:rsidRPr="00777DDA" w:rsidRDefault="00777DDA" w:rsidP="00777DDA">
          <w:pPr>
            <w:rPr>
              <w:rFonts w:ascii="Times New Roman" w:hAnsi="Times New Roman" w:cs="Times New Roman"/>
              <w:b/>
              <w:bCs/>
              <w:color w:val="E97132" w:themeColor="accent2"/>
              <w:sz w:val="44"/>
              <w:szCs w:val="44"/>
            </w:rPr>
          </w:pPr>
          <w:r w:rsidRPr="00777DDA">
            <w:rPr>
              <w:rFonts w:ascii="Times New Roman" w:hAnsi="Times New Roman" w:cs="Times New Roman"/>
              <w:b/>
              <w:bCs/>
              <w:color w:val="E97132" w:themeColor="accent2"/>
              <w:sz w:val="44"/>
              <w:szCs w:val="44"/>
            </w:rPr>
            <w:t>Module code:</w:t>
          </w:r>
          <w:r w:rsidR="009F6B49">
            <w:rPr>
              <w:rFonts w:ascii="Times New Roman" w:hAnsi="Times New Roman" w:cs="Times New Roman"/>
              <w:b/>
              <w:bCs/>
              <w:color w:val="E97132" w:themeColor="accent2"/>
              <w:sz w:val="44"/>
              <w:szCs w:val="44"/>
            </w:rPr>
            <w:t xml:space="preserve"> </w:t>
          </w:r>
          <w:r w:rsidRPr="00777DDA">
            <w:rPr>
              <w:rFonts w:ascii="Times New Roman" w:hAnsi="Times New Roman" w:cs="Times New Roman"/>
              <w:b/>
              <w:bCs/>
              <w:color w:val="E97132" w:themeColor="accent2"/>
              <w:sz w:val="44"/>
              <w:szCs w:val="44"/>
            </w:rPr>
            <w:t>BMSP4016D</w:t>
          </w:r>
        </w:p>
        <w:p w14:paraId="68C55332" w14:textId="7265D32A" w:rsidR="00777DDA" w:rsidRPr="00777DDA" w:rsidRDefault="00777DDA" w:rsidP="00777DDA">
          <w:pPr>
            <w:rPr>
              <w:rFonts w:ascii="Times New Roman" w:hAnsi="Times New Roman" w:cs="Times New Roman"/>
              <w:b/>
              <w:bCs/>
              <w:color w:val="E97132" w:themeColor="accent2"/>
              <w:sz w:val="44"/>
              <w:szCs w:val="44"/>
            </w:rPr>
          </w:pPr>
          <w:r w:rsidRPr="00777DDA">
            <w:rPr>
              <w:rFonts w:ascii="Times New Roman" w:hAnsi="Times New Roman" w:cs="Times New Roman"/>
              <w:b/>
              <w:bCs/>
              <w:noProof/>
              <w:color w:val="E97132" w:themeColor="accent2"/>
              <w:sz w:val="44"/>
              <w:szCs w:val="44"/>
            </w:rPr>
            <mc:AlternateContent>
              <mc:Choice Requires="wpg">
                <w:drawing>
                  <wp:anchor distT="0" distB="0" distL="114300" distR="114300" simplePos="0" relativeHeight="251659264" behindDoc="1" locked="0" layoutInCell="1" allowOverlap="1" wp14:anchorId="7515891E" wp14:editId="4762F9F4">
                    <wp:simplePos x="0" y="0"/>
                    <wp:positionH relativeFrom="margin">
                      <wp:align>center</wp:align>
                    </wp:positionH>
                    <wp:positionV relativeFrom="page">
                      <wp:posOffset>2092615</wp:posOffset>
                    </wp:positionV>
                    <wp:extent cx="6858000" cy="7458382"/>
                    <wp:effectExtent l="0" t="0" r="0" b="9525"/>
                    <wp:wrapNone/>
                    <wp:docPr id="119" name="Group 121"/>
                    <wp:cNvGraphicFramePr/>
                    <a:graphic xmlns:a="http://schemas.openxmlformats.org/drawingml/2006/main">
                      <a:graphicData uri="http://schemas.microsoft.com/office/word/2010/wordprocessingGroup">
                        <wpg:wgp>
                          <wpg:cNvGrpSpPr/>
                          <wpg:grpSpPr>
                            <a:xfrm>
                              <a:off x="0" y="0"/>
                              <a:ext cx="6858000" cy="7458382"/>
                              <a:chOff x="0" y="0"/>
                              <a:chExt cx="6858000" cy="7458382"/>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5235352"/>
                                <a:ext cx="6858000" cy="742972"/>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DA71067" w14:textId="451717BB" w:rsidR="00777DDA" w:rsidRPr="00777DDA" w:rsidRDefault="00777DDA">
                                  <w:pPr>
                                    <w:pStyle w:val="NoSpacing"/>
                                    <w:rPr>
                                      <w:caps/>
                                      <w:color w:val="FFFFFF" w:themeColor="background1"/>
                                      <w:lang w:val="en-GB"/>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b/>
                                      <w:bCs/>
                                      <w:color w:val="E97132" w:themeColor="accent2"/>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56E6C25F" w14:textId="7B08B367" w:rsidR="00777DDA" w:rsidRPr="00777DDA" w:rsidRDefault="00777DDA" w:rsidP="00777DDA">
                                      <w:pPr>
                                        <w:pStyle w:val="NoSpacing"/>
                                        <w:pBdr>
                                          <w:bottom w:val="single" w:sz="6" w:space="31" w:color="7F7F7F" w:themeColor="text1" w:themeTint="80"/>
                                        </w:pBdr>
                                        <w:jc w:val="center"/>
                                        <w:rPr>
                                          <w:rFonts w:ascii="Times New Roman" w:eastAsiaTheme="majorEastAsia" w:hAnsi="Times New Roman" w:cs="Times New Roman"/>
                                          <w:b/>
                                          <w:bCs/>
                                          <w:color w:val="E97132" w:themeColor="accent2"/>
                                          <w:sz w:val="108"/>
                                          <w:szCs w:val="108"/>
                                        </w:rPr>
                                      </w:pPr>
                                      <w:r w:rsidRPr="00777DDA">
                                        <w:rPr>
                                          <w:rFonts w:ascii="Times New Roman" w:eastAsiaTheme="majorEastAsia" w:hAnsi="Times New Roman" w:cs="Times New Roman"/>
                                          <w:b/>
                                          <w:bCs/>
                                          <w:color w:val="E97132" w:themeColor="accent2"/>
                                          <w:sz w:val="108"/>
                                          <w:szCs w:val="108"/>
                                        </w:rPr>
                                        <w:t xml:space="preserve">Assignment 2 </w:t>
                                      </w:r>
                                    </w:p>
                                  </w:sdtContent>
                                </w:sdt>
                                <w:sdt>
                                  <w:sdtPr>
                                    <w:rPr>
                                      <w:rFonts w:ascii="Times New Roman" w:hAnsi="Times New Roman" w:cs="Times New Roman"/>
                                      <w:b/>
                                      <w:bCs/>
                                      <w:caps/>
                                      <w:color w:val="E97132" w:themeColor="accent2"/>
                                      <w:sz w:val="56"/>
                                      <w:szCs w:val="5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DBB94B2" w14:textId="40010E52" w:rsidR="00777DDA" w:rsidRPr="00777DDA" w:rsidRDefault="00777DDA" w:rsidP="00777DDA">
                                      <w:pPr>
                                        <w:pStyle w:val="NoSpacing"/>
                                        <w:spacing w:before="240"/>
                                        <w:jc w:val="center"/>
                                        <w:rPr>
                                          <w:rFonts w:ascii="Times New Roman" w:hAnsi="Times New Roman" w:cs="Times New Roman"/>
                                          <w:b/>
                                          <w:bCs/>
                                          <w:caps/>
                                          <w:color w:val="E97132" w:themeColor="accent2"/>
                                          <w:sz w:val="56"/>
                                          <w:szCs w:val="56"/>
                                        </w:rPr>
                                      </w:pPr>
                                      <w:r w:rsidRPr="00777DDA">
                                        <w:rPr>
                                          <w:rFonts w:ascii="Times New Roman" w:hAnsi="Times New Roman" w:cs="Times New Roman"/>
                                          <w:b/>
                                          <w:bCs/>
                                          <w:caps/>
                                          <w:color w:val="E97132" w:themeColor="accent2"/>
                                          <w:sz w:val="56"/>
                                          <w:szCs w:val="56"/>
                                        </w:rPr>
                                        <w:t>report</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515891E" id="Group 121" o:spid="_x0000_s1026" style="position:absolute;margin-left:0;margin-top:164.75pt;width:540pt;height:587.25pt;z-index:-251657216;mso-position-horizontal:center;mso-position-horizontal-relative:margin;mso-position-vertical-relative:page" coordsize="68580,745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" fillcolor="#156082 [3204]" stroked="f" strokeweight="1.5pt"/>
                    <v:rect id="Rectangle 121" o:spid="_x0000_s1028" style="position:absolute;top:52353;width:68580;height:743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" fillcolor="#e97132 [3205]" stroked="f" strokeweight="1.5pt">
                      <v:textbox inset="36pt,14.4pt,36pt,36pt">
                        <w:txbxContent>
                          <w:p w14:paraId="3DA71067" w14:textId="451717BB" w:rsidR="00777DDA" w:rsidRPr="00777DDA" w:rsidRDefault="00777DDA">
                            <w:pPr>
                              <w:pStyle w:val="NoSpacing"/>
                              <w:rPr>
                                <w:caps/>
                                <w:color w:val="FFFFFF" w:themeColor="background1"/>
                                <w:lang w:val="en-GB"/>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imes New Roman" w:eastAsiaTheme="majorEastAsia" w:hAnsi="Times New Roman" w:cs="Times New Roman"/>
                                <w:b/>
                                <w:bCs/>
                                <w:color w:val="E97132" w:themeColor="accent2"/>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56E6C25F" w14:textId="7B08B367" w:rsidR="00777DDA" w:rsidRPr="00777DDA" w:rsidRDefault="00777DDA" w:rsidP="00777DDA">
                                <w:pPr>
                                  <w:pStyle w:val="NoSpacing"/>
                                  <w:pBdr>
                                    <w:bottom w:val="single" w:sz="6" w:space="31" w:color="7F7F7F" w:themeColor="text1" w:themeTint="80"/>
                                  </w:pBdr>
                                  <w:jc w:val="center"/>
                                  <w:rPr>
                                    <w:rFonts w:ascii="Times New Roman" w:eastAsiaTheme="majorEastAsia" w:hAnsi="Times New Roman" w:cs="Times New Roman"/>
                                    <w:b/>
                                    <w:bCs/>
                                    <w:color w:val="E97132" w:themeColor="accent2"/>
                                    <w:sz w:val="108"/>
                                    <w:szCs w:val="108"/>
                                  </w:rPr>
                                </w:pPr>
                                <w:r w:rsidRPr="00777DDA">
                                  <w:rPr>
                                    <w:rFonts w:ascii="Times New Roman" w:eastAsiaTheme="majorEastAsia" w:hAnsi="Times New Roman" w:cs="Times New Roman"/>
                                    <w:b/>
                                    <w:bCs/>
                                    <w:color w:val="E97132" w:themeColor="accent2"/>
                                    <w:sz w:val="108"/>
                                    <w:szCs w:val="108"/>
                                  </w:rPr>
                                  <w:t xml:space="preserve">Assignment 2 </w:t>
                                </w:r>
                              </w:p>
                            </w:sdtContent>
                          </w:sdt>
                          <w:sdt>
                            <w:sdtPr>
                              <w:rPr>
                                <w:rFonts w:ascii="Times New Roman" w:hAnsi="Times New Roman" w:cs="Times New Roman"/>
                                <w:b/>
                                <w:bCs/>
                                <w:caps/>
                                <w:color w:val="E97132" w:themeColor="accent2"/>
                                <w:sz w:val="56"/>
                                <w:szCs w:val="5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6DBB94B2" w14:textId="40010E52" w:rsidR="00777DDA" w:rsidRPr="00777DDA" w:rsidRDefault="00777DDA" w:rsidP="00777DDA">
                                <w:pPr>
                                  <w:pStyle w:val="NoSpacing"/>
                                  <w:spacing w:before="240"/>
                                  <w:jc w:val="center"/>
                                  <w:rPr>
                                    <w:rFonts w:ascii="Times New Roman" w:hAnsi="Times New Roman" w:cs="Times New Roman"/>
                                    <w:b/>
                                    <w:bCs/>
                                    <w:caps/>
                                    <w:color w:val="E97132" w:themeColor="accent2"/>
                                    <w:sz w:val="56"/>
                                    <w:szCs w:val="56"/>
                                  </w:rPr>
                                </w:pPr>
                                <w:r w:rsidRPr="00777DDA">
                                  <w:rPr>
                                    <w:rFonts w:ascii="Times New Roman" w:hAnsi="Times New Roman" w:cs="Times New Roman"/>
                                    <w:b/>
                                    <w:bCs/>
                                    <w:caps/>
                                    <w:color w:val="E97132" w:themeColor="accent2"/>
                                    <w:sz w:val="56"/>
                                    <w:szCs w:val="56"/>
                                  </w:rPr>
                                  <w:t>report</w:t>
                                </w:r>
                              </w:p>
                            </w:sdtContent>
                          </w:sdt>
                        </w:txbxContent>
                      </v:textbox>
                    </v:shape>
                    <w10:wrap anchorx="margin" anchory="page"/>
                  </v:group>
                </w:pict>
              </mc:Fallback>
            </mc:AlternateContent>
          </w:r>
          <w:r w:rsidRPr="00777DDA">
            <w:rPr>
              <w:rFonts w:ascii="Times New Roman" w:hAnsi="Times New Roman" w:cs="Times New Roman"/>
              <w:b/>
              <w:bCs/>
              <w:color w:val="E97132" w:themeColor="accent2"/>
              <w:sz w:val="44"/>
              <w:szCs w:val="44"/>
            </w:rPr>
            <w:t>Lecturer:</w:t>
          </w:r>
          <w:r w:rsidRPr="00777DDA">
            <w:rPr>
              <w:rFonts w:ascii="Times New Roman" w:hAnsi="Times New Roman" w:cs="Times New Roman"/>
              <w:b/>
              <w:bCs/>
              <w:color w:val="E97132" w:themeColor="accent2"/>
              <w:sz w:val="44"/>
              <w:szCs w:val="44"/>
            </w:rPr>
            <w:t xml:space="preserve"> </w:t>
          </w:r>
          <w:r w:rsidRPr="00777DDA">
            <w:rPr>
              <w:rFonts w:ascii="Times New Roman" w:hAnsi="Times New Roman" w:cs="Times New Roman"/>
              <w:b/>
              <w:bCs/>
              <w:color w:val="E97132" w:themeColor="accent2"/>
              <w:sz w:val="44"/>
              <w:szCs w:val="44"/>
            </w:rPr>
            <w:t>Jessica Shore</w:t>
          </w:r>
        </w:p>
        <w:p w14:paraId="4DF1BB06" w14:textId="2E0B2AE0" w:rsidR="00777DDA" w:rsidRDefault="00777DDA">
          <w:pPr>
            <w:rPr>
              <w:rFonts w:ascii="Times New Roman" w:hAnsi="Times New Roman" w:cs="Times New Roman"/>
            </w:rPr>
          </w:pPr>
          <w:r>
            <w:rPr>
              <w:rFonts w:ascii="Times New Roman" w:hAnsi="Times New Roman" w:cs="Times New Roman"/>
            </w:rPr>
            <w:br w:type="page"/>
          </w:r>
        </w:p>
      </w:sdtContent>
    </w:sdt>
    <w:p w14:paraId="5AEC3573" w14:textId="4E3B2470" w:rsidR="005E2127" w:rsidRPr="00777DDA" w:rsidRDefault="005E2127" w:rsidP="00D332CF">
      <w:pPr>
        <w:pStyle w:val="ListParagraph"/>
        <w:numPr>
          <w:ilvl w:val="0"/>
          <w:numId w:val="1"/>
        </w:numPr>
        <w:spacing w:line="480" w:lineRule="auto"/>
        <w:rPr>
          <w:rFonts w:ascii="Times New Roman" w:hAnsi="Times New Roman" w:cs="Times New Roman"/>
          <w:b/>
          <w:bCs/>
          <w:color w:val="E97132" w:themeColor="accent2"/>
          <w:u w:val="wave"/>
        </w:rPr>
      </w:pPr>
      <w:r w:rsidRPr="00777DDA">
        <w:rPr>
          <w:rFonts w:ascii="Times New Roman" w:hAnsi="Times New Roman" w:cs="Times New Roman"/>
          <w:b/>
          <w:bCs/>
          <w:color w:val="E97132" w:themeColor="accent2"/>
          <w:u w:val="wave"/>
        </w:rPr>
        <w:lastRenderedPageBreak/>
        <w:t xml:space="preserve">An Assessment of Swansea </w:t>
      </w:r>
    </w:p>
    <w:p w14:paraId="32CB5F89" w14:textId="156B2451" w:rsidR="005E2127" w:rsidRPr="00777DDA" w:rsidRDefault="005E2127" w:rsidP="00777DDA">
      <w:pPr>
        <w:pStyle w:val="ListParagraph"/>
        <w:numPr>
          <w:ilvl w:val="0"/>
          <w:numId w:val="2"/>
        </w:numPr>
        <w:spacing w:line="480" w:lineRule="auto"/>
        <w:rPr>
          <w:rFonts w:ascii="Times New Roman" w:hAnsi="Times New Roman" w:cs="Times New Roman"/>
          <w:b/>
          <w:bCs/>
          <w:color w:val="E97132" w:themeColor="accent2"/>
          <w:u w:val="wave"/>
        </w:rPr>
      </w:pPr>
      <w:r w:rsidRPr="00777DDA">
        <w:rPr>
          <w:rFonts w:ascii="Times New Roman" w:hAnsi="Times New Roman" w:cs="Times New Roman"/>
          <w:b/>
          <w:bCs/>
          <w:color w:val="E97132" w:themeColor="accent2"/>
          <w:u w:val="wave"/>
        </w:rPr>
        <w:t xml:space="preserve">Shifting Fortunes: Economic changes and their impact </w:t>
      </w:r>
    </w:p>
    <w:p w14:paraId="4F0B6DEB" w14:textId="386E3224" w:rsidR="005E2127" w:rsidRPr="005E2127" w:rsidRDefault="005E2127" w:rsidP="005E2127">
      <w:pPr>
        <w:spacing w:line="480" w:lineRule="auto"/>
        <w:rPr>
          <w:rFonts w:ascii="Times New Roman" w:hAnsi="Times New Roman" w:cs="Times New Roman"/>
        </w:rPr>
      </w:pPr>
      <w:r w:rsidRPr="005E2127">
        <w:rPr>
          <w:rFonts w:ascii="Times New Roman" w:hAnsi="Times New Roman" w:cs="Times New Roman"/>
        </w:rPr>
        <w:t xml:space="preserve">As a result of the industrial successes, </w:t>
      </w:r>
      <w:r w:rsidR="00D332CF">
        <w:rPr>
          <w:rFonts w:ascii="Times New Roman" w:hAnsi="Times New Roman" w:cs="Times New Roman"/>
        </w:rPr>
        <w:t>declines and</w:t>
      </w:r>
      <w:r w:rsidRPr="005E2127">
        <w:rPr>
          <w:rFonts w:ascii="Times New Roman" w:hAnsi="Times New Roman" w:cs="Times New Roman"/>
        </w:rPr>
        <w:t xml:space="preserve"> re-invention of the economy, Swansea has experienced significant changes to its economic profile</w:t>
      </w:r>
      <w:r w:rsidR="00D332CF">
        <w:rPr>
          <w:rFonts w:ascii="Times New Roman" w:hAnsi="Times New Roman" w:cs="Times New Roman"/>
        </w:rPr>
        <w:t>.</w:t>
      </w:r>
      <w:r w:rsidRPr="005E2127">
        <w:rPr>
          <w:rFonts w:ascii="Times New Roman" w:hAnsi="Times New Roman" w:cs="Times New Roman"/>
        </w:rPr>
        <w:t xml:space="preserve"> There is now a complex legacy from </w:t>
      </w:r>
      <w:r w:rsidR="00D332CF" w:rsidRPr="005E2127">
        <w:rPr>
          <w:rFonts w:ascii="Times New Roman" w:hAnsi="Times New Roman" w:cs="Times New Roman"/>
        </w:rPr>
        <w:t>Swansea, s</w:t>
      </w:r>
      <w:r w:rsidRPr="005E2127">
        <w:rPr>
          <w:rFonts w:ascii="Times New Roman" w:hAnsi="Times New Roman" w:cs="Times New Roman"/>
        </w:rPr>
        <w:t xml:space="preserve"> Industrial </w:t>
      </w:r>
      <w:r w:rsidR="00D332CF">
        <w:rPr>
          <w:rFonts w:ascii="Times New Roman" w:hAnsi="Times New Roman" w:cs="Times New Roman"/>
        </w:rPr>
        <w:t>p</w:t>
      </w:r>
      <w:r w:rsidRPr="005E2127">
        <w:rPr>
          <w:rFonts w:ascii="Times New Roman" w:hAnsi="Times New Roman" w:cs="Times New Roman"/>
        </w:rPr>
        <w:t xml:space="preserve">eriod on how the urban structure developed and how Swansea became an important centre for metals and engineering. However, having also been affected by de-industrialisation, the ongoing effects of this are evident through many long-lasting challenges like those associated with the areas of deprivation, land contamination and unequal economic development. The ISA scoping report identifies that all the evidence for the </w:t>
      </w:r>
      <w:r w:rsidR="00D332CF">
        <w:rPr>
          <w:rFonts w:ascii="Times New Roman" w:hAnsi="Times New Roman" w:cs="Times New Roman"/>
        </w:rPr>
        <w:t>c</w:t>
      </w:r>
      <w:r w:rsidRPr="005E2127">
        <w:rPr>
          <w:rFonts w:ascii="Times New Roman" w:hAnsi="Times New Roman" w:cs="Times New Roman"/>
        </w:rPr>
        <w:t xml:space="preserve">ounty illustrates systemic inequality based on location, consisting of areas of low income, limited employment access, and constrained health outcomes. </w:t>
      </w:r>
    </w:p>
    <w:p w14:paraId="6FB3B499" w14:textId="0A0A5C00" w:rsidR="005E2127" w:rsidRPr="005E2127" w:rsidRDefault="005E2127" w:rsidP="005E2127">
      <w:pPr>
        <w:spacing w:line="480" w:lineRule="auto"/>
        <w:rPr>
          <w:rFonts w:ascii="Times New Roman" w:hAnsi="Times New Roman" w:cs="Times New Roman"/>
        </w:rPr>
      </w:pPr>
      <w:r w:rsidRPr="005E2127">
        <w:rPr>
          <w:rFonts w:ascii="Times New Roman" w:hAnsi="Times New Roman" w:cs="Times New Roman"/>
        </w:rPr>
        <w:t xml:space="preserve">The complexity of the Urban Evolution of Swansea illustrates a perception that </w:t>
      </w:r>
      <w:r w:rsidR="00D332CF">
        <w:rPr>
          <w:rFonts w:ascii="Times New Roman" w:hAnsi="Times New Roman" w:cs="Times New Roman"/>
        </w:rPr>
        <w:t>c</w:t>
      </w:r>
      <w:r w:rsidRPr="005E2127">
        <w:rPr>
          <w:rFonts w:ascii="Times New Roman" w:hAnsi="Times New Roman" w:cs="Times New Roman"/>
        </w:rPr>
        <w:t xml:space="preserve">ities are complex and dynamic interconnected systems. </w:t>
      </w:r>
      <w:r w:rsidR="00D332CF">
        <w:rPr>
          <w:rFonts w:ascii="Times New Roman" w:hAnsi="Times New Roman" w:cs="Times New Roman"/>
        </w:rPr>
        <w:t>C</w:t>
      </w:r>
      <w:r w:rsidRPr="005E2127">
        <w:rPr>
          <w:rFonts w:ascii="Times New Roman" w:hAnsi="Times New Roman" w:cs="Times New Roman"/>
        </w:rPr>
        <w:t>omplex systems require adaptive and flexible regeneration methodologies to be successful, particularly in cities that are trying to change their direction after de-industrialisation</w:t>
      </w:r>
      <w:r w:rsidR="00D332CF">
        <w:rPr>
          <w:rFonts w:ascii="Times New Roman" w:hAnsi="Times New Roman" w:cs="Times New Roman"/>
        </w:rPr>
        <w:t xml:space="preserve"> (</w:t>
      </w:r>
      <w:proofErr w:type="spellStart"/>
      <w:r w:rsidR="00D332CF" w:rsidRPr="00D332CF">
        <w:rPr>
          <w:rFonts w:ascii="Times New Roman" w:hAnsi="Times New Roman" w:cs="Times New Roman"/>
        </w:rPr>
        <w:t>Yunance</w:t>
      </w:r>
      <w:proofErr w:type="spellEnd"/>
      <w:r w:rsidR="00D332CF">
        <w:rPr>
          <w:rFonts w:ascii="Times New Roman" w:hAnsi="Times New Roman" w:cs="Times New Roman"/>
        </w:rPr>
        <w:t xml:space="preserve">, </w:t>
      </w:r>
      <w:r w:rsidR="00D332CF" w:rsidRPr="00D332CF">
        <w:rPr>
          <w:rFonts w:ascii="Times New Roman" w:hAnsi="Times New Roman" w:cs="Times New Roman"/>
        </w:rPr>
        <w:t>2025)</w:t>
      </w:r>
      <w:r w:rsidR="00D332CF">
        <w:rPr>
          <w:rFonts w:ascii="Times New Roman" w:hAnsi="Times New Roman" w:cs="Times New Roman"/>
        </w:rPr>
        <w:t xml:space="preserve">. </w:t>
      </w:r>
      <w:r w:rsidRPr="005E2127">
        <w:rPr>
          <w:rFonts w:ascii="Times New Roman" w:hAnsi="Times New Roman" w:cs="Times New Roman"/>
        </w:rPr>
        <w:t xml:space="preserve">Regenerating Swansea will require consideration of the multiple layers of interdependence between social, ecological, technological and environmental systems. This necessitates the need for a process of regeneration that does not rely on linear </w:t>
      </w:r>
      <w:r w:rsidR="00D332CF" w:rsidRPr="005E2127">
        <w:rPr>
          <w:rFonts w:ascii="Times New Roman" w:hAnsi="Times New Roman" w:cs="Times New Roman"/>
        </w:rPr>
        <w:t>processes but</w:t>
      </w:r>
      <w:r w:rsidRPr="005E2127">
        <w:rPr>
          <w:rFonts w:ascii="Times New Roman" w:hAnsi="Times New Roman" w:cs="Times New Roman"/>
        </w:rPr>
        <w:t xml:space="preserve"> rather uses continuous cycles that respond to changes in the environmental systems</w:t>
      </w:r>
      <w:r w:rsidR="00D332CF">
        <w:rPr>
          <w:rFonts w:ascii="Times New Roman" w:hAnsi="Times New Roman" w:cs="Times New Roman"/>
        </w:rPr>
        <w:t xml:space="preserve"> </w:t>
      </w:r>
      <w:r w:rsidR="00D332CF" w:rsidRPr="00D332CF">
        <w:rPr>
          <w:rFonts w:ascii="Times New Roman" w:hAnsi="Times New Roman" w:cs="Times New Roman"/>
        </w:rPr>
        <w:t>(Zhang &amp; Fang, 2004).</w:t>
      </w:r>
    </w:p>
    <w:p w14:paraId="5C244725" w14:textId="77777777" w:rsidR="005E2127" w:rsidRPr="005E2127" w:rsidRDefault="005E2127" w:rsidP="005E2127">
      <w:pPr>
        <w:spacing w:line="480" w:lineRule="auto"/>
        <w:rPr>
          <w:rFonts w:ascii="Times New Roman" w:hAnsi="Times New Roman" w:cs="Times New Roman"/>
        </w:rPr>
      </w:pPr>
    </w:p>
    <w:p w14:paraId="5E9A481C" w14:textId="77777777" w:rsidR="00D332CF" w:rsidRDefault="00D332CF" w:rsidP="005E2127">
      <w:pPr>
        <w:spacing w:line="480" w:lineRule="auto"/>
        <w:rPr>
          <w:rFonts w:ascii="Times New Roman" w:hAnsi="Times New Roman" w:cs="Times New Roman"/>
        </w:rPr>
      </w:pPr>
    </w:p>
    <w:p w14:paraId="5FB598B9" w14:textId="77777777" w:rsidR="00D332CF" w:rsidRDefault="00D332CF" w:rsidP="005E2127">
      <w:pPr>
        <w:spacing w:line="480" w:lineRule="auto"/>
        <w:rPr>
          <w:rFonts w:ascii="Times New Roman" w:hAnsi="Times New Roman" w:cs="Times New Roman"/>
        </w:rPr>
      </w:pPr>
    </w:p>
    <w:p w14:paraId="3E6F732C" w14:textId="77777777" w:rsidR="00D332CF" w:rsidRDefault="00D332CF" w:rsidP="005E2127">
      <w:pPr>
        <w:spacing w:line="480" w:lineRule="auto"/>
        <w:rPr>
          <w:rFonts w:ascii="Times New Roman" w:hAnsi="Times New Roman" w:cs="Times New Roman"/>
        </w:rPr>
      </w:pPr>
    </w:p>
    <w:p w14:paraId="50856DAF" w14:textId="7DE1D42D" w:rsidR="00D332CF" w:rsidRPr="00777DDA" w:rsidRDefault="00D332CF" w:rsidP="00777DDA">
      <w:pPr>
        <w:pStyle w:val="ListParagraph"/>
        <w:numPr>
          <w:ilvl w:val="0"/>
          <w:numId w:val="2"/>
        </w:numPr>
        <w:spacing w:line="480" w:lineRule="auto"/>
        <w:rPr>
          <w:rFonts w:ascii="Times New Roman" w:hAnsi="Times New Roman" w:cs="Times New Roman"/>
          <w:b/>
          <w:bCs/>
          <w:color w:val="E97132" w:themeColor="accent2"/>
          <w:u w:val="wave"/>
        </w:rPr>
      </w:pPr>
      <w:r w:rsidRPr="00777DDA">
        <w:rPr>
          <w:rFonts w:ascii="Times New Roman" w:hAnsi="Times New Roman" w:cs="Times New Roman"/>
          <w:b/>
          <w:bCs/>
          <w:color w:val="E97132" w:themeColor="accent2"/>
          <w:u w:val="wave"/>
        </w:rPr>
        <w:lastRenderedPageBreak/>
        <w:t>Existing assets, structures and economic character</w:t>
      </w:r>
    </w:p>
    <w:p w14:paraId="379B6ADE" w14:textId="77777777" w:rsidR="00D332CF" w:rsidRDefault="005E2127" w:rsidP="005E2127">
      <w:pPr>
        <w:spacing w:line="480" w:lineRule="auto"/>
        <w:rPr>
          <w:rFonts w:ascii="Times New Roman" w:hAnsi="Times New Roman" w:cs="Times New Roman"/>
        </w:rPr>
      </w:pPr>
      <w:r w:rsidRPr="005E2127">
        <w:rPr>
          <w:rFonts w:ascii="Times New Roman" w:hAnsi="Times New Roman" w:cs="Times New Roman"/>
        </w:rPr>
        <w:t xml:space="preserve">The complexity of Swansea's Urban evolution reinforces the importance of adapting over time through regeneration processes. The HRA determination states that regeneration proposed through LDP2 will produce significant environmental impacts and will have to be formally assessed on how to protect the designated ecological sites within Swansea. </w:t>
      </w:r>
    </w:p>
    <w:p w14:paraId="1600CEE3" w14:textId="77777777" w:rsidR="00D332CF" w:rsidRDefault="005E2127" w:rsidP="005E2127">
      <w:pPr>
        <w:spacing w:line="480" w:lineRule="auto"/>
        <w:rPr>
          <w:rFonts w:ascii="Times New Roman" w:hAnsi="Times New Roman" w:cs="Times New Roman"/>
        </w:rPr>
      </w:pPr>
      <w:r w:rsidRPr="005E2127">
        <w:rPr>
          <w:rFonts w:ascii="Times New Roman" w:hAnsi="Times New Roman" w:cs="Times New Roman"/>
        </w:rPr>
        <w:t xml:space="preserve">This determination of development provides further reasons for the need to create regenerative strategies that </w:t>
      </w:r>
      <w:r w:rsidR="00D332CF" w:rsidRPr="005E2127">
        <w:rPr>
          <w:rFonts w:ascii="Times New Roman" w:hAnsi="Times New Roman" w:cs="Times New Roman"/>
        </w:rPr>
        <w:t>consider</w:t>
      </w:r>
      <w:r w:rsidRPr="005E2127">
        <w:rPr>
          <w:rFonts w:ascii="Times New Roman" w:hAnsi="Times New Roman" w:cs="Times New Roman"/>
        </w:rPr>
        <w:t xml:space="preserve"> environmental limits, especially for a coastal city that has sensitive habitats, areas of flood risk and migration </w:t>
      </w:r>
      <w:r w:rsidR="00D332CF" w:rsidRPr="005E2127">
        <w:rPr>
          <w:rFonts w:ascii="Times New Roman" w:hAnsi="Times New Roman" w:cs="Times New Roman"/>
        </w:rPr>
        <w:t>routes. Utili</w:t>
      </w:r>
      <w:r w:rsidR="00D332CF">
        <w:rPr>
          <w:rFonts w:ascii="Times New Roman" w:hAnsi="Times New Roman" w:cs="Times New Roman"/>
        </w:rPr>
        <w:t>s</w:t>
      </w:r>
      <w:r w:rsidR="00D332CF" w:rsidRPr="005E2127">
        <w:rPr>
          <w:rFonts w:ascii="Times New Roman" w:hAnsi="Times New Roman" w:cs="Times New Roman"/>
        </w:rPr>
        <w:t>ing</w:t>
      </w:r>
      <w:r w:rsidRPr="005E2127">
        <w:rPr>
          <w:rFonts w:ascii="Times New Roman" w:hAnsi="Times New Roman" w:cs="Times New Roman"/>
        </w:rPr>
        <w:t xml:space="preserve"> its waterfront and the presence of the Gower Peninsula and Riverside Corridors provides </w:t>
      </w:r>
      <w:r w:rsidR="00D332CF" w:rsidRPr="005E2127">
        <w:rPr>
          <w:rFonts w:ascii="Times New Roman" w:hAnsi="Times New Roman" w:cs="Times New Roman"/>
        </w:rPr>
        <w:t>Swansea</w:t>
      </w:r>
      <w:r w:rsidRPr="005E2127">
        <w:rPr>
          <w:rFonts w:ascii="Times New Roman" w:hAnsi="Times New Roman" w:cs="Times New Roman"/>
        </w:rPr>
        <w:t xml:space="preserve"> with access to significant natural capital and recreation, as well as opportunities for </w:t>
      </w:r>
      <w:r w:rsidR="00D332CF">
        <w:rPr>
          <w:rFonts w:ascii="Times New Roman" w:hAnsi="Times New Roman" w:cs="Times New Roman"/>
        </w:rPr>
        <w:t>t</w:t>
      </w:r>
      <w:r w:rsidRPr="005E2127">
        <w:rPr>
          <w:rFonts w:ascii="Times New Roman" w:hAnsi="Times New Roman" w:cs="Times New Roman"/>
        </w:rPr>
        <w:t xml:space="preserve">ourism and </w:t>
      </w:r>
      <w:r w:rsidR="00D332CF">
        <w:rPr>
          <w:rFonts w:ascii="Times New Roman" w:hAnsi="Times New Roman" w:cs="Times New Roman"/>
        </w:rPr>
        <w:t>w</w:t>
      </w:r>
      <w:r w:rsidRPr="005E2127">
        <w:rPr>
          <w:rFonts w:ascii="Times New Roman" w:hAnsi="Times New Roman" w:cs="Times New Roman"/>
        </w:rPr>
        <w:t>ell-</w:t>
      </w:r>
      <w:r w:rsidR="00D332CF">
        <w:rPr>
          <w:rFonts w:ascii="Times New Roman" w:hAnsi="Times New Roman" w:cs="Times New Roman"/>
        </w:rPr>
        <w:t>b</w:t>
      </w:r>
      <w:r w:rsidRPr="005E2127">
        <w:rPr>
          <w:rFonts w:ascii="Times New Roman" w:hAnsi="Times New Roman" w:cs="Times New Roman"/>
        </w:rPr>
        <w:t>eing. Additionally, the integration of ecology and the environment with urban planning and community development creates planning constraints based on the need for sensitive environmental management of the ecological assets, including protected habitats and landscapes, identified in detail in the ISA Scoping Report. In contrast, the cultural heritage component of Swansea's regeneration includes resources such as National Trust sites and cultural industries that have the potential to contribute to the process of community and economic development</w:t>
      </w:r>
      <w:r w:rsidR="00D332CF">
        <w:rPr>
          <w:rFonts w:ascii="Times New Roman" w:hAnsi="Times New Roman" w:cs="Times New Roman"/>
        </w:rPr>
        <w:t xml:space="preserve"> </w:t>
      </w:r>
      <w:r w:rsidR="00D332CF" w:rsidRPr="00D332CF">
        <w:rPr>
          <w:rFonts w:ascii="Times New Roman" w:hAnsi="Times New Roman" w:cs="Times New Roman"/>
        </w:rPr>
        <w:t>(Smith &amp; Eisenstein, 2016).</w:t>
      </w:r>
      <w:r w:rsidR="00D332CF">
        <w:rPr>
          <w:rFonts w:ascii="Times New Roman" w:hAnsi="Times New Roman" w:cs="Times New Roman"/>
        </w:rPr>
        <w:t xml:space="preserve"> </w:t>
      </w:r>
      <w:r w:rsidRPr="005E2127">
        <w:rPr>
          <w:rFonts w:ascii="Times New Roman" w:hAnsi="Times New Roman" w:cs="Times New Roman"/>
        </w:rPr>
        <w:t xml:space="preserve">As identified in the literature, cultural-led regeneration has gained credibility as the primary force driving the positive re-imagining and re-functioning of UK towns, cities, and </w:t>
      </w:r>
      <w:r w:rsidR="00D332CF" w:rsidRPr="005E2127">
        <w:rPr>
          <w:rFonts w:ascii="Times New Roman" w:hAnsi="Times New Roman" w:cs="Times New Roman"/>
        </w:rPr>
        <w:t>community’s</w:t>
      </w:r>
      <w:r w:rsidRPr="005E2127">
        <w:rPr>
          <w:rFonts w:ascii="Times New Roman" w:hAnsi="Times New Roman" w:cs="Times New Roman"/>
        </w:rPr>
        <w:t xml:space="preserve"> post-industrialisation, and the creation of creative hubs to strengthen the sense of</w:t>
      </w:r>
      <w:r w:rsidR="00D332CF">
        <w:rPr>
          <w:rFonts w:ascii="Times New Roman" w:hAnsi="Times New Roman" w:cs="Times New Roman"/>
        </w:rPr>
        <w:t xml:space="preserve"> identity</w:t>
      </w:r>
      <w:r w:rsidR="00D332CF" w:rsidRPr="00D332CF">
        <w:t xml:space="preserve"> </w:t>
      </w:r>
      <w:r w:rsidR="00D332CF" w:rsidRPr="00D332CF">
        <w:rPr>
          <w:rFonts w:ascii="Times New Roman" w:hAnsi="Times New Roman" w:cs="Times New Roman"/>
        </w:rPr>
        <w:t>(Geva &amp; Rosen, 2021).</w:t>
      </w:r>
    </w:p>
    <w:p w14:paraId="3431F97D" w14:textId="77777777" w:rsidR="00D332CF" w:rsidRDefault="005E2127" w:rsidP="005E2127">
      <w:pPr>
        <w:spacing w:line="480" w:lineRule="auto"/>
        <w:rPr>
          <w:rFonts w:ascii="Times New Roman" w:hAnsi="Times New Roman" w:cs="Times New Roman"/>
        </w:rPr>
      </w:pPr>
      <w:r w:rsidRPr="005E2127">
        <w:rPr>
          <w:rFonts w:ascii="Times New Roman" w:hAnsi="Times New Roman" w:cs="Times New Roman"/>
        </w:rPr>
        <w:t xml:space="preserve">Swansea's economic base and development potential is supported by a diverse array of natural, cultural, and institutional assets that shape its regeneration potential. Nonetheless, Swansea's past and present economic realities remind practitioners of the need to combine sustainability, innovation, and community-based planning into their plans for the </w:t>
      </w:r>
      <w:r w:rsidRPr="005E2127">
        <w:rPr>
          <w:rFonts w:ascii="Times New Roman" w:hAnsi="Times New Roman" w:cs="Times New Roman"/>
        </w:rPr>
        <w:lastRenderedPageBreak/>
        <w:t xml:space="preserve">revitalisation and sustainability of Swansea and other urban communities, as outlined in the Urban Development Review by Wei </w:t>
      </w:r>
      <w:r w:rsidR="00D332CF" w:rsidRPr="005E2127">
        <w:rPr>
          <w:rFonts w:ascii="Times New Roman" w:hAnsi="Times New Roman" w:cs="Times New Roman"/>
        </w:rPr>
        <w:t>et al. (</w:t>
      </w:r>
      <w:r w:rsidRPr="005E2127">
        <w:rPr>
          <w:rFonts w:ascii="Times New Roman" w:hAnsi="Times New Roman" w:cs="Times New Roman"/>
        </w:rPr>
        <w:t xml:space="preserve">2015), long-term resilience and adaptive </w:t>
      </w:r>
      <w:r w:rsidR="00D332CF" w:rsidRPr="005E2127">
        <w:rPr>
          <w:rFonts w:ascii="Times New Roman" w:hAnsi="Times New Roman" w:cs="Times New Roman"/>
        </w:rPr>
        <w:t>growth. Swansea</w:t>
      </w:r>
      <w:r w:rsidRPr="005E2127">
        <w:rPr>
          <w:rFonts w:ascii="Times New Roman" w:hAnsi="Times New Roman" w:cs="Times New Roman"/>
        </w:rPr>
        <w:t xml:space="preserve"> has set a goal of using its heritage to promote tourism, creative industries and place-making </w:t>
      </w:r>
      <w:r w:rsidR="00D332CF" w:rsidRPr="005E2127">
        <w:rPr>
          <w:rFonts w:ascii="Times New Roman" w:hAnsi="Times New Roman" w:cs="Times New Roman"/>
        </w:rPr>
        <w:t>to</w:t>
      </w:r>
      <w:r w:rsidRPr="005E2127">
        <w:rPr>
          <w:rFonts w:ascii="Times New Roman" w:hAnsi="Times New Roman" w:cs="Times New Roman"/>
        </w:rPr>
        <w:t xml:space="preserve"> further develop the economy.</w:t>
      </w:r>
    </w:p>
    <w:p w14:paraId="2EAFD221" w14:textId="77777777" w:rsidR="00F15A00" w:rsidRDefault="005E2127" w:rsidP="005E2127">
      <w:pPr>
        <w:spacing w:line="480" w:lineRule="auto"/>
        <w:rPr>
          <w:rFonts w:ascii="Times New Roman" w:hAnsi="Times New Roman" w:cs="Times New Roman"/>
        </w:rPr>
      </w:pPr>
      <w:r w:rsidRPr="005E2127">
        <w:rPr>
          <w:rFonts w:ascii="Times New Roman" w:hAnsi="Times New Roman" w:cs="Times New Roman"/>
        </w:rPr>
        <w:t>The role of Swansea University in Swansea’s development as an economic region through the provision of research-driven innovations and high-value industries is considerable. The University’s research in engineering, digital technology, and its collaboration within the conservation sector all contribute to the urban development of sustainable cities using various Smart City technologies. Angelidou et al. (2018) illustrate how Smart City technologies can enhance urban sustainability through improved management of resources, increased connectivity and data-driven decision-making. The development of Swansea’s digital infrastructure and innovation clusters provides further opportunities for technology-enhanced regeneration of the community.</w:t>
      </w:r>
    </w:p>
    <w:p w14:paraId="5ED8564A" w14:textId="77777777" w:rsidR="00F15A00" w:rsidRDefault="005E2127" w:rsidP="005E2127">
      <w:pPr>
        <w:spacing w:line="480" w:lineRule="auto"/>
        <w:rPr>
          <w:rFonts w:ascii="Times New Roman" w:hAnsi="Times New Roman" w:cs="Times New Roman"/>
        </w:rPr>
      </w:pPr>
      <w:r w:rsidRPr="005E2127">
        <w:rPr>
          <w:rFonts w:ascii="Times New Roman" w:hAnsi="Times New Roman" w:cs="Times New Roman"/>
        </w:rPr>
        <w:t xml:space="preserve">Swansea’s existing economic structure is heavily influenced by public sector employment, retail, hospitality, and education. While </w:t>
      </w:r>
      <w:r w:rsidR="00F15A00" w:rsidRPr="005E2127">
        <w:rPr>
          <w:rFonts w:ascii="Times New Roman" w:hAnsi="Times New Roman" w:cs="Times New Roman"/>
        </w:rPr>
        <w:t>most</w:t>
      </w:r>
      <w:r w:rsidRPr="005E2127">
        <w:rPr>
          <w:rFonts w:ascii="Times New Roman" w:hAnsi="Times New Roman" w:cs="Times New Roman"/>
        </w:rPr>
        <w:t xml:space="preserve"> people work in those industries, these sectors provide a stable pathway of employment for the economically disadvantaged but may have limited opportunities for upward mobility and/or wage increases, contributing to continued </w:t>
      </w:r>
      <w:r w:rsidR="00F15A00">
        <w:rPr>
          <w:rFonts w:ascii="Times New Roman" w:hAnsi="Times New Roman" w:cs="Times New Roman"/>
        </w:rPr>
        <w:t>s</w:t>
      </w:r>
      <w:r w:rsidRPr="005E2127">
        <w:rPr>
          <w:rFonts w:ascii="Times New Roman" w:hAnsi="Times New Roman" w:cs="Times New Roman"/>
        </w:rPr>
        <w:t xml:space="preserve">ocioeconomic </w:t>
      </w:r>
      <w:r w:rsidR="00F15A00">
        <w:rPr>
          <w:rFonts w:ascii="Times New Roman" w:hAnsi="Times New Roman" w:cs="Times New Roman"/>
        </w:rPr>
        <w:t>i</w:t>
      </w:r>
      <w:r w:rsidRPr="005E2127">
        <w:rPr>
          <w:rFonts w:ascii="Times New Roman" w:hAnsi="Times New Roman" w:cs="Times New Roman"/>
        </w:rPr>
        <w:t>nequities. Sustainable development literature, specifically Wei et al. (2015), illustrates how these inequities can be tackled through the improvement of urban carrying capacities, the diversification of the economy, and the enhancement of infrastructure.</w:t>
      </w:r>
    </w:p>
    <w:p w14:paraId="5D319429" w14:textId="14888B66" w:rsidR="00F15A00" w:rsidRPr="00777DDA" w:rsidRDefault="005E2127" w:rsidP="00777DDA">
      <w:pPr>
        <w:pStyle w:val="ListParagraph"/>
        <w:numPr>
          <w:ilvl w:val="0"/>
          <w:numId w:val="2"/>
        </w:numPr>
        <w:spacing w:line="480" w:lineRule="auto"/>
        <w:rPr>
          <w:rFonts w:ascii="Times New Roman" w:hAnsi="Times New Roman" w:cs="Times New Roman"/>
          <w:b/>
          <w:bCs/>
          <w:color w:val="E97132" w:themeColor="accent2"/>
          <w:u w:val="wave"/>
        </w:rPr>
      </w:pPr>
      <w:r w:rsidRPr="00777DDA">
        <w:rPr>
          <w:rFonts w:ascii="Times New Roman" w:hAnsi="Times New Roman" w:cs="Times New Roman"/>
          <w:b/>
          <w:bCs/>
          <w:color w:val="E97132" w:themeColor="accent2"/>
          <w:u w:val="wave"/>
        </w:rPr>
        <w:t>Community Structure as an Asset</w:t>
      </w:r>
    </w:p>
    <w:p w14:paraId="204E1CDD" w14:textId="01327806" w:rsidR="005E2127" w:rsidRPr="005E2127" w:rsidRDefault="005E2127" w:rsidP="005E2127">
      <w:pPr>
        <w:spacing w:line="480" w:lineRule="auto"/>
        <w:rPr>
          <w:rFonts w:ascii="Times New Roman" w:hAnsi="Times New Roman" w:cs="Times New Roman"/>
        </w:rPr>
      </w:pPr>
      <w:r w:rsidRPr="005E2127">
        <w:rPr>
          <w:rFonts w:ascii="Times New Roman" w:hAnsi="Times New Roman" w:cs="Times New Roman"/>
        </w:rPr>
        <w:t xml:space="preserve">Community groups, cultural organisations, and neighbourhood associations all add to the overall social capital of Swansea. Their participation in a regeneration initiative allows for an integrated regeneration model which is focused on the needs of the community and increases </w:t>
      </w:r>
      <w:r w:rsidRPr="005E2127">
        <w:rPr>
          <w:rFonts w:ascii="Times New Roman" w:hAnsi="Times New Roman" w:cs="Times New Roman"/>
        </w:rPr>
        <w:lastRenderedPageBreak/>
        <w:t xml:space="preserve">the legitimacy and sustainability of the process. In the ISA Consultation Report, there were calls for regeneration approaches that </w:t>
      </w:r>
      <w:r w:rsidR="00F15A00" w:rsidRPr="005E2127">
        <w:rPr>
          <w:rFonts w:ascii="Times New Roman" w:hAnsi="Times New Roman" w:cs="Times New Roman"/>
        </w:rPr>
        <w:t>consider</w:t>
      </w:r>
      <w:r w:rsidRPr="005E2127">
        <w:rPr>
          <w:rFonts w:ascii="Times New Roman" w:hAnsi="Times New Roman" w:cs="Times New Roman"/>
        </w:rPr>
        <w:t xml:space="preserve"> well-being, access to services, local participation, and environmental protection.</w:t>
      </w:r>
      <w:r w:rsidR="00F15A00">
        <w:rPr>
          <w:rFonts w:ascii="Times New Roman" w:hAnsi="Times New Roman" w:cs="Times New Roman"/>
        </w:rPr>
        <w:t xml:space="preserve"> </w:t>
      </w:r>
      <w:r w:rsidRPr="005E2127">
        <w:rPr>
          <w:rFonts w:ascii="Times New Roman" w:hAnsi="Times New Roman" w:cs="Times New Roman"/>
        </w:rPr>
        <w:t>Swansea's future direction must be committed to a regeneration that puts people first, respects Indigenous history, and has a significant ecological foundation.</w:t>
      </w:r>
    </w:p>
    <w:p w14:paraId="6FB61EF4" w14:textId="6600144F" w:rsidR="005E2127" w:rsidRPr="00777DDA" w:rsidRDefault="00F15A00" w:rsidP="00777DDA">
      <w:pPr>
        <w:pStyle w:val="ListParagraph"/>
        <w:numPr>
          <w:ilvl w:val="0"/>
          <w:numId w:val="2"/>
        </w:numPr>
        <w:spacing w:line="480" w:lineRule="auto"/>
        <w:rPr>
          <w:rFonts w:ascii="Times New Roman" w:hAnsi="Times New Roman" w:cs="Times New Roman"/>
          <w:b/>
          <w:bCs/>
          <w:color w:val="E97132" w:themeColor="accent2"/>
          <w:u w:val="wave"/>
        </w:rPr>
      </w:pPr>
      <w:r w:rsidRPr="00777DDA">
        <w:rPr>
          <w:rFonts w:ascii="Times New Roman" w:hAnsi="Times New Roman" w:cs="Times New Roman"/>
          <w:b/>
          <w:bCs/>
          <w:color w:val="E97132" w:themeColor="accent2"/>
          <w:u w:val="wave"/>
        </w:rPr>
        <w:t>Key stakeholders and interest groups</w:t>
      </w:r>
    </w:p>
    <w:p w14:paraId="64F2B0E5" w14:textId="77777777" w:rsidR="00F15A00" w:rsidRDefault="005E2127" w:rsidP="005E2127">
      <w:pPr>
        <w:spacing w:line="480" w:lineRule="auto"/>
        <w:rPr>
          <w:rFonts w:ascii="Times New Roman" w:hAnsi="Times New Roman" w:cs="Times New Roman"/>
        </w:rPr>
      </w:pPr>
      <w:r w:rsidRPr="005E2127">
        <w:rPr>
          <w:rFonts w:ascii="Times New Roman" w:hAnsi="Times New Roman" w:cs="Times New Roman"/>
        </w:rPr>
        <w:t xml:space="preserve">Key Stakeholders </w:t>
      </w:r>
      <w:r w:rsidR="00F15A00">
        <w:rPr>
          <w:rFonts w:ascii="Times New Roman" w:hAnsi="Times New Roman" w:cs="Times New Roman"/>
        </w:rPr>
        <w:t>and</w:t>
      </w:r>
      <w:r w:rsidRPr="005E2127">
        <w:rPr>
          <w:rFonts w:ascii="Times New Roman" w:hAnsi="Times New Roman" w:cs="Times New Roman"/>
        </w:rPr>
        <w:t xml:space="preserve"> </w:t>
      </w:r>
      <w:r w:rsidR="00F15A00">
        <w:rPr>
          <w:rFonts w:ascii="Times New Roman" w:hAnsi="Times New Roman" w:cs="Times New Roman"/>
        </w:rPr>
        <w:t>i</w:t>
      </w:r>
      <w:r w:rsidRPr="005E2127">
        <w:rPr>
          <w:rFonts w:ascii="Times New Roman" w:hAnsi="Times New Roman" w:cs="Times New Roman"/>
        </w:rPr>
        <w:t xml:space="preserve">nterests </w:t>
      </w:r>
      <w:r w:rsidR="00F15A00">
        <w:rPr>
          <w:rFonts w:ascii="Times New Roman" w:hAnsi="Times New Roman" w:cs="Times New Roman"/>
        </w:rPr>
        <w:t>s</w:t>
      </w:r>
      <w:r w:rsidRPr="005E2127">
        <w:rPr>
          <w:rFonts w:ascii="Times New Roman" w:hAnsi="Times New Roman" w:cs="Times New Roman"/>
        </w:rPr>
        <w:t xml:space="preserve">hades, in particular the interplay of the development of Swansea, provide a tremendous network and range of stakeholders that provide a framework for the direction, management of the resources, and ultimately the overall governance of the development of Swansea Council is the primary government entity responsible for Swansea Council to guide the development of the </w:t>
      </w:r>
      <w:r w:rsidR="00F15A00">
        <w:rPr>
          <w:rFonts w:ascii="Times New Roman" w:hAnsi="Times New Roman" w:cs="Times New Roman"/>
        </w:rPr>
        <w:t>c</w:t>
      </w:r>
      <w:r w:rsidRPr="005E2127">
        <w:rPr>
          <w:rFonts w:ascii="Times New Roman" w:hAnsi="Times New Roman" w:cs="Times New Roman"/>
        </w:rPr>
        <w:t xml:space="preserve">ity of Swansea and carry out strategic </w:t>
      </w:r>
      <w:r w:rsidR="00F15A00" w:rsidRPr="005E2127">
        <w:rPr>
          <w:rFonts w:ascii="Times New Roman" w:hAnsi="Times New Roman" w:cs="Times New Roman"/>
        </w:rPr>
        <w:t>policy. The</w:t>
      </w:r>
      <w:r w:rsidRPr="005E2127">
        <w:rPr>
          <w:rFonts w:ascii="Times New Roman" w:hAnsi="Times New Roman" w:cs="Times New Roman"/>
        </w:rPr>
        <w:t xml:space="preserve"> council’s sustainability goals support regeneration as a catalyst for wellbeing enhancement, decarbonisation and equitable growth. The ISA Scoping Report lays out how the Council is the central body responsible for combining environmental assessments, social planning and spatial strategies</w:t>
      </w:r>
    </w:p>
    <w:p w14:paraId="6AD1ABB4" w14:textId="77777777" w:rsidR="00F15A00" w:rsidRDefault="005E2127" w:rsidP="005E2127">
      <w:pPr>
        <w:spacing w:line="480" w:lineRule="auto"/>
        <w:rPr>
          <w:rFonts w:ascii="Times New Roman" w:hAnsi="Times New Roman" w:cs="Times New Roman"/>
        </w:rPr>
      </w:pPr>
      <w:r w:rsidRPr="005E2127">
        <w:rPr>
          <w:rFonts w:ascii="Times New Roman" w:hAnsi="Times New Roman" w:cs="Times New Roman"/>
        </w:rPr>
        <w:t>Swansea University and the associated innovation bodies represent institutional stakeholders focused on advancing research, technology and sustainable economic development. Their participation supports new forms of regeneration that incorporate AI-based systems, smart infrastructure, and data-driven urban management (Suresh et al., 2025). Using AI, Swansea can benefit from university-industry partnerships that support efficient urban management.</w:t>
      </w:r>
    </w:p>
    <w:p w14:paraId="14C77E5C" w14:textId="77777777" w:rsidR="00F15A00" w:rsidRDefault="005E2127" w:rsidP="005E2127">
      <w:pPr>
        <w:spacing w:line="480" w:lineRule="auto"/>
        <w:rPr>
          <w:rFonts w:ascii="Times New Roman" w:hAnsi="Times New Roman" w:cs="Times New Roman"/>
        </w:rPr>
      </w:pPr>
      <w:r w:rsidRPr="005E2127">
        <w:rPr>
          <w:rFonts w:ascii="Times New Roman" w:hAnsi="Times New Roman" w:cs="Times New Roman"/>
        </w:rPr>
        <w:t>The community stakeholders</w:t>
      </w:r>
      <w:r w:rsidR="00F15A00">
        <w:rPr>
          <w:rFonts w:ascii="Times New Roman" w:hAnsi="Times New Roman" w:cs="Times New Roman"/>
        </w:rPr>
        <w:t xml:space="preserve">, </w:t>
      </w:r>
      <w:r w:rsidRPr="005E2127">
        <w:rPr>
          <w:rFonts w:ascii="Times New Roman" w:hAnsi="Times New Roman" w:cs="Times New Roman"/>
        </w:rPr>
        <w:t xml:space="preserve">residents, local organisations, cultural groups and advocates for local neighbourhoods, are equally as important as all the other stakeholders. Their experiences will identify inequalities, aspirations and values that should guide the regeneration effort. There is evidence that sustainable planning in mountainous or </w:t>
      </w:r>
      <w:r w:rsidRPr="005E2127">
        <w:rPr>
          <w:rFonts w:ascii="Times New Roman" w:hAnsi="Times New Roman" w:cs="Times New Roman"/>
        </w:rPr>
        <w:lastRenderedPageBreak/>
        <w:t xml:space="preserve">topographically constrained areas will incorporate local knowledge, culture, and adaptability (Kaur &amp; </w:t>
      </w:r>
      <w:proofErr w:type="spellStart"/>
      <w:r w:rsidRPr="005E2127">
        <w:rPr>
          <w:rFonts w:ascii="Times New Roman" w:hAnsi="Times New Roman" w:cs="Times New Roman"/>
        </w:rPr>
        <w:t>Nawani</w:t>
      </w:r>
      <w:proofErr w:type="spellEnd"/>
      <w:r w:rsidRPr="005E2127">
        <w:rPr>
          <w:rFonts w:ascii="Times New Roman" w:hAnsi="Times New Roman" w:cs="Times New Roman"/>
        </w:rPr>
        <w:t>, 2025). The same is true for the diversity of the neighbourhoods in Swansea because each neighbourhood has its own unique history, environmental constraints and opportunities.</w:t>
      </w:r>
    </w:p>
    <w:p w14:paraId="2D07E437" w14:textId="77777777" w:rsidR="00F15A00" w:rsidRDefault="005E2127" w:rsidP="005E2127">
      <w:pPr>
        <w:spacing w:line="480" w:lineRule="auto"/>
        <w:rPr>
          <w:rFonts w:ascii="Times New Roman" w:hAnsi="Times New Roman" w:cs="Times New Roman"/>
        </w:rPr>
      </w:pPr>
      <w:r w:rsidRPr="005E2127">
        <w:rPr>
          <w:rFonts w:ascii="Times New Roman" w:hAnsi="Times New Roman" w:cs="Times New Roman"/>
        </w:rPr>
        <w:t xml:space="preserve">The business sector, including (SMEs), developers and tourism operators contribute to the economy through their investment, employment and creation of local economic activity. However, their participation in the regeneration effort must balance economic viability with their environmental responsibilities and cultural </w:t>
      </w:r>
      <w:r w:rsidR="00F15A00" w:rsidRPr="005E2127">
        <w:rPr>
          <w:rFonts w:ascii="Times New Roman" w:hAnsi="Times New Roman" w:cs="Times New Roman"/>
        </w:rPr>
        <w:t>sensitivity. The</w:t>
      </w:r>
      <w:r w:rsidRPr="005E2127">
        <w:rPr>
          <w:rFonts w:ascii="Times New Roman" w:hAnsi="Times New Roman" w:cs="Times New Roman"/>
        </w:rPr>
        <w:t xml:space="preserve"> Most Recent Urban Regeneration Model highlights the importance of collaborative governance and the role of stakeholders in developing-related decision-making. Collaborative Governance is based on the premise that decision-making should include the voices of all relevant stakeholders through a wide-ranging participatory framework, thus allowing for the consideration of public, private, and community concerns.</w:t>
      </w:r>
    </w:p>
    <w:p w14:paraId="26A76DD6" w14:textId="77777777" w:rsidR="00F15A00" w:rsidRDefault="005E2127" w:rsidP="005E2127">
      <w:pPr>
        <w:spacing w:line="480" w:lineRule="auto"/>
        <w:rPr>
          <w:rFonts w:ascii="Times New Roman" w:hAnsi="Times New Roman" w:cs="Times New Roman"/>
        </w:rPr>
      </w:pPr>
      <w:r w:rsidRPr="005E2127">
        <w:rPr>
          <w:rFonts w:ascii="Times New Roman" w:hAnsi="Times New Roman" w:cs="Times New Roman"/>
        </w:rPr>
        <w:t xml:space="preserve">Local and regional strategies influence Swansea's ability to implement and manage sustainable approaches to the regeneration of the </w:t>
      </w:r>
      <w:r w:rsidR="00F15A00">
        <w:rPr>
          <w:rFonts w:ascii="Times New Roman" w:hAnsi="Times New Roman" w:cs="Times New Roman"/>
        </w:rPr>
        <w:t>a</w:t>
      </w:r>
      <w:r w:rsidRPr="005E2127">
        <w:rPr>
          <w:rFonts w:ascii="Times New Roman" w:hAnsi="Times New Roman" w:cs="Times New Roman"/>
        </w:rPr>
        <w:t>rea.</w:t>
      </w:r>
    </w:p>
    <w:p w14:paraId="71331FF9" w14:textId="77777777" w:rsidR="00F15A00" w:rsidRDefault="005E2127" w:rsidP="005E2127">
      <w:pPr>
        <w:spacing w:line="480" w:lineRule="auto"/>
        <w:rPr>
          <w:rFonts w:ascii="Times New Roman" w:hAnsi="Times New Roman" w:cs="Times New Roman"/>
        </w:rPr>
      </w:pPr>
      <w:r w:rsidRPr="005E2127">
        <w:rPr>
          <w:rFonts w:ascii="Times New Roman" w:hAnsi="Times New Roman" w:cs="Times New Roman"/>
        </w:rPr>
        <w:t>Swansea City Council's LDP2 represents the primary local strategic policy document in Swansea and contains integrated sustainability appraisal processes intended to enable developments to achieve the necessary balance between environmental, economic, and social objectives.</w:t>
      </w:r>
    </w:p>
    <w:p w14:paraId="74F2646D" w14:textId="77777777" w:rsidR="00F15A00" w:rsidRDefault="005E2127" w:rsidP="005E2127">
      <w:pPr>
        <w:spacing w:line="480" w:lineRule="auto"/>
        <w:rPr>
          <w:rFonts w:ascii="Times New Roman" w:hAnsi="Times New Roman" w:cs="Times New Roman"/>
        </w:rPr>
      </w:pPr>
      <w:r w:rsidRPr="005E2127">
        <w:rPr>
          <w:rFonts w:ascii="Times New Roman" w:hAnsi="Times New Roman" w:cs="Times New Roman"/>
        </w:rPr>
        <w:t xml:space="preserve">National Planning Framework Policies build on sustainable development principles, primarily through the goals of decarbonising, active travel, nature recovery, and wellbeing. These goals align with the evidence from </w:t>
      </w:r>
      <w:r w:rsidR="00F15A00">
        <w:rPr>
          <w:rFonts w:ascii="Times New Roman" w:hAnsi="Times New Roman" w:cs="Times New Roman"/>
        </w:rPr>
        <w:t>r</w:t>
      </w:r>
      <w:r w:rsidRPr="005E2127">
        <w:rPr>
          <w:rFonts w:ascii="Times New Roman" w:hAnsi="Times New Roman" w:cs="Times New Roman"/>
        </w:rPr>
        <w:t xml:space="preserve">esearch demonstrating the need for environmental planning to ensure that ecological systems remain intact, and that </w:t>
      </w:r>
      <w:r w:rsidR="00F15A00">
        <w:rPr>
          <w:rFonts w:ascii="Times New Roman" w:hAnsi="Times New Roman" w:cs="Times New Roman"/>
        </w:rPr>
        <w:t>g</w:t>
      </w:r>
      <w:r w:rsidRPr="005E2127">
        <w:rPr>
          <w:rFonts w:ascii="Times New Roman" w:hAnsi="Times New Roman" w:cs="Times New Roman"/>
        </w:rPr>
        <w:t xml:space="preserve">reen </w:t>
      </w:r>
      <w:r w:rsidR="00F15A00">
        <w:rPr>
          <w:rFonts w:ascii="Times New Roman" w:hAnsi="Times New Roman" w:cs="Times New Roman"/>
        </w:rPr>
        <w:t>i</w:t>
      </w:r>
      <w:r w:rsidRPr="005E2127">
        <w:rPr>
          <w:rFonts w:ascii="Times New Roman" w:hAnsi="Times New Roman" w:cs="Times New Roman"/>
        </w:rPr>
        <w:t>nfrastructure is strengthened to ensure sustainable growth into the future</w:t>
      </w:r>
      <w:r w:rsidR="00F15A00">
        <w:rPr>
          <w:rFonts w:ascii="Times New Roman" w:hAnsi="Times New Roman" w:cs="Times New Roman"/>
        </w:rPr>
        <w:t xml:space="preserve"> </w:t>
      </w:r>
      <w:r w:rsidRPr="005E2127">
        <w:rPr>
          <w:rFonts w:ascii="Times New Roman" w:hAnsi="Times New Roman" w:cs="Times New Roman"/>
        </w:rPr>
        <w:t>(</w:t>
      </w:r>
      <w:proofErr w:type="spellStart"/>
      <w:r w:rsidRPr="005E2127">
        <w:rPr>
          <w:rFonts w:ascii="Times New Roman" w:hAnsi="Times New Roman" w:cs="Times New Roman"/>
        </w:rPr>
        <w:t>Mersal</w:t>
      </w:r>
      <w:proofErr w:type="spellEnd"/>
      <w:r w:rsidRPr="005E2127">
        <w:rPr>
          <w:rFonts w:ascii="Times New Roman" w:hAnsi="Times New Roman" w:cs="Times New Roman"/>
        </w:rPr>
        <w:t xml:space="preserve"> et al 2016).</w:t>
      </w:r>
    </w:p>
    <w:p w14:paraId="7F4F1B78" w14:textId="77777777" w:rsidR="00903319" w:rsidRDefault="005E2127" w:rsidP="005E2127">
      <w:pPr>
        <w:spacing w:line="480" w:lineRule="auto"/>
        <w:rPr>
          <w:rFonts w:ascii="Times New Roman" w:hAnsi="Times New Roman" w:cs="Times New Roman"/>
        </w:rPr>
      </w:pPr>
      <w:r w:rsidRPr="005E2127">
        <w:rPr>
          <w:rFonts w:ascii="Times New Roman" w:hAnsi="Times New Roman" w:cs="Times New Roman"/>
        </w:rPr>
        <w:lastRenderedPageBreak/>
        <w:t xml:space="preserve">The Habitats Regulations Assessment (HRA) Determinations Statement influences the development of the Swansea City Regeneration Strategy by clarifying that extra care should be taken when considering sites containing protected </w:t>
      </w:r>
      <w:r w:rsidR="00F15A00" w:rsidRPr="005E2127">
        <w:rPr>
          <w:rFonts w:ascii="Times New Roman" w:hAnsi="Times New Roman" w:cs="Times New Roman"/>
        </w:rPr>
        <w:t>habitats. The</w:t>
      </w:r>
      <w:r w:rsidRPr="005E2127">
        <w:rPr>
          <w:rFonts w:ascii="Times New Roman" w:hAnsi="Times New Roman" w:cs="Times New Roman"/>
        </w:rPr>
        <w:t xml:space="preserve"> Regional Economic Initiatives implemented in Swansea </w:t>
      </w:r>
      <w:r w:rsidR="00F15A00">
        <w:rPr>
          <w:rFonts w:ascii="Times New Roman" w:hAnsi="Times New Roman" w:cs="Times New Roman"/>
        </w:rPr>
        <w:t>c</w:t>
      </w:r>
      <w:r w:rsidRPr="005E2127">
        <w:rPr>
          <w:rFonts w:ascii="Times New Roman" w:hAnsi="Times New Roman" w:cs="Times New Roman"/>
        </w:rPr>
        <w:t xml:space="preserve">ity provide significant opportunities for aligning </w:t>
      </w:r>
      <w:r w:rsidR="00F15A00">
        <w:rPr>
          <w:rFonts w:ascii="Times New Roman" w:hAnsi="Times New Roman" w:cs="Times New Roman"/>
        </w:rPr>
        <w:t>r</w:t>
      </w:r>
      <w:r w:rsidRPr="005E2127">
        <w:rPr>
          <w:rFonts w:ascii="Times New Roman" w:hAnsi="Times New Roman" w:cs="Times New Roman"/>
        </w:rPr>
        <w:t xml:space="preserve">egeneration with </w:t>
      </w:r>
      <w:r w:rsidR="00F15A00">
        <w:rPr>
          <w:rFonts w:ascii="Times New Roman" w:hAnsi="Times New Roman" w:cs="Times New Roman"/>
        </w:rPr>
        <w:t>s</w:t>
      </w:r>
      <w:r w:rsidRPr="005E2127">
        <w:rPr>
          <w:rFonts w:ascii="Times New Roman" w:hAnsi="Times New Roman" w:cs="Times New Roman"/>
        </w:rPr>
        <w:t xml:space="preserve">mart </w:t>
      </w:r>
      <w:r w:rsidR="00F15A00">
        <w:rPr>
          <w:rFonts w:ascii="Times New Roman" w:hAnsi="Times New Roman" w:cs="Times New Roman"/>
        </w:rPr>
        <w:t>c</w:t>
      </w:r>
      <w:r w:rsidRPr="005E2127">
        <w:rPr>
          <w:rFonts w:ascii="Times New Roman" w:hAnsi="Times New Roman" w:cs="Times New Roman"/>
        </w:rPr>
        <w:t xml:space="preserve">ity development, particularly through investment in digital transformation, innovation hubs, and entrepreneurship support, </w:t>
      </w:r>
      <w:r w:rsidR="00F15A00" w:rsidRPr="005E2127">
        <w:rPr>
          <w:rFonts w:ascii="Times New Roman" w:hAnsi="Times New Roman" w:cs="Times New Roman"/>
        </w:rPr>
        <w:t>to</w:t>
      </w:r>
      <w:r w:rsidRPr="005E2127">
        <w:rPr>
          <w:rFonts w:ascii="Times New Roman" w:hAnsi="Times New Roman" w:cs="Times New Roman"/>
        </w:rPr>
        <w:t xml:space="preserve"> enable stronger alignment between these issues.</w:t>
      </w:r>
      <w:r w:rsidR="00F15A00">
        <w:rPr>
          <w:rFonts w:ascii="Times New Roman" w:hAnsi="Times New Roman" w:cs="Times New Roman"/>
        </w:rPr>
        <w:t xml:space="preserve"> </w:t>
      </w:r>
      <w:r w:rsidRPr="005E2127">
        <w:rPr>
          <w:rFonts w:ascii="Times New Roman" w:hAnsi="Times New Roman" w:cs="Times New Roman"/>
        </w:rPr>
        <w:t xml:space="preserve">Wu and Leng (2025) put forward the proposition that </w:t>
      </w:r>
      <w:r w:rsidR="00F15A00">
        <w:rPr>
          <w:rFonts w:ascii="Times New Roman" w:hAnsi="Times New Roman" w:cs="Times New Roman"/>
        </w:rPr>
        <w:t>u</w:t>
      </w:r>
      <w:r w:rsidRPr="005E2127">
        <w:rPr>
          <w:rFonts w:ascii="Times New Roman" w:hAnsi="Times New Roman" w:cs="Times New Roman"/>
        </w:rPr>
        <w:t xml:space="preserve">rban </w:t>
      </w:r>
      <w:r w:rsidR="00F15A00">
        <w:rPr>
          <w:rFonts w:ascii="Times New Roman" w:hAnsi="Times New Roman" w:cs="Times New Roman"/>
        </w:rPr>
        <w:t>r</w:t>
      </w:r>
      <w:r w:rsidRPr="005E2127">
        <w:rPr>
          <w:rFonts w:ascii="Times New Roman" w:hAnsi="Times New Roman" w:cs="Times New Roman"/>
        </w:rPr>
        <w:t xml:space="preserve">egeneration may be enhanced </w:t>
      </w:r>
      <w:r w:rsidR="00F15A00" w:rsidRPr="005E2127">
        <w:rPr>
          <w:rFonts w:ascii="Times New Roman" w:hAnsi="Times New Roman" w:cs="Times New Roman"/>
        </w:rPr>
        <w:t>using</w:t>
      </w:r>
      <w:r w:rsidRPr="005E2127">
        <w:rPr>
          <w:rFonts w:ascii="Times New Roman" w:hAnsi="Times New Roman" w:cs="Times New Roman"/>
        </w:rPr>
        <w:t xml:space="preserve"> the </w:t>
      </w:r>
      <w:r w:rsidR="00F15A00">
        <w:rPr>
          <w:rFonts w:ascii="Times New Roman" w:hAnsi="Times New Roman" w:cs="Times New Roman"/>
        </w:rPr>
        <w:t>i</w:t>
      </w:r>
      <w:r w:rsidRPr="005E2127">
        <w:rPr>
          <w:rFonts w:ascii="Times New Roman" w:hAnsi="Times New Roman" w:cs="Times New Roman"/>
        </w:rPr>
        <w:t xml:space="preserve">ntegration of City Information Modelling (CIM) and Building Information Modelling (BIM), allowing </w:t>
      </w:r>
      <w:r w:rsidR="00F15A00">
        <w:rPr>
          <w:rFonts w:ascii="Times New Roman" w:hAnsi="Times New Roman" w:cs="Times New Roman"/>
        </w:rPr>
        <w:t>p</w:t>
      </w:r>
      <w:r w:rsidRPr="005E2127">
        <w:rPr>
          <w:rFonts w:ascii="Times New Roman" w:hAnsi="Times New Roman" w:cs="Times New Roman"/>
        </w:rPr>
        <w:t xml:space="preserve">lanners to </w:t>
      </w:r>
      <w:r w:rsidR="00F15A00">
        <w:rPr>
          <w:rFonts w:ascii="Times New Roman" w:hAnsi="Times New Roman" w:cs="Times New Roman"/>
        </w:rPr>
        <w:t>v</w:t>
      </w:r>
      <w:r w:rsidRPr="005E2127">
        <w:rPr>
          <w:rFonts w:ascii="Times New Roman" w:hAnsi="Times New Roman" w:cs="Times New Roman"/>
        </w:rPr>
        <w:t xml:space="preserve">isualise </w:t>
      </w:r>
      <w:r w:rsidR="00F15A00">
        <w:rPr>
          <w:rFonts w:ascii="Times New Roman" w:hAnsi="Times New Roman" w:cs="Times New Roman"/>
        </w:rPr>
        <w:t>s</w:t>
      </w:r>
      <w:r w:rsidRPr="005E2127">
        <w:rPr>
          <w:rFonts w:ascii="Times New Roman" w:hAnsi="Times New Roman" w:cs="Times New Roman"/>
        </w:rPr>
        <w:t xml:space="preserve">patial </w:t>
      </w:r>
      <w:r w:rsidR="00F15A00">
        <w:rPr>
          <w:rFonts w:ascii="Times New Roman" w:hAnsi="Times New Roman" w:cs="Times New Roman"/>
        </w:rPr>
        <w:t>s</w:t>
      </w:r>
      <w:r w:rsidRPr="005E2127">
        <w:rPr>
          <w:rFonts w:ascii="Times New Roman" w:hAnsi="Times New Roman" w:cs="Times New Roman"/>
        </w:rPr>
        <w:t xml:space="preserve">ystems, </w:t>
      </w:r>
      <w:r w:rsidR="00F15A00">
        <w:rPr>
          <w:rFonts w:ascii="Times New Roman" w:hAnsi="Times New Roman" w:cs="Times New Roman"/>
        </w:rPr>
        <w:t>s</w:t>
      </w:r>
      <w:r w:rsidRPr="005E2127">
        <w:rPr>
          <w:rFonts w:ascii="Times New Roman" w:hAnsi="Times New Roman" w:cs="Times New Roman"/>
        </w:rPr>
        <w:t xml:space="preserve">imulate </w:t>
      </w:r>
      <w:r w:rsidR="00F15A00">
        <w:rPr>
          <w:rFonts w:ascii="Times New Roman" w:hAnsi="Times New Roman" w:cs="Times New Roman"/>
        </w:rPr>
        <w:t>e</w:t>
      </w:r>
      <w:r w:rsidRPr="005E2127">
        <w:rPr>
          <w:rFonts w:ascii="Times New Roman" w:hAnsi="Times New Roman" w:cs="Times New Roman"/>
        </w:rPr>
        <w:t xml:space="preserve">nvironmental </w:t>
      </w:r>
      <w:r w:rsidR="00F15A00">
        <w:rPr>
          <w:rFonts w:ascii="Times New Roman" w:hAnsi="Times New Roman" w:cs="Times New Roman"/>
        </w:rPr>
        <w:t>p</w:t>
      </w:r>
      <w:r w:rsidRPr="005E2127">
        <w:rPr>
          <w:rFonts w:ascii="Times New Roman" w:hAnsi="Times New Roman" w:cs="Times New Roman"/>
        </w:rPr>
        <w:t xml:space="preserve">erformance, and </w:t>
      </w:r>
      <w:r w:rsidR="00F15A00">
        <w:rPr>
          <w:rFonts w:ascii="Times New Roman" w:hAnsi="Times New Roman" w:cs="Times New Roman"/>
        </w:rPr>
        <w:t>p</w:t>
      </w:r>
      <w:r w:rsidRPr="005E2127">
        <w:rPr>
          <w:rFonts w:ascii="Times New Roman" w:hAnsi="Times New Roman" w:cs="Times New Roman"/>
        </w:rPr>
        <w:t xml:space="preserve">rovide </w:t>
      </w:r>
      <w:r w:rsidR="00F15A00">
        <w:rPr>
          <w:rFonts w:ascii="Times New Roman" w:hAnsi="Times New Roman" w:cs="Times New Roman"/>
        </w:rPr>
        <w:t>c</w:t>
      </w:r>
      <w:r w:rsidRPr="005E2127">
        <w:rPr>
          <w:rFonts w:ascii="Times New Roman" w:hAnsi="Times New Roman" w:cs="Times New Roman"/>
        </w:rPr>
        <w:t xml:space="preserve">ommunity </w:t>
      </w:r>
      <w:r w:rsidR="00F15A00">
        <w:rPr>
          <w:rFonts w:ascii="Times New Roman" w:hAnsi="Times New Roman" w:cs="Times New Roman"/>
        </w:rPr>
        <w:t>o</w:t>
      </w:r>
      <w:r w:rsidRPr="005E2127">
        <w:rPr>
          <w:rFonts w:ascii="Times New Roman" w:hAnsi="Times New Roman" w:cs="Times New Roman"/>
        </w:rPr>
        <w:t xml:space="preserve">pportunities to </w:t>
      </w:r>
      <w:r w:rsidR="00F15A00">
        <w:rPr>
          <w:rFonts w:ascii="Times New Roman" w:hAnsi="Times New Roman" w:cs="Times New Roman"/>
        </w:rPr>
        <w:t>b</w:t>
      </w:r>
      <w:r w:rsidRPr="005E2127">
        <w:rPr>
          <w:rFonts w:ascii="Times New Roman" w:hAnsi="Times New Roman" w:cs="Times New Roman"/>
        </w:rPr>
        <w:t xml:space="preserve">e </w:t>
      </w:r>
      <w:r w:rsidR="00F15A00">
        <w:rPr>
          <w:rFonts w:ascii="Times New Roman" w:hAnsi="Times New Roman" w:cs="Times New Roman"/>
        </w:rPr>
        <w:t>a</w:t>
      </w:r>
      <w:r w:rsidRPr="005E2127">
        <w:rPr>
          <w:rFonts w:ascii="Times New Roman" w:hAnsi="Times New Roman" w:cs="Times New Roman"/>
        </w:rPr>
        <w:t xml:space="preserve">ctively </w:t>
      </w:r>
      <w:r w:rsidR="00F15A00">
        <w:rPr>
          <w:rFonts w:ascii="Times New Roman" w:hAnsi="Times New Roman" w:cs="Times New Roman"/>
        </w:rPr>
        <w:t>e</w:t>
      </w:r>
      <w:r w:rsidRPr="005E2127">
        <w:rPr>
          <w:rFonts w:ascii="Times New Roman" w:hAnsi="Times New Roman" w:cs="Times New Roman"/>
        </w:rPr>
        <w:t xml:space="preserve">ngaged in </w:t>
      </w:r>
      <w:r w:rsidR="00F15A00">
        <w:rPr>
          <w:rFonts w:ascii="Times New Roman" w:hAnsi="Times New Roman" w:cs="Times New Roman"/>
        </w:rPr>
        <w:t>s</w:t>
      </w:r>
      <w:r w:rsidRPr="005E2127">
        <w:rPr>
          <w:rFonts w:ascii="Times New Roman" w:hAnsi="Times New Roman" w:cs="Times New Roman"/>
        </w:rPr>
        <w:t xml:space="preserve">cenario-based </w:t>
      </w:r>
      <w:r w:rsidR="00F15A00">
        <w:rPr>
          <w:rFonts w:ascii="Times New Roman" w:hAnsi="Times New Roman" w:cs="Times New Roman"/>
        </w:rPr>
        <w:t>p</w:t>
      </w:r>
      <w:r w:rsidR="00F15A00" w:rsidRPr="005E2127">
        <w:rPr>
          <w:rFonts w:ascii="Times New Roman" w:hAnsi="Times New Roman" w:cs="Times New Roman"/>
        </w:rPr>
        <w:t>lanning. The</w:t>
      </w:r>
      <w:r w:rsidRPr="005E2127">
        <w:rPr>
          <w:rFonts w:ascii="Times New Roman" w:hAnsi="Times New Roman" w:cs="Times New Roman"/>
        </w:rPr>
        <w:t xml:space="preserve"> </w:t>
      </w:r>
      <w:r w:rsidR="00903319">
        <w:rPr>
          <w:rFonts w:ascii="Times New Roman" w:hAnsi="Times New Roman" w:cs="Times New Roman"/>
        </w:rPr>
        <w:t>r</w:t>
      </w:r>
      <w:r w:rsidRPr="005E2127">
        <w:rPr>
          <w:rFonts w:ascii="Times New Roman" w:hAnsi="Times New Roman" w:cs="Times New Roman"/>
        </w:rPr>
        <w:t>egeneration strategies illustrate the significance of the aesthetics of the organi</w:t>
      </w:r>
      <w:r w:rsidR="00903319">
        <w:rPr>
          <w:rFonts w:ascii="Times New Roman" w:hAnsi="Times New Roman" w:cs="Times New Roman"/>
        </w:rPr>
        <w:t>s</w:t>
      </w:r>
      <w:r w:rsidRPr="005E2127">
        <w:rPr>
          <w:rFonts w:ascii="Times New Roman" w:hAnsi="Times New Roman" w:cs="Times New Roman"/>
        </w:rPr>
        <w:t xml:space="preserve">ing. Studies have shown that the visual attributes of the regeneration schemes, as well as their </w:t>
      </w:r>
      <w:r w:rsidR="00903319">
        <w:rPr>
          <w:rFonts w:ascii="Times New Roman" w:hAnsi="Times New Roman" w:cs="Times New Roman"/>
        </w:rPr>
        <w:t>c</w:t>
      </w:r>
      <w:r w:rsidRPr="005E2127">
        <w:rPr>
          <w:rFonts w:ascii="Times New Roman" w:hAnsi="Times New Roman" w:cs="Times New Roman"/>
        </w:rPr>
        <w:t xml:space="preserve">onstructs, influence how socially cohesive, trust and engage communities. Thus, the Urban Design Strategies developed for Swansea </w:t>
      </w:r>
      <w:r w:rsidR="00903319">
        <w:rPr>
          <w:rFonts w:ascii="Times New Roman" w:hAnsi="Times New Roman" w:cs="Times New Roman"/>
        </w:rPr>
        <w:t>c</w:t>
      </w:r>
      <w:r w:rsidRPr="005E2127">
        <w:rPr>
          <w:rFonts w:ascii="Times New Roman" w:hAnsi="Times New Roman" w:cs="Times New Roman"/>
        </w:rPr>
        <w:t xml:space="preserve">ity will have an important impact on the success of the city’s </w:t>
      </w:r>
      <w:r w:rsidR="00903319">
        <w:rPr>
          <w:rFonts w:ascii="Times New Roman" w:hAnsi="Times New Roman" w:cs="Times New Roman"/>
        </w:rPr>
        <w:t>r</w:t>
      </w:r>
      <w:r w:rsidRPr="005E2127">
        <w:rPr>
          <w:rFonts w:ascii="Times New Roman" w:hAnsi="Times New Roman" w:cs="Times New Roman"/>
        </w:rPr>
        <w:t xml:space="preserve">egeneration </w:t>
      </w:r>
      <w:r w:rsidR="00903319">
        <w:rPr>
          <w:rFonts w:ascii="Times New Roman" w:hAnsi="Times New Roman" w:cs="Times New Roman"/>
        </w:rPr>
        <w:t>p</w:t>
      </w:r>
      <w:r w:rsidRPr="005E2127">
        <w:rPr>
          <w:rFonts w:ascii="Times New Roman" w:hAnsi="Times New Roman" w:cs="Times New Roman"/>
        </w:rPr>
        <w:t>rojects.</w:t>
      </w:r>
    </w:p>
    <w:p w14:paraId="11F00C4F" w14:textId="77777777" w:rsidR="00903319" w:rsidRDefault="00903319" w:rsidP="005E2127">
      <w:pPr>
        <w:spacing w:line="480" w:lineRule="auto"/>
        <w:rPr>
          <w:rFonts w:ascii="Times New Roman" w:hAnsi="Times New Roman" w:cs="Times New Roman"/>
        </w:rPr>
      </w:pPr>
    </w:p>
    <w:p w14:paraId="58CF4987" w14:textId="77777777" w:rsidR="00903319" w:rsidRDefault="00903319" w:rsidP="005E2127">
      <w:pPr>
        <w:spacing w:line="480" w:lineRule="auto"/>
        <w:rPr>
          <w:rFonts w:ascii="Times New Roman" w:hAnsi="Times New Roman" w:cs="Times New Roman"/>
        </w:rPr>
      </w:pPr>
    </w:p>
    <w:p w14:paraId="1CF8006F" w14:textId="77777777" w:rsidR="00903319" w:rsidRDefault="00903319" w:rsidP="005E2127">
      <w:pPr>
        <w:spacing w:line="480" w:lineRule="auto"/>
        <w:rPr>
          <w:rFonts w:ascii="Times New Roman" w:hAnsi="Times New Roman" w:cs="Times New Roman"/>
        </w:rPr>
      </w:pPr>
    </w:p>
    <w:p w14:paraId="2AC6D5FE" w14:textId="77777777" w:rsidR="00903319" w:rsidRDefault="00903319" w:rsidP="005E2127">
      <w:pPr>
        <w:spacing w:line="480" w:lineRule="auto"/>
        <w:rPr>
          <w:rFonts w:ascii="Times New Roman" w:hAnsi="Times New Roman" w:cs="Times New Roman"/>
        </w:rPr>
      </w:pPr>
    </w:p>
    <w:p w14:paraId="56BEB3D0" w14:textId="77777777" w:rsidR="00903319" w:rsidRDefault="00903319" w:rsidP="005E2127">
      <w:pPr>
        <w:spacing w:line="480" w:lineRule="auto"/>
        <w:rPr>
          <w:rFonts w:ascii="Times New Roman" w:hAnsi="Times New Roman" w:cs="Times New Roman"/>
        </w:rPr>
      </w:pPr>
    </w:p>
    <w:p w14:paraId="748EAA89" w14:textId="77777777" w:rsidR="00903319" w:rsidRDefault="00903319" w:rsidP="005E2127">
      <w:pPr>
        <w:spacing w:line="480" w:lineRule="auto"/>
        <w:rPr>
          <w:rFonts w:ascii="Times New Roman" w:hAnsi="Times New Roman" w:cs="Times New Roman"/>
        </w:rPr>
      </w:pPr>
    </w:p>
    <w:p w14:paraId="1EE11C58" w14:textId="77777777" w:rsidR="00903319" w:rsidRDefault="00903319" w:rsidP="005E2127">
      <w:pPr>
        <w:spacing w:line="480" w:lineRule="auto"/>
        <w:rPr>
          <w:rFonts w:ascii="Times New Roman" w:hAnsi="Times New Roman" w:cs="Times New Roman"/>
        </w:rPr>
      </w:pPr>
    </w:p>
    <w:p w14:paraId="2079F064" w14:textId="77777777" w:rsidR="00903319" w:rsidRDefault="00903319" w:rsidP="005E2127">
      <w:pPr>
        <w:spacing w:line="480" w:lineRule="auto"/>
        <w:rPr>
          <w:rFonts w:ascii="Times New Roman" w:hAnsi="Times New Roman" w:cs="Times New Roman"/>
        </w:rPr>
      </w:pPr>
    </w:p>
    <w:p w14:paraId="57EB8453" w14:textId="23BE3697" w:rsidR="005E2127" w:rsidRPr="00903319" w:rsidRDefault="005E2127" w:rsidP="00903319">
      <w:pPr>
        <w:pStyle w:val="ListParagraph"/>
        <w:numPr>
          <w:ilvl w:val="0"/>
          <w:numId w:val="1"/>
        </w:numPr>
        <w:spacing w:line="480" w:lineRule="auto"/>
        <w:rPr>
          <w:rFonts w:ascii="Times New Roman" w:hAnsi="Times New Roman" w:cs="Times New Roman"/>
          <w:b/>
          <w:bCs/>
          <w:color w:val="E97132" w:themeColor="accent2"/>
          <w:u w:val="wave"/>
        </w:rPr>
      </w:pPr>
      <w:r w:rsidRPr="00903319">
        <w:rPr>
          <w:rFonts w:ascii="Times New Roman" w:hAnsi="Times New Roman" w:cs="Times New Roman"/>
          <w:b/>
          <w:bCs/>
          <w:color w:val="E97132" w:themeColor="accent2"/>
          <w:u w:val="wave"/>
        </w:rPr>
        <w:lastRenderedPageBreak/>
        <w:t xml:space="preserve"> </w:t>
      </w:r>
      <w:r w:rsidR="00903319" w:rsidRPr="00903319">
        <w:rPr>
          <w:rFonts w:ascii="Times New Roman" w:hAnsi="Times New Roman" w:cs="Times New Roman"/>
          <w:b/>
          <w:bCs/>
          <w:color w:val="E97132" w:themeColor="accent2"/>
          <w:u w:val="wave"/>
        </w:rPr>
        <w:t>Future Opportunities for Regeneration</w:t>
      </w:r>
    </w:p>
    <w:p w14:paraId="01404351" w14:textId="4289D1CF" w:rsidR="005E2127" w:rsidRPr="00777DDA" w:rsidRDefault="005E2127" w:rsidP="00777DDA">
      <w:pPr>
        <w:pStyle w:val="ListParagraph"/>
        <w:numPr>
          <w:ilvl w:val="0"/>
          <w:numId w:val="3"/>
        </w:numPr>
        <w:spacing w:line="480" w:lineRule="auto"/>
        <w:rPr>
          <w:rFonts w:ascii="Times New Roman" w:hAnsi="Times New Roman" w:cs="Times New Roman"/>
          <w:b/>
          <w:bCs/>
          <w:color w:val="E97132" w:themeColor="accent2"/>
          <w:u w:val="wave"/>
        </w:rPr>
      </w:pPr>
      <w:r w:rsidRPr="00777DDA">
        <w:rPr>
          <w:rFonts w:ascii="Times New Roman" w:hAnsi="Times New Roman" w:cs="Times New Roman"/>
          <w:b/>
          <w:bCs/>
          <w:color w:val="E97132" w:themeColor="accent2"/>
          <w:u w:val="wave"/>
        </w:rPr>
        <w:t xml:space="preserve">Opportunities for Regeneration in the Future: Sustainable Digital-Green Urban Corridors </w:t>
      </w:r>
    </w:p>
    <w:p w14:paraId="196321C4" w14:textId="5B5EC45E" w:rsidR="005E2127" w:rsidRPr="005E2127" w:rsidRDefault="005E2127" w:rsidP="005E2127">
      <w:pPr>
        <w:spacing w:line="480" w:lineRule="auto"/>
        <w:rPr>
          <w:rFonts w:ascii="Times New Roman" w:hAnsi="Times New Roman" w:cs="Times New Roman"/>
        </w:rPr>
      </w:pPr>
      <w:r w:rsidRPr="005E2127">
        <w:rPr>
          <w:rFonts w:ascii="Times New Roman" w:hAnsi="Times New Roman" w:cs="Times New Roman"/>
        </w:rPr>
        <w:t xml:space="preserve">Regeneration of Swansea’s connectivity to the River Tawe through its natural and urban systems creates the potential for a </w:t>
      </w:r>
      <w:r w:rsidR="00903319">
        <w:rPr>
          <w:rFonts w:ascii="Times New Roman" w:hAnsi="Times New Roman" w:cs="Times New Roman"/>
        </w:rPr>
        <w:t>s</w:t>
      </w:r>
      <w:r w:rsidRPr="005E2127">
        <w:rPr>
          <w:rFonts w:ascii="Times New Roman" w:hAnsi="Times New Roman" w:cs="Times New Roman"/>
        </w:rPr>
        <w:t xml:space="preserve">ustainable </w:t>
      </w:r>
      <w:r w:rsidR="00903319">
        <w:rPr>
          <w:rFonts w:ascii="Times New Roman" w:hAnsi="Times New Roman" w:cs="Times New Roman"/>
        </w:rPr>
        <w:t>d</w:t>
      </w:r>
      <w:r w:rsidRPr="005E2127">
        <w:rPr>
          <w:rFonts w:ascii="Times New Roman" w:hAnsi="Times New Roman" w:cs="Times New Roman"/>
        </w:rPr>
        <w:t>igital-</w:t>
      </w:r>
      <w:r w:rsidR="00903319">
        <w:rPr>
          <w:rFonts w:ascii="Times New Roman" w:hAnsi="Times New Roman" w:cs="Times New Roman"/>
        </w:rPr>
        <w:t>g</w:t>
      </w:r>
      <w:r w:rsidRPr="005E2127">
        <w:rPr>
          <w:rFonts w:ascii="Times New Roman" w:hAnsi="Times New Roman" w:cs="Times New Roman"/>
        </w:rPr>
        <w:t xml:space="preserve">reen </w:t>
      </w:r>
      <w:r w:rsidR="00903319">
        <w:rPr>
          <w:rFonts w:ascii="Times New Roman" w:hAnsi="Times New Roman" w:cs="Times New Roman"/>
        </w:rPr>
        <w:t>r</w:t>
      </w:r>
      <w:r w:rsidRPr="005E2127">
        <w:rPr>
          <w:rFonts w:ascii="Times New Roman" w:hAnsi="Times New Roman" w:cs="Times New Roman"/>
        </w:rPr>
        <w:t xml:space="preserve">egeneration </w:t>
      </w:r>
      <w:r w:rsidR="00903319">
        <w:rPr>
          <w:rFonts w:ascii="Times New Roman" w:hAnsi="Times New Roman" w:cs="Times New Roman"/>
        </w:rPr>
        <w:t>c</w:t>
      </w:r>
      <w:r w:rsidRPr="005E2127">
        <w:rPr>
          <w:rFonts w:ascii="Times New Roman" w:hAnsi="Times New Roman" w:cs="Times New Roman"/>
        </w:rPr>
        <w:t xml:space="preserve">orridor. Studies have proven that when stakeholders have access to equal amounts of </w:t>
      </w:r>
      <w:r w:rsidR="00903319">
        <w:rPr>
          <w:rFonts w:ascii="Times New Roman" w:hAnsi="Times New Roman" w:cs="Times New Roman"/>
        </w:rPr>
        <w:t>g</w:t>
      </w:r>
      <w:r w:rsidRPr="005E2127">
        <w:rPr>
          <w:rFonts w:ascii="Times New Roman" w:hAnsi="Times New Roman" w:cs="Times New Roman"/>
        </w:rPr>
        <w:t xml:space="preserve">reen </w:t>
      </w:r>
      <w:r w:rsidR="00903319">
        <w:rPr>
          <w:rFonts w:ascii="Times New Roman" w:hAnsi="Times New Roman" w:cs="Times New Roman"/>
        </w:rPr>
        <w:t>s</w:t>
      </w:r>
      <w:r w:rsidRPr="005E2127">
        <w:rPr>
          <w:rFonts w:ascii="Times New Roman" w:hAnsi="Times New Roman" w:cs="Times New Roman"/>
        </w:rPr>
        <w:t xml:space="preserve">pace, experience similar </w:t>
      </w:r>
      <w:r w:rsidR="00903319">
        <w:rPr>
          <w:rFonts w:ascii="Times New Roman" w:hAnsi="Times New Roman" w:cs="Times New Roman"/>
        </w:rPr>
        <w:t>h</w:t>
      </w:r>
      <w:r w:rsidRPr="005E2127">
        <w:rPr>
          <w:rFonts w:ascii="Times New Roman" w:hAnsi="Times New Roman" w:cs="Times New Roman"/>
        </w:rPr>
        <w:t xml:space="preserve">ealth </w:t>
      </w:r>
      <w:r w:rsidR="00903319">
        <w:rPr>
          <w:rFonts w:ascii="Times New Roman" w:hAnsi="Times New Roman" w:cs="Times New Roman"/>
        </w:rPr>
        <w:t>o</w:t>
      </w:r>
      <w:r w:rsidRPr="005E2127">
        <w:rPr>
          <w:rFonts w:ascii="Times New Roman" w:hAnsi="Times New Roman" w:cs="Times New Roman"/>
        </w:rPr>
        <w:t xml:space="preserve">utcomes, and live in </w:t>
      </w:r>
      <w:r w:rsidR="00903319">
        <w:rPr>
          <w:rFonts w:ascii="Times New Roman" w:hAnsi="Times New Roman" w:cs="Times New Roman"/>
        </w:rPr>
        <w:t>e</w:t>
      </w:r>
      <w:r w:rsidRPr="005E2127">
        <w:rPr>
          <w:rFonts w:ascii="Times New Roman" w:hAnsi="Times New Roman" w:cs="Times New Roman"/>
        </w:rPr>
        <w:t xml:space="preserve">cological </w:t>
      </w:r>
      <w:r w:rsidR="00903319">
        <w:rPr>
          <w:rFonts w:ascii="Times New Roman" w:hAnsi="Times New Roman" w:cs="Times New Roman"/>
        </w:rPr>
        <w:t>f</w:t>
      </w:r>
      <w:r w:rsidRPr="005E2127">
        <w:rPr>
          <w:rFonts w:ascii="Times New Roman" w:hAnsi="Times New Roman" w:cs="Times New Roman"/>
        </w:rPr>
        <w:t xml:space="preserve">ragments, they are less likely to achieve full potential in their </w:t>
      </w:r>
      <w:r w:rsidR="00903319">
        <w:rPr>
          <w:rFonts w:ascii="Times New Roman" w:hAnsi="Times New Roman" w:cs="Times New Roman"/>
        </w:rPr>
        <w:t>n</w:t>
      </w:r>
      <w:r w:rsidRPr="005E2127">
        <w:rPr>
          <w:rFonts w:ascii="Times New Roman" w:hAnsi="Times New Roman" w:cs="Times New Roman"/>
        </w:rPr>
        <w:t xml:space="preserve">iche </w:t>
      </w:r>
      <w:r w:rsidR="00903319">
        <w:rPr>
          <w:rFonts w:ascii="Times New Roman" w:hAnsi="Times New Roman" w:cs="Times New Roman"/>
        </w:rPr>
        <w:t>m</w:t>
      </w:r>
      <w:r w:rsidRPr="005E2127">
        <w:rPr>
          <w:rFonts w:ascii="Times New Roman" w:hAnsi="Times New Roman" w:cs="Times New Roman"/>
        </w:rPr>
        <w:t xml:space="preserve">arkets. </w:t>
      </w:r>
    </w:p>
    <w:p w14:paraId="0B131D8C" w14:textId="1A498CB4" w:rsidR="005E2127" w:rsidRPr="005E2127" w:rsidRDefault="005E2127" w:rsidP="005E2127">
      <w:pPr>
        <w:spacing w:line="480" w:lineRule="auto"/>
        <w:rPr>
          <w:rFonts w:ascii="Times New Roman" w:hAnsi="Times New Roman" w:cs="Times New Roman"/>
        </w:rPr>
      </w:pPr>
      <w:r w:rsidRPr="005E2127">
        <w:rPr>
          <w:rFonts w:ascii="Times New Roman" w:hAnsi="Times New Roman" w:cs="Times New Roman"/>
        </w:rPr>
        <w:t xml:space="preserve">The establishment of a Regeneration Corridor, which supports the development of restored wetlands, </w:t>
      </w:r>
      <w:r w:rsidR="00903319">
        <w:rPr>
          <w:rFonts w:ascii="Times New Roman" w:hAnsi="Times New Roman" w:cs="Times New Roman"/>
        </w:rPr>
        <w:t>l</w:t>
      </w:r>
      <w:r w:rsidRPr="005E2127">
        <w:rPr>
          <w:rFonts w:ascii="Times New Roman" w:hAnsi="Times New Roman" w:cs="Times New Roman"/>
        </w:rPr>
        <w:t xml:space="preserve">inear </w:t>
      </w:r>
      <w:r w:rsidR="00903319">
        <w:rPr>
          <w:rFonts w:ascii="Times New Roman" w:hAnsi="Times New Roman" w:cs="Times New Roman"/>
        </w:rPr>
        <w:t>p</w:t>
      </w:r>
      <w:r w:rsidRPr="005E2127">
        <w:rPr>
          <w:rFonts w:ascii="Times New Roman" w:hAnsi="Times New Roman" w:cs="Times New Roman"/>
        </w:rPr>
        <w:t xml:space="preserve">arks, and biodiversity friendly public spaces offer support to </w:t>
      </w:r>
      <w:r w:rsidR="00903319">
        <w:rPr>
          <w:rFonts w:ascii="Times New Roman" w:hAnsi="Times New Roman" w:cs="Times New Roman"/>
        </w:rPr>
        <w:t>e</w:t>
      </w:r>
      <w:r w:rsidRPr="005E2127">
        <w:rPr>
          <w:rFonts w:ascii="Times New Roman" w:hAnsi="Times New Roman" w:cs="Times New Roman"/>
        </w:rPr>
        <w:t xml:space="preserve">cological </w:t>
      </w:r>
      <w:r w:rsidR="00903319">
        <w:rPr>
          <w:rFonts w:ascii="Times New Roman" w:hAnsi="Times New Roman" w:cs="Times New Roman"/>
        </w:rPr>
        <w:t>n</w:t>
      </w:r>
      <w:r w:rsidRPr="005E2127">
        <w:rPr>
          <w:rFonts w:ascii="Times New Roman" w:hAnsi="Times New Roman" w:cs="Times New Roman"/>
        </w:rPr>
        <w:t xml:space="preserve">etworks and promotes </w:t>
      </w:r>
      <w:r w:rsidR="00903319">
        <w:rPr>
          <w:rFonts w:ascii="Times New Roman" w:hAnsi="Times New Roman" w:cs="Times New Roman"/>
        </w:rPr>
        <w:t>w</w:t>
      </w:r>
      <w:r w:rsidRPr="005E2127">
        <w:rPr>
          <w:rFonts w:ascii="Times New Roman" w:hAnsi="Times New Roman" w:cs="Times New Roman"/>
        </w:rPr>
        <w:t xml:space="preserve">ellbeing in local </w:t>
      </w:r>
      <w:r w:rsidR="00903319">
        <w:rPr>
          <w:rFonts w:ascii="Times New Roman" w:hAnsi="Times New Roman" w:cs="Times New Roman"/>
        </w:rPr>
        <w:t>c</w:t>
      </w:r>
      <w:r w:rsidRPr="005E2127">
        <w:rPr>
          <w:rFonts w:ascii="Times New Roman" w:hAnsi="Times New Roman" w:cs="Times New Roman"/>
        </w:rPr>
        <w:t xml:space="preserve">ommunities. </w:t>
      </w:r>
    </w:p>
    <w:p w14:paraId="77612B75" w14:textId="4B7D796C" w:rsidR="005E2127" w:rsidRPr="005E2127" w:rsidRDefault="005E2127" w:rsidP="005E2127">
      <w:pPr>
        <w:spacing w:line="480" w:lineRule="auto"/>
        <w:rPr>
          <w:rFonts w:ascii="Times New Roman" w:hAnsi="Times New Roman" w:cs="Times New Roman"/>
        </w:rPr>
      </w:pPr>
      <w:r w:rsidRPr="005E2127">
        <w:rPr>
          <w:rFonts w:ascii="Times New Roman" w:hAnsi="Times New Roman" w:cs="Times New Roman"/>
        </w:rPr>
        <w:t xml:space="preserve">By integrating Artificial Intelligence (AI) driven </w:t>
      </w:r>
      <w:r w:rsidR="00903319">
        <w:rPr>
          <w:rFonts w:ascii="Times New Roman" w:hAnsi="Times New Roman" w:cs="Times New Roman"/>
        </w:rPr>
        <w:t>s</w:t>
      </w:r>
      <w:r w:rsidRPr="005E2127">
        <w:rPr>
          <w:rFonts w:ascii="Times New Roman" w:hAnsi="Times New Roman" w:cs="Times New Roman"/>
        </w:rPr>
        <w:t xml:space="preserve">mart </w:t>
      </w:r>
      <w:r w:rsidR="00903319">
        <w:rPr>
          <w:rFonts w:ascii="Times New Roman" w:hAnsi="Times New Roman" w:cs="Times New Roman"/>
        </w:rPr>
        <w:t>i</w:t>
      </w:r>
      <w:r w:rsidRPr="005E2127">
        <w:rPr>
          <w:rFonts w:ascii="Times New Roman" w:hAnsi="Times New Roman" w:cs="Times New Roman"/>
        </w:rPr>
        <w:t xml:space="preserve">nfrastructure into this Avatar Corridor can increase the capacity to monitor and manage these ecosystems, ultimately enhancing and promoting their long-term sustainability. According to Suresh et al. (2025), AI provides an opportunity to develop </w:t>
      </w:r>
      <w:r w:rsidR="00903319">
        <w:rPr>
          <w:rFonts w:ascii="Times New Roman" w:hAnsi="Times New Roman" w:cs="Times New Roman"/>
        </w:rPr>
        <w:t>f</w:t>
      </w:r>
      <w:r w:rsidRPr="005E2127">
        <w:rPr>
          <w:rFonts w:ascii="Times New Roman" w:hAnsi="Times New Roman" w:cs="Times New Roman"/>
        </w:rPr>
        <w:t>orecast-</w:t>
      </w:r>
      <w:r w:rsidR="00903319">
        <w:rPr>
          <w:rFonts w:ascii="Times New Roman" w:hAnsi="Times New Roman" w:cs="Times New Roman"/>
        </w:rPr>
        <w:t>b</w:t>
      </w:r>
      <w:r w:rsidRPr="005E2127">
        <w:rPr>
          <w:rFonts w:ascii="Times New Roman" w:hAnsi="Times New Roman" w:cs="Times New Roman"/>
        </w:rPr>
        <w:t xml:space="preserve">ased </w:t>
      </w:r>
      <w:r w:rsidR="00903319">
        <w:rPr>
          <w:rFonts w:ascii="Times New Roman" w:hAnsi="Times New Roman" w:cs="Times New Roman"/>
        </w:rPr>
        <w:t>t</w:t>
      </w:r>
      <w:r w:rsidRPr="005E2127">
        <w:rPr>
          <w:rFonts w:ascii="Times New Roman" w:hAnsi="Times New Roman" w:cs="Times New Roman"/>
        </w:rPr>
        <w:t xml:space="preserve">ools that help predict </w:t>
      </w:r>
      <w:r w:rsidR="00903319">
        <w:rPr>
          <w:rFonts w:ascii="Times New Roman" w:hAnsi="Times New Roman" w:cs="Times New Roman"/>
        </w:rPr>
        <w:t>f</w:t>
      </w:r>
      <w:r w:rsidRPr="005E2127">
        <w:rPr>
          <w:rFonts w:ascii="Times New Roman" w:hAnsi="Times New Roman" w:cs="Times New Roman"/>
        </w:rPr>
        <w:t xml:space="preserve">lood </w:t>
      </w:r>
      <w:r w:rsidR="00903319">
        <w:rPr>
          <w:rFonts w:ascii="Times New Roman" w:hAnsi="Times New Roman" w:cs="Times New Roman"/>
        </w:rPr>
        <w:t>r</w:t>
      </w:r>
      <w:r w:rsidRPr="005E2127">
        <w:rPr>
          <w:rFonts w:ascii="Times New Roman" w:hAnsi="Times New Roman" w:cs="Times New Roman"/>
        </w:rPr>
        <w:t xml:space="preserve">isks, </w:t>
      </w:r>
      <w:r w:rsidR="00903319">
        <w:rPr>
          <w:rFonts w:ascii="Times New Roman" w:hAnsi="Times New Roman" w:cs="Times New Roman"/>
        </w:rPr>
        <w:t>e</w:t>
      </w:r>
      <w:r w:rsidRPr="005E2127">
        <w:rPr>
          <w:rFonts w:ascii="Times New Roman" w:hAnsi="Times New Roman" w:cs="Times New Roman"/>
        </w:rPr>
        <w:t xml:space="preserve">nergy </w:t>
      </w:r>
      <w:r w:rsidR="00903319">
        <w:rPr>
          <w:rFonts w:ascii="Times New Roman" w:hAnsi="Times New Roman" w:cs="Times New Roman"/>
        </w:rPr>
        <w:t>e</w:t>
      </w:r>
      <w:r w:rsidRPr="005E2127">
        <w:rPr>
          <w:rFonts w:ascii="Times New Roman" w:hAnsi="Times New Roman" w:cs="Times New Roman"/>
        </w:rPr>
        <w:t xml:space="preserve">fficiency and </w:t>
      </w:r>
      <w:r w:rsidR="00903319">
        <w:rPr>
          <w:rFonts w:ascii="Times New Roman" w:hAnsi="Times New Roman" w:cs="Times New Roman"/>
        </w:rPr>
        <w:t>u</w:t>
      </w:r>
      <w:r w:rsidRPr="005E2127">
        <w:rPr>
          <w:rFonts w:ascii="Times New Roman" w:hAnsi="Times New Roman" w:cs="Times New Roman"/>
        </w:rPr>
        <w:t xml:space="preserve">rban </w:t>
      </w:r>
      <w:r w:rsidR="00903319">
        <w:rPr>
          <w:rFonts w:ascii="Times New Roman" w:hAnsi="Times New Roman" w:cs="Times New Roman"/>
        </w:rPr>
        <w:t>s</w:t>
      </w:r>
      <w:r w:rsidRPr="005E2127">
        <w:rPr>
          <w:rFonts w:ascii="Times New Roman" w:hAnsi="Times New Roman" w:cs="Times New Roman"/>
        </w:rPr>
        <w:t xml:space="preserve">ervices to deliver real-time monitoring of </w:t>
      </w:r>
      <w:r w:rsidR="00903319">
        <w:rPr>
          <w:rFonts w:ascii="Times New Roman" w:hAnsi="Times New Roman" w:cs="Times New Roman"/>
        </w:rPr>
        <w:t>e</w:t>
      </w:r>
      <w:r w:rsidRPr="005E2127">
        <w:rPr>
          <w:rFonts w:ascii="Times New Roman" w:hAnsi="Times New Roman" w:cs="Times New Roman"/>
        </w:rPr>
        <w:t xml:space="preserve">cological </w:t>
      </w:r>
      <w:r w:rsidR="00903319">
        <w:rPr>
          <w:rFonts w:ascii="Times New Roman" w:hAnsi="Times New Roman" w:cs="Times New Roman"/>
        </w:rPr>
        <w:t>c</w:t>
      </w:r>
      <w:r w:rsidRPr="005E2127">
        <w:rPr>
          <w:rFonts w:ascii="Times New Roman" w:hAnsi="Times New Roman" w:cs="Times New Roman"/>
        </w:rPr>
        <w:t xml:space="preserve">onditions, together with dynamic lighting systems designed to enhance the experience of using these Corridors. By incorporating </w:t>
      </w:r>
      <w:r w:rsidR="00903319">
        <w:rPr>
          <w:rFonts w:ascii="Times New Roman" w:hAnsi="Times New Roman" w:cs="Times New Roman"/>
        </w:rPr>
        <w:t>d</w:t>
      </w:r>
      <w:r w:rsidRPr="005E2127">
        <w:rPr>
          <w:rFonts w:ascii="Times New Roman" w:hAnsi="Times New Roman" w:cs="Times New Roman"/>
        </w:rPr>
        <w:t xml:space="preserve">igital </w:t>
      </w:r>
      <w:r w:rsidR="00903319">
        <w:rPr>
          <w:rFonts w:ascii="Times New Roman" w:hAnsi="Times New Roman" w:cs="Times New Roman"/>
        </w:rPr>
        <w:t>i</w:t>
      </w:r>
      <w:r w:rsidRPr="005E2127">
        <w:rPr>
          <w:rFonts w:ascii="Times New Roman" w:hAnsi="Times New Roman" w:cs="Times New Roman"/>
        </w:rPr>
        <w:t xml:space="preserve">nclusive </w:t>
      </w:r>
      <w:r w:rsidR="00903319">
        <w:rPr>
          <w:rFonts w:ascii="Times New Roman" w:hAnsi="Times New Roman" w:cs="Times New Roman"/>
        </w:rPr>
        <w:t>f</w:t>
      </w:r>
      <w:r w:rsidRPr="005E2127">
        <w:rPr>
          <w:rFonts w:ascii="Times New Roman" w:hAnsi="Times New Roman" w:cs="Times New Roman"/>
        </w:rPr>
        <w:t xml:space="preserve">inance </w:t>
      </w:r>
      <w:r w:rsidR="00903319">
        <w:rPr>
          <w:rFonts w:ascii="Times New Roman" w:hAnsi="Times New Roman" w:cs="Times New Roman"/>
        </w:rPr>
        <w:t>p</w:t>
      </w:r>
      <w:r w:rsidRPr="005E2127">
        <w:rPr>
          <w:rFonts w:ascii="Times New Roman" w:hAnsi="Times New Roman" w:cs="Times New Roman"/>
        </w:rPr>
        <w:t>latforms into the Avatar Corridor, ensure that entrepreneurs in the local area have the tools and resources to participate in and succeed economically (Gao et al.</w:t>
      </w:r>
      <w:r w:rsidR="00903319">
        <w:rPr>
          <w:rFonts w:ascii="Times New Roman" w:hAnsi="Times New Roman" w:cs="Times New Roman"/>
        </w:rPr>
        <w:t>,</w:t>
      </w:r>
      <w:r w:rsidRPr="005E2127">
        <w:rPr>
          <w:rFonts w:ascii="Times New Roman" w:hAnsi="Times New Roman" w:cs="Times New Roman"/>
        </w:rPr>
        <w:t xml:space="preserve"> 2025)</w:t>
      </w:r>
      <w:r w:rsidR="00903319">
        <w:rPr>
          <w:rFonts w:ascii="Times New Roman" w:hAnsi="Times New Roman" w:cs="Times New Roman"/>
        </w:rPr>
        <w:t>.</w:t>
      </w:r>
      <w:r w:rsidRPr="005E2127">
        <w:rPr>
          <w:rFonts w:ascii="Times New Roman" w:hAnsi="Times New Roman" w:cs="Times New Roman"/>
        </w:rPr>
        <w:t xml:space="preserve"> </w:t>
      </w:r>
    </w:p>
    <w:p w14:paraId="6373FF91" w14:textId="77777777" w:rsidR="00903319" w:rsidRDefault="005E2127" w:rsidP="005E2127">
      <w:pPr>
        <w:spacing w:line="480" w:lineRule="auto"/>
        <w:rPr>
          <w:rFonts w:ascii="Times New Roman" w:hAnsi="Times New Roman" w:cs="Times New Roman"/>
        </w:rPr>
      </w:pPr>
      <w:r w:rsidRPr="005E2127">
        <w:rPr>
          <w:rFonts w:ascii="Times New Roman" w:hAnsi="Times New Roman" w:cs="Times New Roman"/>
        </w:rPr>
        <w:t xml:space="preserve">Ecological Restoration is an integral part of what the stakeholders expressed during the ISA </w:t>
      </w:r>
      <w:r w:rsidR="00903319">
        <w:rPr>
          <w:rFonts w:ascii="Times New Roman" w:hAnsi="Times New Roman" w:cs="Times New Roman"/>
        </w:rPr>
        <w:t>c</w:t>
      </w:r>
      <w:r w:rsidRPr="005E2127">
        <w:rPr>
          <w:rFonts w:ascii="Times New Roman" w:hAnsi="Times New Roman" w:cs="Times New Roman"/>
        </w:rPr>
        <w:t xml:space="preserve">onsultation </w:t>
      </w:r>
      <w:r w:rsidR="00903319">
        <w:rPr>
          <w:rFonts w:ascii="Times New Roman" w:hAnsi="Times New Roman" w:cs="Times New Roman"/>
        </w:rPr>
        <w:t>p</w:t>
      </w:r>
      <w:r w:rsidRPr="005E2127">
        <w:rPr>
          <w:rFonts w:ascii="Times New Roman" w:hAnsi="Times New Roman" w:cs="Times New Roman"/>
        </w:rPr>
        <w:t xml:space="preserve">rocess, which highlighted the need for </w:t>
      </w:r>
      <w:r w:rsidR="00903319">
        <w:rPr>
          <w:rFonts w:ascii="Times New Roman" w:hAnsi="Times New Roman" w:cs="Times New Roman"/>
        </w:rPr>
        <w:t>g</w:t>
      </w:r>
      <w:r w:rsidRPr="005E2127">
        <w:rPr>
          <w:rFonts w:ascii="Times New Roman" w:hAnsi="Times New Roman" w:cs="Times New Roman"/>
        </w:rPr>
        <w:t xml:space="preserve">reen </w:t>
      </w:r>
      <w:r w:rsidR="00903319">
        <w:rPr>
          <w:rFonts w:ascii="Times New Roman" w:hAnsi="Times New Roman" w:cs="Times New Roman"/>
        </w:rPr>
        <w:t>i</w:t>
      </w:r>
      <w:r w:rsidRPr="005E2127">
        <w:rPr>
          <w:rFonts w:ascii="Times New Roman" w:hAnsi="Times New Roman" w:cs="Times New Roman"/>
        </w:rPr>
        <w:t xml:space="preserve">nfrastructure, </w:t>
      </w:r>
      <w:r w:rsidR="00903319">
        <w:rPr>
          <w:rFonts w:ascii="Times New Roman" w:hAnsi="Times New Roman" w:cs="Times New Roman"/>
        </w:rPr>
        <w:t>c</w:t>
      </w:r>
      <w:r w:rsidRPr="005E2127">
        <w:rPr>
          <w:rFonts w:ascii="Times New Roman" w:hAnsi="Times New Roman" w:cs="Times New Roman"/>
        </w:rPr>
        <w:t xml:space="preserve">limate </w:t>
      </w:r>
      <w:r w:rsidR="00903319">
        <w:rPr>
          <w:rFonts w:ascii="Times New Roman" w:hAnsi="Times New Roman" w:cs="Times New Roman"/>
        </w:rPr>
        <w:t>a</w:t>
      </w:r>
      <w:r w:rsidRPr="005E2127">
        <w:rPr>
          <w:rFonts w:ascii="Times New Roman" w:hAnsi="Times New Roman" w:cs="Times New Roman"/>
        </w:rPr>
        <w:t xml:space="preserve">daptation and increased </w:t>
      </w:r>
      <w:r w:rsidR="00903319">
        <w:rPr>
          <w:rFonts w:ascii="Times New Roman" w:hAnsi="Times New Roman" w:cs="Times New Roman"/>
        </w:rPr>
        <w:t>p</w:t>
      </w:r>
      <w:r w:rsidRPr="005E2127">
        <w:rPr>
          <w:rFonts w:ascii="Times New Roman" w:hAnsi="Times New Roman" w:cs="Times New Roman"/>
        </w:rPr>
        <w:t xml:space="preserve">ublic </w:t>
      </w:r>
      <w:r w:rsidR="00903319">
        <w:rPr>
          <w:rFonts w:ascii="Times New Roman" w:hAnsi="Times New Roman" w:cs="Times New Roman"/>
        </w:rPr>
        <w:t>h</w:t>
      </w:r>
      <w:r w:rsidRPr="005E2127">
        <w:rPr>
          <w:rFonts w:ascii="Times New Roman" w:hAnsi="Times New Roman" w:cs="Times New Roman"/>
        </w:rPr>
        <w:t>ealth.</w:t>
      </w:r>
    </w:p>
    <w:p w14:paraId="01AA16FC" w14:textId="77777777" w:rsidR="00903319" w:rsidRDefault="005E2127" w:rsidP="005E2127">
      <w:pPr>
        <w:spacing w:line="480" w:lineRule="auto"/>
        <w:rPr>
          <w:rFonts w:ascii="Times New Roman" w:hAnsi="Times New Roman" w:cs="Times New Roman"/>
        </w:rPr>
      </w:pPr>
      <w:r w:rsidRPr="005E2127">
        <w:rPr>
          <w:rFonts w:ascii="Times New Roman" w:hAnsi="Times New Roman" w:cs="Times New Roman"/>
        </w:rPr>
        <w:lastRenderedPageBreak/>
        <w:t>Currently, Swansea could establish itself as a leader in “complexity-aware” sustainable urban development by integrating elements of digital, ecological and communities within one community regeneration initiative.</w:t>
      </w:r>
    </w:p>
    <w:p w14:paraId="27C91321" w14:textId="6905FB3B" w:rsidR="005E2127" w:rsidRPr="00777DDA" w:rsidRDefault="005E2127" w:rsidP="00777DDA">
      <w:pPr>
        <w:pStyle w:val="ListParagraph"/>
        <w:numPr>
          <w:ilvl w:val="0"/>
          <w:numId w:val="3"/>
        </w:numPr>
        <w:spacing w:line="480" w:lineRule="auto"/>
        <w:rPr>
          <w:rFonts w:ascii="Times New Roman" w:hAnsi="Times New Roman" w:cs="Times New Roman"/>
          <w:b/>
          <w:bCs/>
          <w:color w:val="E97132" w:themeColor="accent2"/>
          <w:u w:val="wave"/>
        </w:rPr>
      </w:pPr>
      <w:r w:rsidRPr="00777DDA">
        <w:rPr>
          <w:rFonts w:ascii="Times New Roman" w:hAnsi="Times New Roman" w:cs="Times New Roman"/>
          <w:b/>
          <w:bCs/>
          <w:color w:val="E97132" w:themeColor="accent2"/>
          <w:u w:val="wave"/>
        </w:rPr>
        <w:t>Culture-Led Adaptive Reuse of Industrial Heritage Sites</w:t>
      </w:r>
    </w:p>
    <w:p w14:paraId="516A82CA" w14:textId="77777777" w:rsidR="00903319" w:rsidRDefault="005E2127" w:rsidP="005E2127">
      <w:pPr>
        <w:spacing w:line="480" w:lineRule="auto"/>
        <w:rPr>
          <w:rFonts w:ascii="Times New Roman" w:hAnsi="Times New Roman" w:cs="Times New Roman"/>
        </w:rPr>
      </w:pPr>
      <w:r w:rsidRPr="005E2127">
        <w:rPr>
          <w:rFonts w:ascii="Times New Roman" w:hAnsi="Times New Roman" w:cs="Times New Roman"/>
        </w:rPr>
        <w:t>Swansea's industrial heritage comprises of copperworks, canals, and dockland structures that are mostly vacant and neglected at this time. They would be excellent candidates for the cultural-led regeneration of an area that creates and expands economic diversification, provides a creative space for communities, and enhances community identity. Research by Popa et al in 2025 demonstrated the effect of cultural revitalisation on declining urban environments, creating creative districts which generate social and economic value.</w:t>
      </w:r>
    </w:p>
    <w:p w14:paraId="30774272" w14:textId="77777777" w:rsidR="00903319" w:rsidRDefault="005E2127" w:rsidP="005E2127">
      <w:pPr>
        <w:spacing w:line="480" w:lineRule="auto"/>
        <w:rPr>
          <w:rFonts w:ascii="Times New Roman" w:hAnsi="Times New Roman" w:cs="Times New Roman"/>
        </w:rPr>
      </w:pPr>
      <w:r w:rsidRPr="005E2127">
        <w:rPr>
          <w:rFonts w:ascii="Times New Roman" w:hAnsi="Times New Roman" w:cs="Times New Roman"/>
        </w:rPr>
        <w:t xml:space="preserve">The adaptive reuse of industrial buildings is a sustainable environmental practice that minimises demolition waste and saves embodied carbon. Successfully regenerating industrial buildings will require architectural quality. According to Ricciardelli </w:t>
      </w:r>
      <w:r w:rsidR="00903319" w:rsidRPr="005E2127">
        <w:rPr>
          <w:rFonts w:ascii="Times New Roman" w:hAnsi="Times New Roman" w:cs="Times New Roman"/>
        </w:rPr>
        <w:t>et al. (</w:t>
      </w:r>
      <w:r w:rsidRPr="005E2127">
        <w:rPr>
          <w:rFonts w:ascii="Times New Roman" w:hAnsi="Times New Roman" w:cs="Times New Roman"/>
        </w:rPr>
        <w:t>2025), the aesthetic quality of organisations will contribute to public perception of regeneration projects, and the efficiency of the support for social innovation positioned in these redeveloped areas.</w:t>
      </w:r>
    </w:p>
    <w:p w14:paraId="6757DC85" w14:textId="77777777" w:rsidR="00903319" w:rsidRDefault="005E2127" w:rsidP="005E2127">
      <w:pPr>
        <w:spacing w:line="480" w:lineRule="auto"/>
        <w:rPr>
          <w:rFonts w:ascii="Times New Roman" w:hAnsi="Times New Roman" w:cs="Times New Roman"/>
        </w:rPr>
      </w:pPr>
      <w:r w:rsidRPr="005E2127">
        <w:rPr>
          <w:rFonts w:ascii="Times New Roman" w:hAnsi="Times New Roman" w:cs="Times New Roman"/>
        </w:rPr>
        <w:t>The reclamation of industrial sites and the establishment of creative districts, community spaces, and mixed-use cultural spaces would satisfy the local people's needs while allowing for the reinforcement of Swansea's historical identity.</w:t>
      </w:r>
    </w:p>
    <w:p w14:paraId="4E607460" w14:textId="77777777" w:rsidR="00903319" w:rsidRDefault="005E2127" w:rsidP="005E2127">
      <w:pPr>
        <w:spacing w:line="480" w:lineRule="auto"/>
        <w:rPr>
          <w:rFonts w:ascii="Times New Roman" w:hAnsi="Times New Roman" w:cs="Times New Roman"/>
        </w:rPr>
      </w:pPr>
      <w:r w:rsidRPr="005E2127">
        <w:rPr>
          <w:rFonts w:ascii="Times New Roman" w:hAnsi="Times New Roman" w:cs="Times New Roman"/>
        </w:rPr>
        <w:t xml:space="preserve">New tools in the digital world provide Swansea with a unique opportunity to improve both the quality and efficacy of the planning system for future regeneration in its Growth Areas. Wu and Leng (2025) state that integrating City Information Modelling (CIM) and Building Information Modelling (BIM) produces a synergistic platform for visualising and managing urban systems effectively, engaging community input and testing environmental and sustainable approaches to development throughout the city. The complexity of Swansea's </w:t>
      </w:r>
      <w:r w:rsidRPr="005E2127">
        <w:rPr>
          <w:rFonts w:ascii="Times New Roman" w:hAnsi="Times New Roman" w:cs="Times New Roman"/>
        </w:rPr>
        <w:lastRenderedPageBreak/>
        <w:t>environmental factors (ecological constraints, heritage assets, and socioeconomic disparities) makes it an ideal candidate for CIM/BIM-supported regeneration.</w:t>
      </w:r>
    </w:p>
    <w:p w14:paraId="5A5D4EE6" w14:textId="77777777" w:rsidR="00903319" w:rsidRDefault="005E2127" w:rsidP="005E2127">
      <w:pPr>
        <w:spacing w:line="480" w:lineRule="auto"/>
        <w:rPr>
          <w:rFonts w:ascii="Times New Roman" w:hAnsi="Times New Roman" w:cs="Times New Roman"/>
        </w:rPr>
      </w:pPr>
      <w:r w:rsidRPr="005E2127">
        <w:rPr>
          <w:rFonts w:ascii="Times New Roman" w:hAnsi="Times New Roman" w:cs="Times New Roman"/>
        </w:rPr>
        <w:t>With CIM and BIM, planners can model climate change impacts, evaluate carrying capacity in various neighbourhoods, and visually evaluate alternative growth scenarios. The environmental threshold data compiled in the ISA and the limitations as prescribed by the HRA Determination Statements can be entered into the digital planning tools to enable transparency and accountability</w:t>
      </w:r>
      <w:r w:rsidR="00903319">
        <w:rPr>
          <w:rFonts w:ascii="Times New Roman" w:hAnsi="Times New Roman" w:cs="Times New Roman"/>
        </w:rPr>
        <w:t xml:space="preserve"> (</w:t>
      </w:r>
      <w:r w:rsidR="00903319" w:rsidRPr="00903319">
        <w:rPr>
          <w:rFonts w:ascii="Times New Roman" w:hAnsi="Times New Roman" w:cs="Times New Roman"/>
        </w:rPr>
        <w:t>Geva &amp; Rosen, 2021</w:t>
      </w:r>
      <w:r w:rsidR="00903319">
        <w:rPr>
          <w:rFonts w:ascii="Times New Roman" w:hAnsi="Times New Roman" w:cs="Times New Roman"/>
        </w:rPr>
        <w:t>).</w:t>
      </w:r>
    </w:p>
    <w:p w14:paraId="29791492" w14:textId="69576F7F" w:rsidR="005E2127" w:rsidRPr="005E2127" w:rsidRDefault="005E2127" w:rsidP="005E2127">
      <w:pPr>
        <w:spacing w:line="480" w:lineRule="auto"/>
        <w:rPr>
          <w:rFonts w:ascii="Times New Roman" w:hAnsi="Times New Roman" w:cs="Times New Roman"/>
        </w:rPr>
      </w:pPr>
      <w:r w:rsidRPr="005E2127">
        <w:rPr>
          <w:rFonts w:ascii="Times New Roman" w:hAnsi="Times New Roman" w:cs="Times New Roman"/>
        </w:rPr>
        <w:t>Another benefit of CIM/BIM technology is that community engagement is now much more transparent. Residents can see how their community will look and feel as it develops, understand design ideas and provide meaningful input on the compliance of regeneration activities with local aspirations and culture. There is a growing consensus in the literature on sustainable urban development that this engagement is essential to informed participatory planning, complexity-aware planning (</w:t>
      </w:r>
      <w:proofErr w:type="spellStart"/>
      <w:r w:rsidRPr="005E2127">
        <w:rPr>
          <w:rFonts w:ascii="Times New Roman" w:hAnsi="Times New Roman" w:cs="Times New Roman"/>
        </w:rPr>
        <w:t>Abujder</w:t>
      </w:r>
      <w:proofErr w:type="spellEnd"/>
      <w:r w:rsidRPr="005E2127">
        <w:rPr>
          <w:rFonts w:ascii="Times New Roman" w:hAnsi="Times New Roman" w:cs="Times New Roman"/>
        </w:rPr>
        <w:t xml:space="preserve"> Ochoa et al., 2025; Kaur &amp; </w:t>
      </w:r>
      <w:proofErr w:type="spellStart"/>
      <w:r w:rsidRPr="005E2127">
        <w:rPr>
          <w:rFonts w:ascii="Times New Roman" w:hAnsi="Times New Roman" w:cs="Times New Roman"/>
        </w:rPr>
        <w:t>Nawani</w:t>
      </w:r>
      <w:proofErr w:type="spellEnd"/>
      <w:r w:rsidRPr="005E2127">
        <w:rPr>
          <w:rFonts w:ascii="Times New Roman" w:hAnsi="Times New Roman" w:cs="Times New Roman"/>
        </w:rPr>
        <w:t>, 2025).</w:t>
      </w:r>
    </w:p>
    <w:p w14:paraId="2516DB84" w14:textId="77777777" w:rsidR="005E2127" w:rsidRPr="005E2127" w:rsidRDefault="005E2127" w:rsidP="005E2127">
      <w:pPr>
        <w:spacing w:line="480" w:lineRule="auto"/>
        <w:rPr>
          <w:rFonts w:ascii="Times New Roman" w:hAnsi="Times New Roman" w:cs="Times New Roman"/>
        </w:rPr>
      </w:pPr>
    </w:p>
    <w:p w14:paraId="19A9AD9F" w14:textId="77777777" w:rsidR="00650BFD" w:rsidRDefault="00650BFD" w:rsidP="005E2127">
      <w:pPr>
        <w:spacing w:line="480" w:lineRule="auto"/>
        <w:rPr>
          <w:rFonts w:ascii="Times New Roman" w:hAnsi="Times New Roman" w:cs="Times New Roman"/>
        </w:rPr>
      </w:pPr>
    </w:p>
    <w:p w14:paraId="63A9DB0F" w14:textId="77777777" w:rsidR="00650BFD" w:rsidRDefault="00650BFD" w:rsidP="005E2127">
      <w:pPr>
        <w:spacing w:line="480" w:lineRule="auto"/>
        <w:rPr>
          <w:rFonts w:ascii="Times New Roman" w:hAnsi="Times New Roman" w:cs="Times New Roman"/>
        </w:rPr>
      </w:pPr>
    </w:p>
    <w:p w14:paraId="3DA89EC4" w14:textId="77777777" w:rsidR="00650BFD" w:rsidRDefault="00650BFD" w:rsidP="005E2127">
      <w:pPr>
        <w:spacing w:line="480" w:lineRule="auto"/>
        <w:rPr>
          <w:rFonts w:ascii="Times New Roman" w:hAnsi="Times New Roman" w:cs="Times New Roman"/>
        </w:rPr>
      </w:pPr>
    </w:p>
    <w:p w14:paraId="03C5F31D" w14:textId="77777777" w:rsidR="00650BFD" w:rsidRDefault="00650BFD" w:rsidP="005E2127">
      <w:pPr>
        <w:spacing w:line="480" w:lineRule="auto"/>
        <w:rPr>
          <w:rFonts w:ascii="Times New Roman" w:hAnsi="Times New Roman" w:cs="Times New Roman"/>
        </w:rPr>
      </w:pPr>
    </w:p>
    <w:p w14:paraId="6185B87E" w14:textId="77777777" w:rsidR="00650BFD" w:rsidRDefault="00650BFD" w:rsidP="005E2127">
      <w:pPr>
        <w:spacing w:line="480" w:lineRule="auto"/>
        <w:rPr>
          <w:rFonts w:ascii="Times New Roman" w:hAnsi="Times New Roman" w:cs="Times New Roman"/>
        </w:rPr>
      </w:pPr>
    </w:p>
    <w:p w14:paraId="3E28E0DF" w14:textId="77777777" w:rsidR="00650BFD" w:rsidRDefault="00650BFD" w:rsidP="005E2127">
      <w:pPr>
        <w:spacing w:line="480" w:lineRule="auto"/>
        <w:rPr>
          <w:rFonts w:ascii="Times New Roman" w:hAnsi="Times New Roman" w:cs="Times New Roman"/>
        </w:rPr>
      </w:pPr>
    </w:p>
    <w:p w14:paraId="7449F3D7" w14:textId="77777777" w:rsidR="00650BFD" w:rsidRDefault="00650BFD" w:rsidP="005E2127">
      <w:pPr>
        <w:spacing w:line="480" w:lineRule="auto"/>
        <w:rPr>
          <w:rFonts w:ascii="Times New Roman" w:hAnsi="Times New Roman" w:cs="Times New Roman"/>
        </w:rPr>
      </w:pPr>
    </w:p>
    <w:p w14:paraId="61308F58" w14:textId="77777777" w:rsidR="00650BFD" w:rsidRDefault="00650BFD" w:rsidP="005E2127">
      <w:pPr>
        <w:spacing w:line="480" w:lineRule="auto"/>
        <w:rPr>
          <w:rFonts w:ascii="Times New Roman" w:hAnsi="Times New Roman" w:cs="Times New Roman"/>
        </w:rPr>
      </w:pPr>
    </w:p>
    <w:p w14:paraId="78F00C73" w14:textId="1EF800EE" w:rsidR="005E2127" w:rsidRPr="00650BFD" w:rsidRDefault="005E2127" w:rsidP="005E2127">
      <w:pPr>
        <w:spacing w:line="480" w:lineRule="auto"/>
        <w:rPr>
          <w:rFonts w:ascii="Times New Roman" w:hAnsi="Times New Roman" w:cs="Times New Roman"/>
          <w:b/>
          <w:bCs/>
          <w:color w:val="E97132" w:themeColor="accent2"/>
          <w:u w:val="wave"/>
        </w:rPr>
      </w:pPr>
      <w:r w:rsidRPr="00650BFD">
        <w:rPr>
          <w:rFonts w:ascii="Times New Roman" w:hAnsi="Times New Roman" w:cs="Times New Roman"/>
          <w:b/>
          <w:bCs/>
          <w:color w:val="E97132" w:themeColor="accent2"/>
          <w:u w:val="wave"/>
        </w:rPr>
        <w:lastRenderedPageBreak/>
        <w:t>Conclusion</w:t>
      </w:r>
    </w:p>
    <w:p w14:paraId="76891ECB" w14:textId="77777777" w:rsidR="00650BFD" w:rsidRDefault="005E2127" w:rsidP="005E2127">
      <w:pPr>
        <w:spacing w:line="480" w:lineRule="auto"/>
        <w:rPr>
          <w:rFonts w:ascii="Times New Roman" w:hAnsi="Times New Roman" w:cs="Times New Roman"/>
        </w:rPr>
      </w:pPr>
      <w:r w:rsidRPr="005E2127">
        <w:rPr>
          <w:rFonts w:ascii="Times New Roman" w:hAnsi="Times New Roman" w:cs="Times New Roman"/>
        </w:rPr>
        <w:t>The future of Swansea's regeneration will be influenced by the legacies of deindustrialisation and by contemporary principles of sustainability, smart transfer, and cultural history renewal. The appraisal indicates that there are substantial natural and cultural assets within the region of Swansea, but also many structural issues and environmental limitations built into the city as reflected in its planning documentation. The regeneration opportunities noted here (digital-green corridors, culture-led adaptive reuse of historic buildings and CIM/BIM-supported planning) represent the intersection between sustainable urban development research, complexity theory and the “stakeholder” priorities.</w:t>
      </w:r>
    </w:p>
    <w:p w14:paraId="13802AAA" w14:textId="16C09E64" w:rsidR="005E2127" w:rsidRDefault="005E2127" w:rsidP="005E2127">
      <w:pPr>
        <w:spacing w:line="480" w:lineRule="auto"/>
        <w:rPr>
          <w:rFonts w:ascii="Times New Roman" w:hAnsi="Times New Roman" w:cs="Times New Roman"/>
        </w:rPr>
      </w:pPr>
      <w:r w:rsidRPr="005E2127">
        <w:rPr>
          <w:rFonts w:ascii="Times New Roman" w:hAnsi="Times New Roman" w:cs="Times New Roman"/>
        </w:rPr>
        <w:t>In summary, Swansea should become the premier example of a city that has created an integrative and adaptive urban regeneration process by synergistically linking sustainable urban development with communities.</w:t>
      </w:r>
    </w:p>
    <w:p w14:paraId="4D3D85A3" w14:textId="77777777" w:rsidR="00013413" w:rsidRDefault="00013413" w:rsidP="005E2127">
      <w:pPr>
        <w:spacing w:line="480" w:lineRule="auto"/>
        <w:rPr>
          <w:rFonts w:ascii="Times New Roman" w:hAnsi="Times New Roman" w:cs="Times New Roman"/>
        </w:rPr>
      </w:pPr>
    </w:p>
    <w:p w14:paraId="4AF88A63" w14:textId="77777777" w:rsidR="00013413" w:rsidRDefault="00013413" w:rsidP="005E2127">
      <w:pPr>
        <w:spacing w:line="480" w:lineRule="auto"/>
        <w:rPr>
          <w:rFonts w:ascii="Times New Roman" w:hAnsi="Times New Roman" w:cs="Times New Roman"/>
        </w:rPr>
      </w:pPr>
    </w:p>
    <w:p w14:paraId="631AA7E9" w14:textId="77777777" w:rsidR="00013413" w:rsidRDefault="00013413" w:rsidP="005E2127">
      <w:pPr>
        <w:spacing w:line="480" w:lineRule="auto"/>
        <w:rPr>
          <w:rFonts w:ascii="Times New Roman" w:hAnsi="Times New Roman" w:cs="Times New Roman"/>
        </w:rPr>
      </w:pPr>
    </w:p>
    <w:p w14:paraId="2911967D" w14:textId="77777777" w:rsidR="00013413" w:rsidRDefault="00013413" w:rsidP="005E2127">
      <w:pPr>
        <w:spacing w:line="480" w:lineRule="auto"/>
        <w:rPr>
          <w:rFonts w:ascii="Times New Roman" w:hAnsi="Times New Roman" w:cs="Times New Roman"/>
        </w:rPr>
      </w:pPr>
    </w:p>
    <w:p w14:paraId="46381E17" w14:textId="77777777" w:rsidR="00013413" w:rsidRDefault="00013413" w:rsidP="005E2127">
      <w:pPr>
        <w:spacing w:line="480" w:lineRule="auto"/>
        <w:rPr>
          <w:rFonts w:ascii="Times New Roman" w:hAnsi="Times New Roman" w:cs="Times New Roman"/>
        </w:rPr>
      </w:pPr>
    </w:p>
    <w:p w14:paraId="4F6EC376" w14:textId="77777777" w:rsidR="00013413" w:rsidRDefault="00013413" w:rsidP="005E2127">
      <w:pPr>
        <w:spacing w:line="480" w:lineRule="auto"/>
        <w:rPr>
          <w:rFonts w:ascii="Times New Roman" w:hAnsi="Times New Roman" w:cs="Times New Roman"/>
        </w:rPr>
      </w:pPr>
    </w:p>
    <w:p w14:paraId="20B35987" w14:textId="77777777" w:rsidR="00013413" w:rsidRDefault="00013413" w:rsidP="005E2127">
      <w:pPr>
        <w:spacing w:line="480" w:lineRule="auto"/>
        <w:rPr>
          <w:rFonts w:ascii="Times New Roman" w:hAnsi="Times New Roman" w:cs="Times New Roman"/>
        </w:rPr>
      </w:pPr>
    </w:p>
    <w:p w14:paraId="080E6243" w14:textId="77777777" w:rsidR="00013413" w:rsidRDefault="00013413" w:rsidP="005E2127">
      <w:pPr>
        <w:spacing w:line="480" w:lineRule="auto"/>
        <w:rPr>
          <w:rFonts w:ascii="Times New Roman" w:hAnsi="Times New Roman" w:cs="Times New Roman"/>
        </w:rPr>
      </w:pPr>
    </w:p>
    <w:p w14:paraId="184364A6" w14:textId="77777777" w:rsidR="00650BFD" w:rsidRDefault="00650BFD" w:rsidP="005E2127">
      <w:pPr>
        <w:spacing w:line="480" w:lineRule="auto"/>
        <w:rPr>
          <w:rFonts w:ascii="Times New Roman" w:hAnsi="Times New Roman" w:cs="Times New Roman"/>
        </w:rPr>
      </w:pPr>
    </w:p>
    <w:p w14:paraId="76B6C5EF" w14:textId="77777777" w:rsidR="00650BFD" w:rsidRDefault="00650BFD" w:rsidP="005E2127">
      <w:pPr>
        <w:spacing w:line="480" w:lineRule="auto"/>
        <w:rPr>
          <w:rFonts w:ascii="Times New Roman" w:hAnsi="Times New Roman" w:cs="Times New Roman"/>
        </w:rPr>
      </w:pPr>
    </w:p>
    <w:p w14:paraId="63D6AAF0" w14:textId="6C78F0B2" w:rsidR="00013413" w:rsidRPr="00650BFD" w:rsidRDefault="00013413" w:rsidP="005E2127">
      <w:pPr>
        <w:spacing w:line="480" w:lineRule="auto"/>
        <w:rPr>
          <w:rFonts w:ascii="Times New Roman" w:hAnsi="Times New Roman" w:cs="Times New Roman"/>
          <w:b/>
          <w:bCs/>
          <w:color w:val="E97132" w:themeColor="accent2"/>
          <w:u w:val="wave"/>
        </w:rPr>
      </w:pPr>
      <w:r w:rsidRPr="00650BFD">
        <w:rPr>
          <w:rFonts w:ascii="Times New Roman" w:hAnsi="Times New Roman" w:cs="Times New Roman"/>
          <w:b/>
          <w:bCs/>
          <w:color w:val="E97132" w:themeColor="accent2"/>
          <w:u w:val="wave"/>
        </w:rPr>
        <w:lastRenderedPageBreak/>
        <w:t xml:space="preserve">References </w:t>
      </w:r>
    </w:p>
    <w:p w14:paraId="20BFEA6E" w14:textId="77777777" w:rsidR="00013413" w:rsidRPr="00013413" w:rsidRDefault="00013413" w:rsidP="00013413">
      <w:pPr>
        <w:spacing w:line="480" w:lineRule="auto"/>
        <w:rPr>
          <w:rFonts w:ascii="Times New Roman" w:hAnsi="Times New Roman" w:cs="Times New Roman"/>
        </w:rPr>
      </w:pPr>
      <w:proofErr w:type="spellStart"/>
      <w:r w:rsidRPr="00013413">
        <w:rPr>
          <w:rFonts w:ascii="Times New Roman" w:hAnsi="Times New Roman" w:cs="Times New Roman"/>
        </w:rPr>
        <w:t>Abujder</w:t>
      </w:r>
      <w:proofErr w:type="spellEnd"/>
      <w:r w:rsidRPr="00013413">
        <w:rPr>
          <w:rFonts w:ascii="Times New Roman" w:hAnsi="Times New Roman" w:cs="Times New Roman"/>
        </w:rPr>
        <w:t xml:space="preserve"> Ochoa, W. A., </w:t>
      </w:r>
      <w:proofErr w:type="spellStart"/>
      <w:r w:rsidRPr="00013413">
        <w:rPr>
          <w:rFonts w:ascii="Times New Roman" w:hAnsi="Times New Roman" w:cs="Times New Roman"/>
        </w:rPr>
        <w:t>Iarozinski</w:t>
      </w:r>
      <w:proofErr w:type="spellEnd"/>
      <w:r w:rsidRPr="00013413">
        <w:rPr>
          <w:rFonts w:ascii="Times New Roman" w:hAnsi="Times New Roman" w:cs="Times New Roman"/>
        </w:rPr>
        <w:t xml:space="preserve"> Neto, A., Vitorio Junior, P. C., Calabokis, O. P., &amp; Ballesteros-Ballesteros, V. (2025). The theory of complexity and sustainable urban development: A systematic literature review. </w:t>
      </w:r>
      <w:r w:rsidRPr="00650BFD">
        <w:rPr>
          <w:rFonts w:ascii="Times New Roman" w:hAnsi="Times New Roman" w:cs="Times New Roman"/>
          <w:i/>
          <w:iCs/>
        </w:rPr>
        <w:t>Sustainability, 17</w:t>
      </w:r>
      <w:r w:rsidRPr="00013413">
        <w:rPr>
          <w:rFonts w:ascii="Times New Roman" w:hAnsi="Times New Roman" w:cs="Times New Roman"/>
        </w:rPr>
        <w:t>(1), 3.</w:t>
      </w:r>
    </w:p>
    <w:p w14:paraId="47A675E6" w14:textId="5CD469F8" w:rsidR="00013413" w:rsidRPr="00013413" w:rsidRDefault="00013413" w:rsidP="00013413">
      <w:pPr>
        <w:spacing w:line="480" w:lineRule="auto"/>
        <w:rPr>
          <w:rFonts w:ascii="Times New Roman" w:hAnsi="Times New Roman" w:cs="Times New Roman"/>
        </w:rPr>
      </w:pPr>
      <w:r w:rsidRPr="00013413">
        <w:rPr>
          <w:rFonts w:ascii="Times New Roman" w:hAnsi="Times New Roman" w:cs="Times New Roman"/>
        </w:rPr>
        <w:t xml:space="preserve">Angelidou, M., Psaltoglou, A., Komninos, N., </w:t>
      </w:r>
      <w:proofErr w:type="spellStart"/>
      <w:r w:rsidRPr="00013413">
        <w:rPr>
          <w:rFonts w:ascii="Times New Roman" w:hAnsi="Times New Roman" w:cs="Times New Roman"/>
        </w:rPr>
        <w:t>Kakderi</w:t>
      </w:r>
      <w:proofErr w:type="spellEnd"/>
      <w:r w:rsidRPr="00013413">
        <w:rPr>
          <w:rFonts w:ascii="Times New Roman" w:hAnsi="Times New Roman" w:cs="Times New Roman"/>
        </w:rPr>
        <w:t xml:space="preserve">, C., </w:t>
      </w:r>
      <w:proofErr w:type="spellStart"/>
      <w:r w:rsidRPr="00013413">
        <w:rPr>
          <w:rFonts w:ascii="Times New Roman" w:hAnsi="Times New Roman" w:cs="Times New Roman"/>
        </w:rPr>
        <w:t>Tsarchopoulos</w:t>
      </w:r>
      <w:proofErr w:type="spellEnd"/>
      <w:r w:rsidRPr="00013413">
        <w:rPr>
          <w:rFonts w:ascii="Times New Roman" w:hAnsi="Times New Roman" w:cs="Times New Roman"/>
        </w:rPr>
        <w:t xml:space="preserve">, P., &amp; </w:t>
      </w:r>
      <w:proofErr w:type="spellStart"/>
      <w:r w:rsidRPr="00013413">
        <w:rPr>
          <w:rFonts w:ascii="Times New Roman" w:hAnsi="Times New Roman" w:cs="Times New Roman"/>
        </w:rPr>
        <w:t>Panori</w:t>
      </w:r>
      <w:proofErr w:type="spellEnd"/>
      <w:r w:rsidRPr="00013413">
        <w:rPr>
          <w:rFonts w:ascii="Times New Roman" w:hAnsi="Times New Roman" w:cs="Times New Roman"/>
        </w:rPr>
        <w:t>, A. (2018). Enhancing sustainable urban development through smart city applications</w:t>
      </w:r>
      <w:r w:rsidRPr="00650BFD">
        <w:rPr>
          <w:rFonts w:ascii="Times New Roman" w:hAnsi="Times New Roman" w:cs="Times New Roman"/>
          <w:i/>
          <w:iCs/>
        </w:rPr>
        <w:t>. Journal of Science and Technology Policy Management, 9</w:t>
      </w:r>
      <w:r w:rsidRPr="00013413">
        <w:rPr>
          <w:rFonts w:ascii="Times New Roman" w:hAnsi="Times New Roman" w:cs="Times New Roman"/>
        </w:rPr>
        <w:t>(2), 146–169.</w:t>
      </w:r>
    </w:p>
    <w:p w14:paraId="7533DE07" w14:textId="77777777" w:rsidR="00013413" w:rsidRPr="00013413" w:rsidRDefault="00013413" w:rsidP="00013413">
      <w:pPr>
        <w:spacing w:line="480" w:lineRule="auto"/>
        <w:rPr>
          <w:rFonts w:ascii="Times New Roman" w:hAnsi="Times New Roman" w:cs="Times New Roman"/>
        </w:rPr>
      </w:pPr>
      <w:r w:rsidRPr="00013413">
        <w:rPr>
          <w:rFonts w:ascii="Times New Roman" w:hAnsi="Times New Roman" w:cs="Times New Roman"/>
        </w:rPr>
        <w:t xml:space="preserve">Gao, Z., Zhu, Y., Wei, Y., &amp; Hao, Y. (2025). </w:t>
      </w:r>
      <w:r w:rsidRPr="00650BFD">
        <w:rPr>
          <w:rFonts w:ascii="Times New Roman" w:hAnsi="Times New Roman" w:cs="Times New Roman"/>
          <w:i/>
          <w:iCs/>
        </w:rPr>
        <w:t>The green circuit: Tracing digital inclusive finance’s role in sustainable urban development.</w:t>
      </w:r>
      <w:r w:rsidRPr="00013413">
        <w:rPr>
          <w:rFonts w:ascii="Times New Roman" w:hAnsi="Times New Roman" w:cs="Times New Roman"/>
        </w:rPr>
        <w:t xml:space="preserve"> Research in International Business and Finance, 76, 102809.</w:t>
      </w:r>
    </w:p>
    <w:p w14:paraId="786E9256" w14:textId="77777777" w:rsidR="00013413" w:rsidRPr="00013413" w:rsidRDefault="00013413" w:rsidP="00013413">
      <w:pPr>
        <w:spacing w:line="480" w:lineRule="auto"/>
        <w:rPr>
          <w:rFonts w:ascii="Times New Roman" w:hAnsi="Times New Roman" w:cs="Times New Roman"/>
        </w:rPr>
      </w:pPr>
      <w:r w:rsidRPr="00013413">
        <w:rPr>
          <w:rFonts w:ascii="Times New Roman" w:hAnsi="Times New Roman" w:cs="Times New Roman"/>
        </w:rPr>
        <w:t xml:space="preserve">Kaur, H., &amp; </w:t>
      </w:r>
      <w:proofErr w:type="spellStart"/>
      <w:r w:rsidRPr="00013413">
        <w:rPr>
          <w:rFonts w:ascii="Times New Roman" w:hAnsi="Times New Roman" w:cs="Times New Roman"/>
        </w:rPr>
        <w:t>Nawani</w:t>
      </w:r>
      <w:proofErr w:type="spellEnd"/>
      <w:r w:rsidRPr="00013413">
        <w:rPr>
          <w:rFonts w:ascii="Times New Roman" w:hAnsi="Times New Roman" w:cs="Times New Roman"/>
        </w:rPr>
        <w:t xml:space="preserve">, A. (2025). Sustainable urban development in hilly regions: Concepts, evolution, and challenges. In </w:t>
      </w:r>
      <w:r w:rsidRPr="00650BFD">
        <w:rPr>
          <w:rFonts w:ascii="Times New Roman" w:hAnsi="Times New Roman" w:cs="Times New Roman"/>
          <w:i/>
          <w:iCs/>
        </w:rPr>
        <w:t xml:space="preserve">Geoinformatics for Hilly Regions: Sustainable Human Settlements (pp. 17–27). </w:t>
      </w:r>
      <w:r w:rsidRPr="00013413">
        <w:rPr>
          <w:rFonts w:ascii="Times New Roman" w:hAnsi="Times New Roman" w:cs="Times New Roman"/>
        </w:rPr>
        <w:t>Springer Nature Singapore.</w:t>
      </w:r>
    </w:p>
    <w:p w14:paraId="448FDD28" w14:textId="77777777" w:rsidR="00FC4ED3" w:rsidRDefault="00013413" w:rsidP="00013413">
      <w:pPr>
        <w:spacing w:line="480" w:lineRule="auto"/>
        <w:rPr>
          <w:rFonts w:ascii="Times New Roman" w:hAnsi="Times New Roman" w:cs="Times New Roman"/>
        </w:rPr>
      </w:pPr>
      <w:proofErr w:type="spellStart"/>
      <w:r w:rsidRPr="00013413">
        <w:rPr>
          <w:rFonts w:ascii="Times New Roman" w:hAnsi="Times New Roman" w:cs="Times New Roman"/>
        </w:rPr>
        <w:t>Mersal</w:t>
      </w:r>
      <w:proofErr w:type="spellEnd"/>
      <w:r w:rsidRPr="00013413">
        <w:rPr>
          <w:rFonts w:ascii="Times New Roman" w:hAnsi="Times New Roman" w:cs="Times New Roman"/>
        </w:rPr>
        <w:t xml:space="preserve">, A. (2016). </w:t>
      </w:r>
      <w:r w:rsidRPr="00650BFD">
        <w:rPr>
          <w:rFonts w:ascii="Times New Roman" w:hAnsi="Times New Roman" w:cs="Times New Roman"/>
          <w:i/>
          <w:iCs/>
        </w:rPr>
        <w:t>Sustainable urban futures: Environmental planning for sustainable urban development.</w:t>
      </w:r>
      <w:r w:rsidRPr="00013413">
        <w:rPr>
          <w:rFonts w:ascii="Times New Roman" w:hAnsi="Times New Roman" w:cs="Times New Roman"/>
        </w:rPr>
        <w:t xml:space="preserve"> Procedia Environmental Sciences, 34, 49–61.</w:t>
      </w:r>
    </w:p>
    <w:p w14:paraId="6E54249D" w14:textId="353B71F7" w:rsidR="00013413" w:rsidRPr="00013413" w:rsidRDefault="00013413" w:rsidP="00013413">
      <w:pPr>
        <w:spacing w:line="480" w:lineRule="auto"/>
        <w:rPr>
          <w:rFonts w:ascii="Times New Roman" w:hAnsi="Times New Roman" w:cs="Times New Roman"/>
        </w:rPr>
      </w:pPr>
      <w:r w:rsidRPr="00013413">
        <w:rPr>
          <w:rFonts w:ascii="Times New Roman" w:hAnsi="Times New Roman" w:cs="Times New Roman"/>
        </w:rPr>
        <w:t xml:space="preserve">Popa, N., Pop, A. M., &amp; Marian-Potra, A. C. (2025). </w:t>
      </w:r>
      <w:r w:rsidRPr="00FC4ED3">
        <w:rPr>
          <w:rFonts w:ascii="Times New Roman" w:hAnsi="Times New Roman" w:cs="Times New Roman"/>
          <w:i/>
          <w:iCs/>
        </w:rPr>
        <w:t>Culture-led urban regeneration in post-socialist cities: From decadent spaces towards creative initiatives.</w:t>
      </w:r>
      <w:r w:rsidRPr="00013413">
        <w:rPr>
          <w:rFonts w:ascii="Times New Roman" w:hAnsi="Times New Roman" w:cs="Times New Roman"/>
        </w:rPr>
        <w:t xml:space="preserve"> Cities, 158, 105707.</w:t>
      </w:r>
    </w:p>
    <w:p w14:paraId="7DF805AE" w14:textId="3EAD6B0C" w:rsidR="00013413" w:rsidRPr="00013413" w:rsidRDefault="00013413" w:rsidP="00013413">
      <w:pPr>
        <w:spacing w:line="480" w:lineRule="auto"/>
        <w:rPr>
          <w:rFonts w:ascii="Times New Roman" w:hAnsi="Times New Roman" w:cs="Times New Roman"/>
        </w:rPr>
      </w:pPr>
      <w:r w:rsidRPr="00013413">
        <w:rPr>
          <w:rFonts w:ascii="Times New Roman" w:hAnsi="Times New Roman" w:cs="Times New Roman"/>
        </w:rPr>
        <w:t>Ricciardelli, A., Amoruso, P., &amp; Di Liddo, F. (2025). Urban regeneration: From design to social innovation</w:t>
      </w:r>
      <w:r w:rsidR="00777DDA">
        <w:rPr>
          <w:rFonts w:ascii="Times New Roman" w:hAnsi="Times New Roman" w:cs="Times New Roman"/>
        </w:rPr>
        <w:t xml:space="preserve">. </w:t>
      </w:r>
      <w:r w:rsidRPr="00013413">
        <w:rPr>
          <w:rFonts w:ascii="Times New Roman" w:hAnsi="Times New Roman" w:cs="Times New Roman"/>
        </w:rPr>
        <w:t>Does organi</w:t>
      </w:r>
      <w:r w:rsidR="00FC4ED3">
        <w:rPr>
          <w:rFonts w:ascii="Times New Roman" w:hAnsi="Times New Roman" w:cs="Times New Roman"/>
        </w:rPr>
        <w:t>s</w:t>
      </w:r>
      <w:r w:rsidRPr="00013413">
        <w:rPr>
          <w:rFonts w:ascii="Times New Roman" w:hAnsi="Times New Roman" w:cs="Times New Roman"/>
        </w:rPr>
        <w:t xml:space="preserve">ational aesthetics matter? </w:t>
      </w:r>
      <w:r w:rsidRPr="00777DDA">
        <w:rPr>
          <w:rFonts w:ascii="Times New Roman" w:hAnsi="Times New Roman" w:cs="Times New Roman"/>
          <w:i/>
          <w:iCs/>
        </w:rPr>
        <w:t>Urban Science, 9</w:t>
      </w:r>
      <w:r w:rsidRPr="00013413">
        <w:rPr>
          <w:rFonts w:ascii="Times New Roman" w:hAnsi="Times New Roman" w:cs="Times New Roman"/>
        </w:rPr>
        <w:t>(3), 79.</w:t>
      </w:r>
    </w:p>
    <w:p w14:paraId="152240CE" w14:textId="77777777" w:rsidR="00777DDA" w:rsidRDefault="00013413" w:rsidP="00013413">
      <w:pPr>
        <w:spacing w:line="480" w:lineRule="auto"/>
        <w:rPr>
          <w:rFonts w:ascii="Times New Roman" w:hAnsi="Times New Roman" w:cs="Times New Roman"/>
          <w:i/>
          <w:iCs/>
        </w:rPr>
      </w:pPr>
      <w:r w:rsidRPr="00013413">
        <w:rPr>
          <w:rFonts w:ascii="Times New Roman" w:hAnsi="Times New Roman" w:cs="Times New Roman"/>
        </w:rPr>
        <w:t xml:space="preserve">Suresh, N. V., Karthikeyan, M., Sridhar, G., &amp; Selvakumar, A. (2025). Sustainable urban planning through AI-driven smart infrastructure: A comprehensive review. In </w:t>
      </w:r>
      <w:r w:rsidRPr="00777DDA">
        <w:rPr>
          <w:rFonts w:ascii="Times New Roman" w:hAnsi="Times New Roman" w:cs="Times New Roman"/>
          <w:i/>
          <w:iCs/>
        </w:rPr>
        <w:t>Digital Transformation and Sustainability of Business (pp. 178–180).</w:t>
      </w:r>
    </w:p>
    <w:p w14:paraId="65A6BE68" w14:textId="2DC5B7A0" w:rsidR="00013413" w:rsidRPr="00777DDA" w:rsidRDefault="00013413" w:rsidP="00013413">
      <w:pPr>
        <w:spacing w:line="480" w:lineRule="auto"/>
        <w:rPr>
          <w:rFonts w:ascii="Times New Roman" w:hAnsi="Times New Roman" w:cs="Times New Roman"/>
          <w:i/>
          <w:iCs/>
        </w:rPr>
      </w:pPr>
      <w:r w:rsidRPr="00013413">
        <w:rPr>
          <w:rFonts w:ascii="Times New Roman" w:hAnsi="Times New Roman" w:cs="Times New Roman"/>
        </w:rPr>
        <w:lastRenderedPageBreak/>
        <w:t xml:space="preserve">Wei, Y., Huang, C., Lam, P. T., &amp; Yuan, Z. (2015). </w:t>
      </w:r>
      <w:r w:rsidRPr="00777DDA">
        <w:rPr>
          <w:rFonts w:ascii="Times New Roman" w:hAnsi="Times New Roman" w:cs="Times New Roman"/>
          <w:i/>
          <w:iCs/>
        </w:rPr>
        <w:t xml:space="preserve">Sustainable urban development: A review of urban carrying capacity assessment. </w:t>
      </w:r>
      <w:r w:rsidRPr="00013413">
        <w:rPr>
          <w:rFonts w:ascii="Times New Roman" w:hAnsi="Times New Roman" w:cs="Times New Roman"/>
        </w:rPr>
        <w:t>Habitat International, 46, 64–71.</w:t>
      </w:r>
    </w:p>
    <w:p w14:paraId="118D138B" w14:textId="5E9EE752" w:rsidR="00013413" w:rsidRPr="005E2127" w:rsidRDefault="00013413" w:rsidP="00013413">
      <w:pPr>
        <w:spacing w:line="480" w:lineRule="auto"/>
        <w:rPr>
          <w:rFonts w:ascii="Times New Roman" w:hAnsi="Times New Roman" w:cs="Times New Roman"/>
        </w:rPr>
      </w:pPr>
      <w:r w:rsidRPr="00013413">
        <w:rPr>
          <w:rFonts w:ascii="Times New Roman" w:hAnsi="Times New Roman" w:cs="Times New Roman"/>
        </w:rPr>
        <w:t xml:space="preserve">Wu, L., &amp; Leng, J. (2025). An overview of sustainable urban regeneration development: A synergistic perspective of CIM and BIM. </w:t>
      </w:r>
      <w:r w:rsidRPr="00777DDA">
        <w:rPr>
          <w:rFonts w:ascii="Times New Roman" w:hAnsi="Times New Roman" w:cs="Times New Roman"/>
          <w:i/>
          <w:iCs/>
        </w:rPr>
        <w:t>Buildings, 15</w:t>
      </w:r>
      <w:r w:rsidRPr="00013413">
        <w:rPr>
          <w:rFonts w:ascii="Times New Roman" w:hAnsi="Times New Roman" w:cs="Times New Roman"/>
        </w:rPr>
        <w:t>(5), 833.</w:t>
      </w:r>
    </w:p>
    <w:sectPr w:rsidR="00013413" w:rsidRPr="005E2127" w:rsidSect="00777DDA">
      <w:head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E9AF38" w14:textId="77777777" w:rsidR="00F00332" w:rsidRDefault="00F00332" w:rsidP="00777DDA">
      <w:pPr>
        <w:spacing w:after="0" w:line="240" w:lineRule="auto"/>
      </w:pPr>
      <w:r>
        <w:separator/>
      </w:r>
    </w:p>
  </w:endnote>
  <w:endnote w:type="continuationSeparator" w:id="0">
    <w:p w14:paraId="5C923CDE" w14:textId="77777777" w:rsidR="00F00332" w:rsidRDefault="00F00332" w:rsidP="00777D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95D076" w14:textId="77777777" w:rsidR="00F00332" w:rsidRDefault="00F00332" w:rsidP="00777DDA">
      <w:pPr>
        <w:spacing w:after="0" w:line="240" w:lineRule="auto"/>
      </w:pPr>
      <w:r>
        <w:separator/>
      </w:r>
    </w:p>
  </w:footnote>
  <w:footnote w:type="continuationSeparator" w:id="0">
    <w:p w14:paraId="6B79DF94" w14:textId="77777777" w:rsidR="00F00332" w:rsidRDefault="00F00332" w:rsidP="00777D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310407446"/>
      <w:docPartObj>
        <w:docPartGallery w:val="Page Numbers (Top of Page)"/>
        <w:docPartUnique/>
      </w:docPartObj>
    </w:sdtPr>
    <w:sdtEndPr>
      <w:rPr>
        <w:b/>
        <w:bCs/>
        <w:noProof/>
        <w:color w:val="auto"/>
        <w:spacing w:val="0"/>
      </w:rPr>
    </w:sdtEndPr>
    <w:sdtContent>
      <w:p w14:paraId="0298046A" w14:textId="3CB494E0" w:rsidR="00777DDA" w:rsidRDefault="00777DDA">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7DC72A17" w14:textId="77777777" w:rsidR="00777DDA" w:rsidRDefault="00777D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D4FA4"/>
    <w:multiLevelType w:val="hybridMultilevel"/>
    <w:tmpl w:val="5914D52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087381"/>
    <w:multiLevelType w:val="hybridMultilevel"/>
    <w:tmpl w:val="A8147B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7336989"/>
    <w:multiLevelType w:val="hybridMultilevel"/>
    <w:tmpl w:val="ED3824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6757599">
    <w:abstractNumId w:val="0"/>
  </w:num>
  <w:num w:numId="2" w16cid:durableId="448622734">
    <w:abstractNumId w:val="1"/>
  </w:num>
  <w:num w:numId="3" w16cid:durableId="6773168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127"/>
    <w:rsid w:val="00013413"/>
    <w:rsid w:val="000D6A89"/>
    <w:rsid w:val="005E2127"/>
    <w:rsid w:val="00650BFD"/>
    <w:rsid w:val="00777DDA"/>
    <w:rsid w:val="00903319"/>
    <w:rsid w:val="009F6B49"/>
    <w:rsid w:val="00D332CF"/>
    <w:rsid w:val="00F00332"/>
    <w:rsid w:val="00F15A00"/>
    <w:rsid w:val="00FC4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0BC7D"/>
  <w15:chartTrackingRefBased/>
  <w15:docId w15:val="{7643118E-63A6-4064-A1F2-B77BF00AC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1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1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1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1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1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1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1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1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1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1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1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1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1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1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1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1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1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127"/>
    <w:rPr>
      <w:rFonts w:eastAsiaTheme="majorEastAsia" w:cstheme="majorBidi"/>
      <w:color w:val="272727" w:themeColor="text1" w:themeTint="D8"/>
    </w:rPr>
  </w:style>
  <w:style w:type="paragraph" w:styleId="Title">
    <w:name w:val="Title"/>
    <w:basedOn w:val="Normal"/>
    <w:next w:val="Normal"/>
    <w:link w:val="TitleChar"/>
    <w:uiPriority w:val="10"/>
    <w:qFormat/>
    <w:rsid w:val="005E21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1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1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1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127"/>
    <w:pPr>
      <w:spacing w:before="160"/>
      <w:jc w:val="center"/>
    </w:pPr>
    <w:rPr>
      <w:i/>
      <w:iCs/>
      <w:color w:val="404040" w:themeColor="text1" w:themeTint="BF"/>
    </w:rPr>
  </w:style>
  <w:style w:type="character" w:customStyle="1" w:styleId="QuoteChar">
    <w:name w:val="Quote Char"/>
    <w:basedOn w:val="DefaultParagraphFont"/>
    <w:link w:val="Quote"/>
    <w:uiPriority w:val="29"/>
    <w:rsid w:val="005E2127"/>
    <w:rPr>
      <w:i/>
      <w:iCs/>
      <w:color w:val="404040" w:themeColor="text1" w:themeTint="BF"/>
    </w:rPr>
  </w:style>
  <w:style w:type="paragraph" w:styleId="ListParagraph">
    <w:name w:val="List Paragraph"/>
    <w:basedOn w:val="Normal"/>
    <w:uiPriority w:val="34"/>
    <w:qFormat/>
    <w:rsid w:val="005E2127"/>
    <w:pPr>
      <w:ind w:left="720"/>
      <w:contextualSpacing/>
    </w:pPr>
  </w:style>
  <w:style w:type="character" w:styleId="IntenseEmphasis">
    <w:name w:val="Intense Emphasis"/>
    <w:basedOn w:val="DefaultParagraphFont"/>
    <w:uiPriority w:val="21"/>
    <w:qFormat/>
    <w:rsid w:val="005E2127"/>
    <w:rPr>
      <w:i/>
      <w:iCs/>
      <w:color w:val="0F4761" w:themeColor="accent1" w:themeShade="BF"/>
    </w:rPr>
  </w:style>
  <w:style w:type="paragraph" w:styleId="IntenseQuote">
    <w:name w:val="Intense Quote"/>
    <w:basedOn w:val="Normal"/>
    <w:next w:val="Normal"/>
    <w:link w:val="IntenseQuoteChar"/>
    <w:uiPriority w:val="30"/>
    <w:qFormat/>
    <w:rsid w:val="005E21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127"/>
    <w:rPr>
      <w:i/>
      <w:iCs/>
      <w:color w:val="0F4761" w:themeColor="accent1" w:themeShade="BF"/>
    </w:rPr>
  </w:style>
  <w:style w:type="character" w:styleId="IntenseReference">
    <w:name w:val="Intense Reference"/>
    <w:basedOn w:val="DefaultParagraphFont"/>
    <w:uiPriority w:val="32"/>
    <w:qFormat/>
    <w:rsid w:val="005E2127"/>
    <w:rPr>
      <w:b/>
      <w:bCs/>
      <w:smallCaps/>
      <w:color w:val="0F4761" w:themeColor="accent1" w:themeShade="BF"/>
      <w:spacing w:val="5"/>
    </w:rPr>
  </w:style>
  <w:style w:type="paragraph" w:styleId="Header">
    <w:name w:val="header"/>
    <w:basedOn w:val="Normal"/>
    <w:link w:val="HeaderChar"/>
    <w:uiPriority w:val="99"/>
    <w:unhideWhenUsed/>
    <w:rsid w:val="00777D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7DDA"/>
  </w:style>
  <w:style w:type="paragraph" w:styleId="Footer">
    <w:name w:val="footer"/>
    <w:basedOn w:val="Normal"/>
    <w:link w:val="FooterChar"/>
    <w:uiPriority w:val="99"/>
    <w:unhideWhenUsed/>
    <w:rsid w:val="00777D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7DDA"/>
  </w:style>
  <w:style w:type="paragraph" w:styleId="NoSpacing">
    <w:name w:val="No Spacing"/>
    <w:link w:val="NoSpacingChar"/>
    <w:uiPriority w:val="1"/>
    <w:qFormat/>
    <w:rsid w:val="00777DD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777DDA"/>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2795</Words>
  <Characters>15935</Characters>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report</dc:subject>
  <cp:keywords/>
  <dc:description/>
  <dcterms:created xsi:type="dcterms:W3CDTF">2025-12-13T23:40:00Z</dcterms:created>
  <dcterms:modified xsi:type="dcterms:W3CDTF">2025-12-13T23:40:00Z</dcterms:modified>
</cp:coreProperties>
</file>