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7997BE6" w:rsidP="47997BE6" w:rsidRDefault="47997BE6" w14:paraId="1A644722" w14:textId="186F29D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bookmarkStart w:name="_GoBack" w:id="0"/>
      <w:bookmarkEnd w:id="0"/>
      <w:r w:rsidRPr="47997BE6" w:rsidR="47997BE6">
        <w:rPr>
          <w:rFonts w:ascii="Calibri" w:hAnsi="Calibri" w:eastAsia="Calibri" w:cs="Calibri" w:asciiTheme="minorAscii" w:hAnsiTheme="minorAscii" w:eastAsiaTheme="minorAscii" w:cstheme="minorAscii"/>
          <w:sz w:val="24"/>
          <w:szCs w:val="24"/>
        </w:rPr>
        <w:t>EU (European Union) law, often known as European Union law, is a legal system unique to the European Union's 28 members. If there is a dispute between national and EU legislation, this system takes precedence. (</w:t>
      </w:r>
      <w:proofErr w:type="spellStart"/>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AllAboutLaw</w:t>
      </w:r>
      <w:proofErr w:type="spellEnd"/>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2013)</w:t>
      </w:r>
      <w:r w:rsidRPr="47997BE6" w:rsidR="47997BE6">
        <w:rPr>
          <w:rFonts w:ascii="Calibri" w:hAnsi="Calibri" w:eastAsia="Calibri" w:cs="Calibri" w:asciiTheme="minorAscii" w:hAnsiTheme="minorAscii" w:eastAsiaTheme="minorAscii" w:cstheme="minorAscii"/>
        </w:rPr>
        <w:t xml:space="preserve"> </w:t>
      </w:r>
      <w:proofErr w:type="spellStart"/>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AllAboutLaw</w:t>
      </w:r>
      <w:proofErr w:type="spellEnd"/>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(2013). </w:t>
      </w:r>
      <w:r w:rsidRPr="47997BE6" w:rsidR="47997BE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EU Law</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online] From</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agricultural to competition law, EU law covers a wide range of issues. As the European Union grew, the goal was to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provide</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 fair playing field and harmonise rules in key areas, namely trade. This is a recent field of law, having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emerged</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in the second half of the twentieth century. The importance of EU legislation is that it ensures that the populations of member states are treated equally and that others are treated equally. In this field of law, there is typically a lot of paperwork, especially if the case has gone to the European Court of Justice (ECJ). All domestic remedies must have been exhausted before a case can be brought before the ECJ, which means it must have already been heard by the country's highest court. These cases are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frequently</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large and include large groups of individuals,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necessitating</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 great deal of planning and delegating. You might even end yourself working on conflicts involving other countries' legal systems and languages, which will make things even more complicated and varied. </w:t>
      </w:r>
      <w:r w:rsidRPr="47997BE6" w:rsidR="47997BE6">
        <w:rPr>
          <w:rFonts w:ascii="Calibri" w:hAnsi="Calibri" w:eastAsia="Calibri" w:cs="Calibri" w:asciiTheme="minorAscii" w:hAnsiTheme="minorAscii" w:eastAsiaTheme="minorAscii" w:cstheme="minorAscii"/>
          <w:sz w:val="24"/>
          <w:szCs w:val="24"/>
        </w:rPr>
        <w:t>(</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AllAboutLaw</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2013)</w:t>
      </w:r>
      <w:r w:rsidRPr="47997BE6" w:rsidR="47997BE6">
        <w:rPr>
          <w:rFonts w:ascii="Calibri" w:hAnsi="Calibri" w:eastAsia="Calibri" w:cs="Calibri" w:asciiTheme="minorAscii" w:hAnsiTheme="minorAscii" w:eastAsiaTheme="minorAscii" w:cstheme="minorAscii"/>
        </w:rPr>
        <w:t xml:space="preserve"> </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AllAboutLaw</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(2013). </w:t>
      </w:r>
      <w:r w:rsidRPr="47997BE6" w:rsidR="47997BE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EU Law</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w:t>
      </w:r>
    </w:p>
    <w:p w:rsidR="47997BE6" w:rsidP="47997BE6" w:rsidRDefault="47997BE6" w14:paraId="1E8EF223" w14:textId="216BA85B">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asciiTheme="minorAscii" w:hAnsiTheme="minorAscii" w:eastAsiaTheme="minorAscii" w:cstheme="minorAscii"/>
          <w:sz w:val="24"/>
          <w:szCs w:val="24"/>
        </w:rPr>
        <w:t xml:space="preserve">In 1957, the Treaty of Rome </w:t>
      </w:r>
      <w:r w:rsidRPr="47997BE6" w:rsidR="47997BE6">
        <w:rPr>
          <w:rFonts w:ascii="Calibri" w:hAnsi="Calibri" w:eastAsia="Calibri" w:cs="Calibri" w:asciiTheme="minorAscii" w:hAnsiTheme="minorAscii" w:eastAsiaTheme="minorAscii" w:cstheme="minorAscii"/>
          <w:sz w:val="24"/>
          <w:szCs w:val="24"/>
        </w:rPr>
        <w:t>established</w:t>
      </w:r>
      <w:r w:rsidRPr="47997BE6" w:rsidR="47997BE6">
        <w:rPr>
          <w:rFonts w:ascii="Calibri" w:hAnsi="Calibri" w:eastAsia="Calibri" w:cs="Calibri" w:asciiTheme="minorAscii" w:hAnsiTheme="minorAscii" w:eastAsiaTheme="minorAscii" w:cstheme="minorAscii"/>
          <w:sz w:val="24"/>
          <w:szCs w:val="24"/>
        </w:rPr>
        <w:t xml:space="preserve"> the EU's competition policy. The goal was to develop a system that could assure "that competition in the common market [was] not skewed," i.e., a free-market system that would function properly and benefit consumers. A well operating market is one in which competitors may compete fairly with one another, with the goal of providing consumers with benefits such as cheaper pricing, improved quality, and a wider selection of product options. The creation of a strong economic, monetary, and political university is aided by a free market. Unfortunately, the implementation of the Treaty of Rome policies did not </w:t>
      </w:r>
      <w:r w:rsidRPr="47997BE6" w:rsidR="47997BE6">
        <w:rPr>
          <w:rFonts w:ascii="Calibri" w:hAnsi="Calibri" w:eastAsia="Calibri" w:cs="Calibri" w:asciiTheme="minorAscii" w:hAnsiTheme="minorAscii" w:eastAsiaTheme="minorAscii" w:cstheme="minorAscii"/>
          <w:sz w:val="24"/>
          <w:szCs w:val="24"/>
        </w:rPr>
        <w:t>establish</w:t>
      </w:r>
      <w:r w:rsidRPr="47997BE6" w:rsidR="47997BE6">
        <w:rPr>
          <w:rFonts w:ascii="Calibri" w:hAnsi="Calibri" w:eastAsia="Calibri" w:cs="Calibri" w:asciiTheme="minorAscii" w:hAnsiTheme="minorAscii" w:eastAsiaTheme="minorAscii" w:cstheme="minorAscii"/>
          <w:sz w:val="24"/>
          <w:szCs w:val="24"/>
        </w:rPr>
        <w:t xml:space="preserve"> the aim of EU competition law. In the years afterwards, EU competition law has lacked clarity about "whether Union competition law [existed] to promote efficiency, to achieve the Union goal of market integration, to promote particular market freedoms acceptable in a democracy, or to achieve any Union goal." Furthermore, similar situations were assessed differently, and the decision </w:t>
      </w:r>
      <w:r w:rsidRPr="47997BE6" w:rsidR="47997BE6">
        <w:rPr>
          <w:rFonts w:ascii="Calibri" w:hAnsi="Calibri" w:eastAsia="Calibri" w:cs="Calibri" w:asciiTheme="minorAscii" w:hAnsiTheme="minorAscii" w:eastAsiaTheme="minorAscii" w:cstheme="minorAscii"/>
          <w:sz w:val="24"/>
          <w:szCs w:val="24"/>
        </w:rPr>
        <w:t>was</w:t>
      </w:r>
      <w:r w:rsidRPr="47997BE6" w:rsidR="47997BE6">
        <w:rPr>
          <w:rFonts w:ascii="Calibri" w:hAnsi="Calibri" w:eastAsia="Calibri" w:cs="Calibri" w:asciiTheme="minorAscii" w:hAnsiTheme="minorAscii" w:eastAsiaTheme="minorAscii" w:cstheme="minorAscii"/>
          <w:sz w:val="24"/>
          <w:szCs w:val="24"/>
        </w:rPr>
        <w:t xml:space="preserve"> </w:t>
      </w:r>
      <w:r w:rsidRPr="47997BE6" w:rsidR="47997BE6">
        <w:rPr>
          <w:rFonts w:ascii="Calibri" w:hAnsi="Calibri" w:eastAsia="Calibri" w:cs="Calibri" w:asciiTheme="minorAscii" w:hAnsiTheme="minorAscii" w:eastAsiaTheme="minorAscii" w:cstheme="minorAscii"/>
          <w:sz w:val="24"/>
          <w:szCs w:val="24"/>
        </w:rPr>
        <w:t>determined</w:t>
      </w:r>
      <w:r w:rsidRPr="47997BE6" w:rsidR="47997BE6">
        <w:rPr>
          <w:rFonts w:ascii="Calibri" w:hAnsi="Calibri" w:eastAsia="Calibri" w:cs="Calibri" w:asciiTheme="minorAscii" w:hAnsiTheme="minorAscii" w:eastAsiaTheme="minorAscii" w:cstheme="minorAscii"/>
          <w:sz w:val="24"/>
          <w:szCs w:val="24"/>
        </w:rPr>
        <w:t xml:space="preserve"> more by the judge than by the facts of the case. (</w:t>
      </w:r>
      <w:r w:rsidRPr="47997BE6" w:rsidR="47997BE6">
        <w:rPr>
          <w:rFonts w:ascii="Calibri" w:hAnsi="Calibri" w:eastAsia="Calibri" w:cs="Calibri"/>
          <w:b w:val="0"/>
          <w:bCs w:val="0"/>
          <w:i w:val="0"/>
          <w:iCs w:val="0"/>
          <w:caps w:val="0"/>
          <w:smallCaps w:val="0"/>
          <w:noProof w:val="0"/>
          <w:color w:val="auto"/>
          <w:sz w:val="24"/>
          <w:szCs w:val="24"/>
          <w:lang w:val="en-GB"/>
        </w:rPr>
        <w:t>Hag, S. and Bastidas, V, n.d.)</w:t>
      </w:r>
      <w:r w:rsidRPr="47997BE6" w:rsidR="47997BE6">
        <w:rPr>
          <w:rFonts w:ascii="Calibri" w:hAnsi="Calibri" w:eastAsia="Calibri" w:cs="Calibri" w:asciiTheme="minorAscii" w:hAnsiTheme="minorAscii" w:eastAsiaTheme="minorAscii" w:cstheme="minorAscii"/>
          <w:sz w:val="24"/>
          <w:szCs w:val="24"/>
        </w:rPr>
        <w:t xml:space="preserve"> </w:t>
      </w:r>
      <w:r w:rsidRPr="47997BE6" w:rsidR="47997BE6">
        <w:rPr>
          <w:rFonts w:ascii="Calibri" w:hAnsi="Calibri" w:eastAsia="Calibri" w:cs="Calibri"/>
          <w:b w:val="0"/>
          <w:bCs w:val="0"/>
          <w:i w:val="0"/>
          <w:iCs w:val="0"/>
          <w:caps w:val="0"/>
          <w:smallCaps w:val="0"/>
          <w:noProof w:val="0"/>
          <w:color w:val="auto"/>
          <w:sz w:val="24"/>
          <w:szCs w:val="24"/>
          <w:lang w:val="en-GB"/>
        </w:rPr>
        <w:t xml:space="preserve">Hag, S. and Bastidas, V. (n.d.). </w:t>
      </w:r>
      <w:r w:rsidRPr="47997BE6" w:rsidR="47997BE6">
        <w:rPr>
          <w:rFonts w:ascii="Calibri" w:hAnsi="Calibri" w:eastAsia="Calibri" w:cs="Calibri"/>
          <w:b w:val="0"/>
          <w:bCs w:val="0"/>
          <w:i w:val="1"/>
          <w:iCs w:val="1"/>
          <w:caps w:val="0"/>
          <w:smallCaps w:val="0"/>
          <w:noProof w:val="0"/>
          <w:color w:val="auto"/>
          <w:sz w:val="24"/>
          <w:szCs w:val="24"/>
          <w:lang w:val="en-GB"/>
        </w:rPr>
        <w:t>Department of Law Spring Term 2015 The Objectives of EU Competition Law -A normative analysis</w:t>
      </w:r>
      <w:r w:rsidRPr="47997BE6" w:rsidR="47997BE6">
        <w:rPr>
          <w:rFonts w:ascii="Calibri" w:hAnsi="Calibri" w:eastAsia="Calibri" w:cs="Calibri"/>
          <w:b w:val="0"/>
          <w:bCs w:val="0"/>
          <w:i w:val="0"/>
          <w:iCs w:val="0"/>
          <w:caps w:val="0"/>
          <w:smallCaps w:val="0"/>
          <w:noProof w:val="0"/>
          <w:color w:val="auto"/>
          <w:sz w:val="24"/>
          <w:szCs w:val="24"/>
          <w:lang w:val="en-GB"/>
        </w:rPr>
        <w:t>.</w:t>
      </w:r>
      <w:r w:rsidRPr="47997BE6" w:rsidR="47997BE6">
        <w:rPr>
          <w:rFonts w:ascii="Calibri" w:hAnsi="Calibri" w:eastAsia="Calibri" w:cs="Calibri"/>
          <w:b w:val="0"/>
          <w:bCs w:val="0"/>
          <w:i w:val="0"/>
          <w:iCs w:val="0"/>
          <w:caps w:val="0"/>
          <w:smallCaps w:val="0"/>
          <w:noProof w:val="0"/>
          <w:color w:val="auto"/>
          <w:sz w:val="24"/>
          <w:szCs w:val="24"/>
          <w:lang w:val="en-GB"/>
        </w:rPr>
        <w:t xml:space="preserve"> (“The Objectives of EU Competition Law - diva- 811088 ...”) [online] </w:t>
      </w:r>
    </w:p>
    <w:p w:rsidR="47997BE6" w:rsidP="47997BE6" w:rsidRDefault="47997BE6" w14:paraId="1B074551" w14:textId="78DAFE42">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Article 101 TFEU deals with agreements between businesses or groups of businesses, as well as actions that may affect trade between member states that have the goal or effect of preventing, restricting, or distorting competition on the internal market, because an agreement that restricts competition by object is per se prohibited, there is no need to assess its effects on competition under article 101. (1) When a contract does not restrict competition by object, it may do so by effect. The consequences are assessed considering the agreement's actual terms, the legal and economic framework, the products, and services covered by the agreement, and the structure of the relevant market. The agreements can be horizontal or vertical, meaning they can be made between players at the same level or at various levels of the distribution chain. The former refers to non-competitive agreements, </w:t>
      </w:r>
      <w:r w:rsidRPr="47997BE6" w:rsidR="47997BE6">
        <w:rPr>
          <w:rFonts w:ascii="Calibri" w:hAnsi="Calibri" w:eastAsia="Calibri" w:cs="Calibri"/>
          <w:b w:val="0"/>
          <w:bCs w:val="0"/>
          <w:i w:val="0"/>
          <w:iCs w:val="0"/>
          <w:caps w:val="0"/>
          <w:smallCaps w:val="0"/>
          <w:noProof w:val="0"/>
          <w:color w:val="auto"/>
          <w:sz w:val="24"/>
          <w:szCs w:val="24"/>
          <w:lang w:val="en-GB"/>
        </w:rPr>
        <w:t>whereas</w:t>
      </w:r>
      <w:r w:rsidRPr="47997BE6" w:rsidR="47997BE6">
        <w:rPr>
          <w:rFonts w:ascii="Calibri" w:hAnsi="Calibri" w:eastAsia="Calibri" w:cs="Calibri"/>
          <w:b w:val="0"/>
          <w:bCs w:val="0"/>
          <w:i w:val="0"/>
          <w:iCs w:val="0"/>
          <w:caps w:val="0"/>
          <w:smallCaps w:val="0"/>
          <w:noProof w:val="0"/>
          <w:color w:val="auto"/>
          <w:sz w:val="24"/>
          <w:szCs w:val="24"/>
          <w:lang w:val="en-GB"/>
        </w:rPr>
        <w:t xml:space="preserve"> the latter refers to agreements between competitors. </w:t>
      </w:r>
      <w:r w:rsidRPr="47997BE6" w:rsidR="47997BE6">
        <w:rPr>
          <w:rFonts w:ascii="Calibri" w:hAnsi="Calibri" w:eastAsia="Calibri" w:cs="Calibri" w:asciiTheme="minorAscii" w:hAnsiTheme="minorAscii" w:eastAsiaTheme="minorAscii" w:cstheme="minorAscii"/>
          <w:sz w:val="24"/>
          <w:szCs w:val="24"/>
        </w:rPr>
        <w:t>(</w:t>
      </w:r>
      <w:r w:rsidRPr="47997BE6" w:rsidR="47997BE6">
        <w:rPr>
          <w:rFonts w:ascii="Calibri" w:hAnsi="Calibri" w:eastAsia="Calibri" w:cs="Calibri"/>
          <w:b w:val="0"/>
          <w:bCs w:val="0"/>
          <w:i w:val="0"/>
          <w:iCs w:val="0"/>
          <w:caps w:val="0"/>
          <w:smallCaps w:val="0"/>
          <w:noProof w:val="0"/>
          <w:color w:val="auto"/>
          <w:sz w:val="24"/>
          <w:szCs w:val="24"/>
          <w:lang w:val="en-GB"/>
        </w:rPr>
        <w:t>Hag, S. and Bastidas, V, n.d.)</w:t>
      </w:r>
      <w:r w:rsidRPr="47997BE6" w:rsidR="47997BE6">
        <w:rPr>
          <w:rFonts w:ascii="Calibri" w:hAnsi="Calibri" w:eastAsia="Calibri" w:cs="Calibri" w:asciiTheme="minorAscii" w:hAnsiTheme="minorAscii" w:eastAsiaTheme="minorAscii" w:cstheme="minorAscii"/>
          <w:sz w:val="24"/>
          <w:szCs w:val="24"/>
        </w:rPr>
        <w:t xml:space="preserve"> </w:t>
      </w:r>
      <w:r w:rsidRPr="47997BE6" w:rsidR="47997BE6">
        <w:rPr>
          <w:rFonts w:ascii="Calibri" w:hAnsi="Calibri" w:eastAsia="Calibri" w:cs="Calibri"/>
          <w:b w:val="0"/>
          <w:bCs w:val="0"/>
          <w:i w:val="0"/>
          <w:iCs w:val="0"/>
          <w:caps w:val="0"/>
          <w:smallCaps w:val="0"/>
          <w:noProof w:val="0"/>
          <w:color w:val="auto"/>
          <w:sz w:val="24"/>
          <w:szCs w:val="24"/>
          <w:lang w:val="en-GB"/>
        </w:rPr>
        <w:t xml:space="preserve">Hag, S. and Bastidas, V. (n.d.). </w:t>
      </w:r>
      <w:r w:rsidRPr="47997BE6" w:rsidR="47997BE6">
        <w:rPr>
          <w:rFonts w:ascii="Calibri" w:hAnsi="Calibri" w:eastAsia="Calibri" w:cs="Calibri"/>
          <w:b w:val="0"/>
          <w:bCs w:val="0"/>
          <w:i w:val="1"/>
          <w:iCs w:val="1"/>
          <w:caps w:val="0"/>
          <w:smallCaps w:val="0"/>
          <w:noProof w:val="0"/>
          <w:color w:val="auto"/>
          <w:sz w:val="24"/>
          <w:szCs w:val="24"/>
          <w:lang w:val="en-GB"/>
        </w:rPr>
        <w:t>Department of Law Spring Term 2015 The Objectives of EU Competition Law -A normative analysis</w:t>
      </w:r>
      <w:r w:rsidRPr="47997BE6" w:rsidR="47997BE6">
        <w:rPr>
          <w:rFonts w:ascii="Calibri" w:hAnsi="Calibri" w:eastAsia="Calibri" w:cs="Calibri"/>
          <w:b w:val="0"/>
          <w:bCs w:val="0"/>
          <w:i w:val="0"/>
          <w:iCs w:val="0"/>
          <w:caps w:val="0"/>
          <w:smallCaps w:val="0"/>
          <w:noProof w:val="0"/>
          <w:color w:val="auto"/>
          <w:sz w:val="24"/>
          <w:szCs w:val="24"/>
          <w:lang w:val="en-GB"/>
        </w:rPr>
        <w:t>.</w:t>
      </w:r>
      <w:r w:rsidRPr="47997BE6" w:rsidR="47997BE6">
        <w:rPr>
          <w:rFonts w:ascii="Calibri" w:hAnsi="Calibri" w:eastAsia="Calibri" w:cs="Calibri"/>
          <w:b w:val="0"/>
          <w:bCs w:val="0"/>
          <w:i w:val="0"/>
          <w:iCs w:val="0"/>
          <w:caps w:val="0"/>
          <w:smallCaps w:val="0"/>
          <w:noProof w:val="0"/>
          <w:color w:val="auto"/>
          <w:sz w:val="24"/>
          <w:szCs w:val="24"/>
          <w:lang w:val="en-GB"/>
        </w:rPr>
        <w:t xml:space="preserve"> (“The Objectives of EU Competition Law - diva- 811088 ...”) [online]. (</w:t>
      </w:r>
      <w:r w:rsidRPr="47997BE6" w:rsidR="47997BE6">
        <w:rPr>
          <w:rFonts w:ascii="Calibri" w:hAnsi="Calibri" w:eastAsia="Calibri" w:cs="Calibri"/>
          <w:b w:val="0"/>
          <w:bCs w:val="0"/>
          <w:i w:val="0"/>
          <w:iCs w:val="0"/>
          <w:caps w:val="0"/>
          <w:smallCaps w:val="0"/>
          <w:noProof w:val="0"/>
          <w:color w:val="auto"/>
          <w:sz w:val="24"/>
          <w:szCs w:val="24"/>
          <w:lang w:val="en-GB"/>
        </w:rPr>
        <w:t>Ahlborn, C. and Grave, 2006).</w:t>
      </w:r>
    </w:p>
    <w:p w:rsidR="47997BE6" w:rsidP="47997BE6" w:rsidRDefault="47997BE6" w14:paraId="0B5DD445" w14:textId="766D5860">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asciiTheme="minorAscii" w:hAnsiTheme="minorAscii" w:eastAsiaTheme="minorAscii" w:cstheme="minorAscii"/>
          <w:sz w:val="24"/>
          <w:szCs w:val="24"/>
        </w:rPr>
        <w:t xml:space="preserve">The elimination of customs charges and quantitative limits, as well as the prohibition of measures with an analogous effect, ensure the free flow of commodities. To complete the completion of the internal market, the concepts of mutual recognition, elimination of physical and technical barriers, and promotion of standardisation were introduced. In 2008, the EU's market monitoring system and the CE mark were enhanced with the adoption of the New Legislative Framework. The ongoing COVID-19 pandemic is having a severe impact on the free flow of goods. The right to free movement of products originating in Member States as well as goods from third countries in free circulation in Member States is one of the Treaty's core principles (Article 28 of the TFEU). Initially, the free movement of products was considered as part of a customs union between the Member States, which included the elimination of customs tariffs, quantitative trade restrictions, and similar measures, as well as the establishment of a standard external tariff for the Union. Later, to develop the internal market, the attention moved to removing any remaining barriers to free flow of commodities. Parliament has consistently backed the completion of the internal market, particularly the "innovative approach" to free trade. It has also contributed significantly to the harmonisation guidelines in terms of legislation. The New Legislative Framework package, which was </w:t>
      </w:r>
      <w:r w:rsidRPr="47997BE6" w:rsidR="47997BE6">
        <w:rPr>
          <w:rFonts w:ascii="Calibri" w:hAnsi="Calibri" w:eastAsia="Calibri" w:cs="Calibri" w:asciiTheme="minorAscii" w:hAnsiTheme="minorAscii" w:eastAsiaTheme="minorAscii" w:cstheme="minorAscii"/>
          <w:sz w:val="24"/>
          <w:szCs w:val="24"/>
        </w:rPr>
        <w:t>established</w:t>
      </w:r>
      <w:r w:rsidRPr="47997BE6" w:rsidR="47997BE6">
        <w:rPr>
          <w:rFonts w:ascii="Calibri" w:hAnsi="Calibri" w:eastAsia="Calibri" w:cs="Calibri" w:asciiTheme="minorAscii" w:hAnsiTheme="minorAscii" w:eastAsiaTheme="minorAscii" w:cstheme="minorAscii"/>
          <w:sz w:val="24"/>
          <w:szCs w:val="24"/>
        </w:rPr>
        <w:t xml:space="preserve"> in 2008, was heavily influenced by Parliament. The key issues for Parliament in its negotiations with the Council were securing agreement that all economic operators involved should increasingly </w:t>
      </w:r>
      <w:r w:rsidRPr="47997BE6" w:rsidR="47997BE6">
        <w:rPr>
          <w:rFonts w:ascii="Calibri" w:hAnsi="Calibri" w:eastAsia="Calibri" w:cs="Calibri" w:asciiTheme="minorAscii" w:hAnsiTheme="minorAscii" w:eastAsiaTheme="minorAscii" w:cstheme="minorAscii"/>
          <w:sz w:val="24"/>
          <w:szCs w:val="24"/>
        </w:rPr>
        <w:t>be responsible for</w:t>
      </w:r>
      <w:r w:rsidRPr="47997BE6" w:rsidR="47997BE6">
        <w:rPr>
          <w:rFonts w:ascii="Calibri" w:hAnsi="Calibri" w:eastAsia="Calibri" w:cs="Calibri" w:asciiTheme="minorAscii" w:hAnsiTheme="minorAscii" w:eastAsiaTheme="minorAscii" w:cstheme="minorAscii"/>
          <w:sz w:val="24"/>
          <w:szCs w:val="24"/>
        </w:rPr>
        <w:t xml:space="preserve"> assuring the compliance and safety of the products they put on the market, as well as strengthening the CE mark by increasing consumer awareness of it. (Europa.</w:t>
      </w:r>
      <w:proofErr w:type="spellStart"/>
      <w:r w:rsidRPr="47997BE6" w:rsidR="47997BE6">
        <w:rPr>
          <w:rFonts w:ascii="Calibri" w:hAnsi="Calibri" w:eastAsia="Calibri" w:cs="Calibri" w:asciiTheme="minorAscii" w:hAnsiTheme="minorAscii" w:eastAsiaTheme="minorAscii" w:cstheme="minorAscii"/>
          <w:sz w:val="24"/>
          <w:szCs w:val="24"/>
        </w:rPr>
        <w:t>eu</w:t>
      </w:r>
      <w:proofErr w:type="spellEnd"/>
      <w:r w:rsidRPr="47997BE6" w:rsidR="47997BE6">
        <w:rPr>
          <w:rFonts w:ascii="Calibri" w:hAnsi="Calibri" w:eastAsia="Calibri" w:cs="Calibri"/>
          <w:b w:val="0"/>
          <w:bCs w:val="0"/>
          <w:i w:val="0"/>
          <w:iCs w:val="0"/>
          <w:caps w:val="0"/>
          <w:smallCaps w:val="0"/>
          <w:noProof w:val="0"/>
          <w:color w:val="auto"/>
          <w:sz w:val="24"/>
          <w:szCs w:val="24"/>
          <w:lang w:val="en-GB"/>
        </w:rPr>
        <w:t xml:space="preserve">, 2015) </w:t>
      </w:r>
      <w:r w:rsidRPr="47997BE6" w:rsidR="47997BE6">
        <w:rPr>
          <w:rFonts w:ascii="Calibri" w:hAnsi="Calibri" w:eastAsia="Calibri" w:cs="Calibri"/>
          <w:b w:val="0"/>
          <w:bCs w:val="0"/>
          <w:i w:val="0"/>
          <w:iCs w:val="0"/>
          <w:caps w:val="0"/>
          <w:smallCaps w:val="0"/>
          <w:noProof w:val="0"/>
          <w:color w:val="auto"/>
          <w:sz w:val="24"/>
          <w:szCs w:val="24"/>
          <w:lang w:val="en-GB"/>
        </w:rPr>
        <w:t>Europa.eu. (2015)</w:t>
      </w:r>
      <w:r w:rsidRPr="47997BE6" w:rsidR="47997BE6">
        <w:rPr>
          <w:rFonts w:ascii="Calibri" w:hAnsi="Calibri" w:eastAsia="Calibri" w:cs="Calibri"/>
          <w:b w:val="0"/>
          <w:bCs w:val="0"/>
          <w:i w:val="0"/>
          <w:iCs w:val="0"/>
          <w:caps w:val="0"/>
          <w:smallCaps w:val="0"/>
          <w:noProof w:val="0"/>
          <w:color w:val="auto"/>
          <w:sz w:val="24"/>
          <w:szCs w:val="24"/>
          <w:lang w:val="en-GB"/>
        </w:rPr>
        <w:t xml:space="preserve">. </w:t>
      </w:r>
      <w:r w:rsidRPr="47997BE6" w:rsidR="47997BE6">
        <w:rPr>
          <w:rFonts w:ascii="Calibri" w:hAnsi="Calibri" w:eastAsia="Calibri" w:cs="Calibri"/>
          <w:b w:val="0"/>
          <w:bCs w:val="0"/>
          <w:i w:val="1"/>
          <w:iCs w:val="1"/>
          <w:caps w:val="0"/>
          <w:smallCaps w:val="0"/>
          <w:noProof w:val="0"/>
          <w:color w:val="auto"/>
          <w:sz w:val="24"/>
          <w:szCs w:val="24"/>
          <w:lang w:val="en-GB"/>
        </w:rPr>
        <w:t>Free movement of goods | Fact Sheets on the European Union | European Parliament</w:t>
      </w:r>
      <w:r w:rsidRPr="47997BE6" w:rsidR="47997BE6">
        <w:rPr>
          <w:rFonts w:ascii="Calibri" w:hAnsi="Calibri" w:eastAsia="Calibri" w:cs="Calibri"/>
          <w:b w:val="0"/>
          <w:bCs w:val="0"/>
          <w:i w:val="0"/>
          <w:iCs w:val="0"/>
          <w:caps w:val="0"/>
          <w:smallCaps w:val="0"/>
          <w:noProof w:val="0"/>
          <w:color w:val="auto"/>
          <w:sz w:val="24"/>
          <w:szCs w:val="24"/>
          <w:lang w:val="en-GB"/>
        </w:rPr>
        <w:t>. [online].</w:t>
      </w:r>
    </w:p>
    <w:p w:rsidR="47997BE6" w:rsidP="47997BE6" w:rsidRDefault="47997BE6" w14:paraId="726C7A4A" w14:textId="710F8259">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The Treaty of Maastricht, signed in 1992, created the cornerstone of EU citizenship: freedom of movement and residence for EU members. The introduction of Directive 2004/38/EC on the freedom of EU citizens and their family members to freely move and stay within the EU followed the gradual phasing out of internal borders under the Schengen agreements. Despite the importance of this right, it faces significant implementation challenges. Since its conception, the meaning of the term "free movement of persons" has evolved. The </w:t>
      </w:r>
      <w:r w:rsidRPr="47997BE6" w:rsidR="47997BE6">
        <w:rPr>
          <w:rFonts w:ascii="Calibri" w:hAnsi="Calibri" w:eastAsia="Calibri" w:cs="Calibri"/>
          <w:b w:val="0"/>
          <w:bCs w:val="0"/>
          <w:i w:val="0"/>
          <w:iCs w:val="0"/>
          <w:caps w:val="0"/>
          <w:smallCaps w:val="0"/>
          <w:noProof w:val="0"/>
          <w:color w:val="auto"/>
          <w:sz w:val="24"/>
          <w:szCs w:val="24"/>
          <w:lang w:val="en-GB"/>
        </w:rPr>
        <w:t>initial</w:t>
      </w:r>
      <w:r w:rsidRPr="47997BE6" w:rsidR="47997BE6">
        <w:rPr>
          <w:rFonts w:ascii="Calibri" w:hAnsi="Calibri" w:eastAsia="Calibri" w:cs="Calibri"/>
          <w:b w:val="0"/>
          <w:bCs w:val="0"/>
          <w:i w:val="0"/>
          <w:iCs w:val="0"/>
          <w:caps w:val="0"/>
          <w:smallCaps w:val="0"/>
          <w:noProof w:val="0"/>
          <w:color w:val="auto"/>
          <w:sz w:val="24"/>
          <w:szCs w:val="24"/>
          <w:lang w:val="en-GB"/>
        </w:rPr>
        <w:t xml:space="preserve"> laws on the subject, found in the 1957 Treaty creating the European Economic Community, concerned free movement of workers and establishments, as well as individuals working as employees or </w:t>
      </w:r>
      <w:r w:rsidRPr="47997BE6" w:rsidR="47997BE6">
        <w:rPr>
          <w:rFonts w:ascii="Calibri" w:hAnsi="Calibri" w:eastAsia="Calibri" w:cs="Calibri"/>
          <w:b w:val="0"/>
          <w:bCs w:val="0"/>
          <w:i w:val="0"/>
          <w:iCs w:val="0"/>
          <w:caps w:val="0"/>
          <w:smallCaps w:val="0"/>
          <w:noProof w:val="0"/>
          <w:color w:val="auto"/>
          <w:sz w:val="24"/>
          <w:szCs w:val="24"/>
          <w:lang w:val="en-GB"/>
        </w:rPr>
        <w:t>providing</w:t>
      </w:r>
      <w:r w:rsidRPr="47997BE6" w:rsidR="47997BE6">
        <w:rPr>
          <w:rFonts w:ascii="Calibri" w:hAnsi="Calibri" w:eastAsia="Calibri" w:cs="Calibri"/>
          <w:b w:val="0"/>
          <w:bCs w:val="0"/>
          <w:i w:val="0"/>
          <w:iCs w:val="0"/>
          <w:caps w:val="0"/>
          <w:smallCaps w:val="0"/>
          <w:noProof w:val="0"/>
          <w:color w:val="auto"/>
          <w:sz w:val="24"/>
          <w:szCs w:val="24"/>
          <w:lang w:val="en-GB"/>
        </w:rPr>
        <w:t xml:space="preserve"> services. Every national of a Member State now has automatic EU citizenship, thanks to the Maastricht Treaty. The freedom to freely migrate and stay within the territory of the Member States is based on this EU citizenship. (</w:t>
      </w:r>
      <w:r w:rsidRPr="47997BE6" w:rsidR="47997BE6">
        <w:rPr>
          <w:rFonts w:ascii="Calibri" w:hAnsi="Calibri" w:eastAsia="Calibri" w:cs="Calibri"/>
          <w:b w:val="0"/>
          <w:bCs w:val="0"/>
          <w:i w:val="0"/>
          <w:iCs w:val="0"/>
          <w:caps w:val="0"/>
          <w:smallCaps w:val="0"/>
          <w:noProof w:val="0"/>
          <w:color w:val="auto"/>
          <w:sz w:val="24"/>
          <w:szCs w:val="24"/>
          <w:lang w:val="en-GB"/>
        </w:rPr>
        <w:t>Marzocchi, O, 2021)</w:t>
      </w:r>
      <w:r w:rsidRPr="47997BE6" w:rsidR="47997BE6">
        <w:rPr>
          <w:rFonts w:ascii="Calibri" w:hAnsi="Calibri" w:eastAsia="Calibri" w:cs="Calibri"/>
          <w:b w:val="0"/>
          <w:bCs w:val="0"/>
          <w:i w:val="0"/>
          <w:iCs w:val="0"/>
          <w:caps w:val="0"/>
          <w:smallCaps w:val="0"/>
          <w:noProof w:val="0"/>
          <w:color w:val="auto"/>
          <w:sz w:val="24"/>
          <w:szCs w:val="24"/>
          <w:lang w:val="en-GB"/>
        </w:rPr>
        <w:t xml:space="preserve"> </w:t>
      </w:r>
      <w:r w:rsidRPr="47997BE6" w:rsidR="47997BE6">
        <w:rPr>
          <w:rFonts w:ascii="Calibri" w:hAnsi="Calibri" w:eastAsia="Calibri" w:cs="Calibri"/>
          <w:b w:val="0"/>
          <w:bCs w:val="0"/>
          <w:i w:val="0"/>
          <w:iCs w:val="0"/>
          <w:caps w:val="0"/>
          <w:smallCaps w:val="0"/>
          <w:noProof w:val="0"/>
          <w:color w:val="auto"/>
          <w:sz w:val="24"/>
          <w:szCs w:val="24"/>
          <w:lang w:val="en-GB"/>
        </w:rPr>
        <w:t xml:space="preserve">Marzocchi, O. (2021). </w:t>
      </w:r>
      <w:r w:rsidRPr="47997BE6" w:rsidR="47997BE6">
        <w:rPr>
          <w:rFonts w:ascii="Calibri" w:hAnsi="Calibri" w:eastAsia="Calibri" w:cs="Calibri"/>
          <w:b w:val="0"/>
          <w:bCs w:val="0"/>
          <w:i w:val="1"/>
          <w:iCs w:val="1"/>
          <w:caps w:val="0"/>
          <w:smallCaps w:val="0"/>
          <w:noProof w:val="0"/>
          <w:color w:val="auto"/>
          <w:sz w:val="24"/>
          <w:szCs w:val="24"/>
          <w:lang w:val="en-GB"/>
        </w:rPr>
        <w:t>Free movement of persons | Fact Sheets on the European Union | European Parliament</w:t>
      </w:r>
      <w:r w:rsidRPr="47997BE6" w:rsidR="47997BE6">
        <w:rPr>
          <w:rFonts w:ascii="Calibri" w:hAnsi="Calibri" w:eastAsia="Calibri" w:cs="Calibri"/>
          <w:b w:val="0"/>
          <w:bCs w:val="0"/>
          <w:i w:val="0"/>
          <w:iCs w:val="0"/>
          <w:caps w:val="0"/>
          <w:smallCaps w:val="0"/>
          <w:noProof w:val="0"/>
          <w:color w:val="auto"/>
          <w:sz w:val="24"/>
          <w:szCs w:val="24"/>
          <w:lang w:val="en-GB"/>
        </w:rPr>
        <w:t>. [online].</w:t>
      </w:r>
    </w:p>
    <w:p w:rsidR="47997BE6" w:rsidP="47997BE6" w:rsidRDefault="47997BE6" w14:paraId="2D081CCF" w14:textId="14092712">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The freedom to set a shop and supply services ensures that enterprises and professionals can move freely throughout the EU. The (complete) freedom to </w:t>
      </w:r>
      <w:r w:rsidRPr="47997BE6" w:rsidR="47997BE6">
        <w:rPr>
          <w:rFonts w:ascii="Calibri" w:hAnsi="Calibri" w:eastAsia="Calibri" w:cs="Calibri"/>
          <w:b w:val="0"/>
          <w:bCs w:val="0"/>
          <w:i w:val="0"/>
          <w:iCs w:val="0"/>
          <w:caps w:val="0"/>
          <w:smallCaps w:val="0"/>
          <w:noProof w:val="0"/>
          <w:color w:val="auto"/>
          <w:sz w:val="24"/>
          <w:szCs w:val="24"/>
          <w:lang w:val="en-GB"/>
        </w:rPr>
        <w:t>provide</w:t>
      </w:r>
      <w:r w:rsidRPr="47997BE6" w:rsidR="47997BE6">
        <w:rPr>
          <w:rFonts w:ascii="Calibri" w:hAnsi="Calibri" w:eastAsia="Calibri" w:cs="Calibri"/>
          <w:b w:val="0"/>
          <w:bCs w:val="0"/>
          <w:i w:val="0"/>
          <w:iCs w:val="0"/>
          <w:caps w:val="0"/>
          <w:smallCaps w:val="0"/>
          <w:noProof w:val="0"/>
          <w:color w:val="auto"/>
          <w:sz w:val="24"/>
          <w:szCs w:val="24"/>
          <w:lang w:val="en-GB"/>
        </w:rPr>
        <w:t xml:space="preserve"> services is critical for the fulfilment of the internal market, hence there are grand expectations for its full implementation. However, there are still barriers to these liberties, and the COVID-19 pandemic has posed fresh hurdles. The own-initiative report on tackling non-tariff and non-tax barriers in the single market, which is expected to be voted on in January 2022, lays out how COVID-19's economic recovery should be carried out to mitigate the negative effects on freedom of establishment and freedom to </w:t>
      </w:r>
      <w:r w:rsidRPr="47997BE6" w:rsidR="47997BE6">
        <w:rPr>
          <w:rFonts w:ascii="Calibri" w:hAnsi="Calibri" w:eastAsia="Calibri" w:cs="Calibri"/>
          <w:b w:val="0"/>
          <w:bCs w:val="0"/>
          <w:i w:val="0"/>
          <w:iCs w:val="0"/>
          <w:caps w:val="0"/>
          <w:smallCaps w:val="0"/>
          <w:noProof w:val="0"/>
          <w:color w:val="auto"/>
          <w:sz w:val="24"/>
          <w:szCs w:val="24"/>
          <w:lang w:val="en-GB"/>
        </w:rPr>
        <w:t>provide</w:t>
      </w:r>
      <w:r w:rsidRPr="47997BE6" w:rsidR="47997BE6">
        <w:rPr>
          <w:rFonts w:ascii="Calibri" w:hAnsi="Calibri" w:eastAsia="Calibri" w:cs="Calibri"/>
          <w:b w:val="0"/>
          <w:bCs w:val="0"/>
          <w:i w:val="0"/>
          <w:iCs w:val="0"/>
          <w:caps w:val="0"/>
          <w:smallCaps w:val="0"/>
          <w:noProof w:val="0"/>
          <w:color w:val="auto"/>
          <w:sz w:val="24"/>
          <w:szCs w:val="24"/>
          <w:lang w:val="en-GB"/>
        </w:rPr>
        <w:t xml:space="preserve"> services as effectively as possible. (</w:t>
      </w:r>
      <w:hyperlink r:id="R6fc837e9655941c6">
        <w:r w:rsidRPr="47997BE6" w:rsidR="47997BE6">
          <w:rPr>
            <w:rStyle w:val="Hyperlink"/>
            <w:rFonts w:ascii="Calibri" w:hAnsi="Calibri" w:eastAsia="Calibri" w:cs="Calibri"/>
            <w:b w:val="0"/>
            <w:bCs w:val="0"/>
            <w:i w:val="0"/>
            <w:iCs w:val="0"/>
            <w:caps w:val="0"/>
            <w:smallCaps w:val="0"/>
            <w:noProof w:val="0"/>
            <w:sz w:val="24"/>
            <w:szCs w:val="24"/>
            <w:lang w:val="en-GB"/>
          </w:rPr>
          <w:t>www.europarl.europa.eu</w:t>
        </w:r>
      </w:hyperlink>
      <w:r w:rsidRPr="47997BE6" w:rsidR="47997BE6">
        <w:rPr>
          <w:rFonts w:ascii="Calibri" w:hAnsi="Calibri" w:eastAsia="Calibri" w:cs="Calibri"/>
          <w:b w:val="0"/>
          <w:bCs w:val="0"/>
          <w:i w:val="0"/>
          <w:iCs w:val="0"/>
          <w:caps w:val="0"/>
          <w:smallCaps w:val="0"/>
          <w:noProof w:val="0"/>
          <w:color w:val="auto"/>
          <w:sz w:val="24"/>
          <w:szCs w:val="24"/>
          <w:lang w:val="en-GB"/>
        </w:rPr>
        <w:t xml:space="preserve">, </w:t>
      </w:r>
      <w:proofErr w:type="spellStart"/>
      <w:r w:rsidRPr="47997BE6" w:rsidR="47997BE6">
        <w:rPr>
          <w:rFonts w:ascii="Calibri" w:hAnsi="Calibri" w:eastAsia="Calibri" w:cs="Calibri"/>
          <w:b w:val="0"/>
          <w:bCs w:val="0"/>
          <w:i w:val="0"/>
          <w:iCs w:val="0"/>
          <w:caps w:val="0"/>
          <w:smallCaps w:val="0"/>
          <w:noProof w:val="0"/>
          <w:color w:val="auto"/>
          <w:sz w:val="24"/>
          <w:szCs w:val="24"/>
          <w:lang w:val="en-GB"/>
        </w:rPr>
        <w:t>n.d</w:t>
      </w:r>
      <w:proofErr w:type="spellEnd"/>
      <w:r w:rsidRPr="47997BE6" w:rsidR="47997BE6">
        <w:rPr>
          <w:rFonts w:ascii="Calibri" w:hAnsi="Calibri" w:eastAsia="Calibri" w:cs="Calibri"/>
          <w:b w:val="0"/>
          <w:bCs w:val="0"/>
          <w:i w:val="0"/>
          <w:iCs w:val="0"/>
          <w:caps w:val="0"/>
          <w:smallCaps w:val="0"/>
          <w:noProof w:val="0"/>
          <w:color w:val="auto"/>
          <w:sz w:val="24"/>
          <w:szCs w:val="24"/>
          <w:lang w:val="en-GB"/>
        </w:rPr>
        <w:t>)</w:t>
      </w:r>
      <w:r w:rsidRPr="47997BE6" w:rsidR="47997BE6">
        <w:rPr>
          <w:rFonts w:ascii="Calibri" w:hAnsi="Calibri" w:eastAsia="Calibri" w:cs="Calibri"/>
          <w:b w:val="0"/>
          <w:bCs w:val="0"/>
          <w:i w:val="0"/>
          <w:iCs w:val="0"/>
          <w:caps w:val="0"/>
          <w:smallCaps w:val="0"/>
          <w:noProof w:val="0"/>
          <w:color w:val="auto"/>
          <w:sz w:val="24"/>
          <w:szCs w:val="24"/>
          <w:lang w:val="en-GB"/>
        </w:rPr>
        <w:t xml:space="preserve"> www.europarl.europa.eu. (n.d.). </w:t>
      </w:r>
      <w:r w:rsidRPr="47997BE6" w:rsidR="47997BE6">
        <w:rPr>
          <w:rFonts w:ascii="Calibri" w:hAnsi="Calibri" w:eastAsia="Calibri" w:cs="Calibri"/>
          <w:b w:val="0"/>
          <w:bCs w:val="0"/>
          <w:i w:val="1"/>
          <w:iCs w:val="1"/>
          <w:caps w:val="0"/>
          <w:smallCaps w:val="0"/>
          <w:noProof w:val="0"/>
          <w:color w:val="auto"/>
          <w:sz w:val="24"/>
          <w:szCs w:val="24"/>
          <w:lang w:val="en-GB"/>
        </w:rPr>
        <w:t>Freedom of establishment and freedom t</w:t>
      </w:r>
      <w:r w:rsidRPr="47997BE6" w:rsidR="47997BE6">
        <w:rPr>
          <w:rFonts w:ascii="Calibri" w:hAnsi="Calibri" w:eastAsia="Calibri" w:cs="Calibri"/>
          <w:b w:val="0"/>
          <w:bCs w:val="0"/>
          <w:i w:val="1"/>
          <w:iCs w:val="1"/>
          <w:caps w:val="0"/>
          <w:smallCaps w:val="0"/>
          <w:noProof w:val="0"/>
          <w:color w:val="auto"/>
          <w:sz w:val="24"/>
          <w:szCs w:val="24"/>
          <w:lang w:val="en-GB"/>
        </w:rPr>
        <w:t xml:space="preserve">o </w:t>
      </w:r>
      <w:r w:rsidRPr="47997BE6" w:rsidR="47997BE6">
        <w:rPr>
          <w:rFonts w:ascii="Calibri" w:hAnsi="Calibri" w:eastAsia="Calibri" w:cs="Calibri"/>
          <w:b w:val="0"/>
          <w:bCs w:val="0"/>
          <w:i w:val="1"/>
          <w:iCs w:val="1"/>
          <w:caps w:val="0"/>
          <w:smallCaps w:val="0"/>
          <w:noProof w:val="0"/>
          <w:color w:val="auto"/>
          <w:sz w:val="24"/>
          <w:szCs w:val="24"/>
          <w:lang w:val="en-GB"/>
        </w:rPr>
        <w:t>provi</w:t>
      </w:r>
      <w:r w:rsidRPr="47997BE6" w:rsidR="47997BE6">
        <w:rPr>
          <w:rFonts w:ascii="Calibri" w:hAnsi="Calibri" w:eastAsia="Calibri" w:cs="Calibri"/>
          <w:b w:val="0"/>
          <w:bCs w:val="0"/>
          <w:i w:val="1"/>
          <w:iCs w:val="1"/>
          <w:caps w:val="0"/>
          <w:smallCaps w:val="0"/>
          <w:noProof w:val="0"/>
          <w:color w:val="auto"/>
          <w:sz w:val="24"/>
          <w:szCs w:val="24"/>
          <w:lang w:val="en-GB"/>
        </w:rPr>
        <w:t>de</w:t>
      </w:r>
      <w:r w:rsidRPr="47997BE6" w:rsidR="47997BE6">
        <w:rPr>
          <w:rFonts w:ascii="Calibri" w:hAnsi="Calibri" w:eastAsia="Calibri" w:cs="Calibri"/>
          <w:b w:val="0"/>
          <w:bCs w:val="0"/>
          <w:i w:val="1"/>
          <w:iCs w:val="1"/>
          <w:caps w:val="0"/>
          <w:smallCaps w:val="0"/>
          <w:noProof w:val="0"/>
          <w:color w:val="auto"/>
          <w:sz w:val="24"/>
          <w:szCs w:val="24"/>
          <w:lang w:val="en-GB"/>
        </w:rPr>
        <w:t xml:space="preserve"> services | Fact Sheets on the European Union | European Parliament</w:t>
      </w:r>
      <w:r w:rsidRPr="47997BE6" w:rsidR="47997BE6">
        <w:rPr>
          <w:rFonts w:ascii="Calibri" w:hAnsi="Calibri" w:eastAsia="Calibri" w:cs="Calibri"/>
          <w:b w:val="0"/>
          <w:bCs w:val="0"/>
          <w:i w:val="0"/>
          <w:iCs w:val="0"/>
          <w:caps w:val="0"/>
          <w:smallCaps w:val="0"/>
          <w:noProof w:val="0"/>
          <w:color w:val="auto"/>
          <w:sz w:val="24"/>
          <w:szCs w:val="24"/>
          <w:lang w:val="en-GB"/>
        </w:rPr>
        <w:t xml:space="preserve">. [online] </w:t>
      </w:r>
    </w:p>
    <w:p w:rsidR="47997BE6" w:rsidP="47997BE6" w:rsidRDefault="47997BE6" w14:paraId="2AC70FD9" w14:textId="05CD46C7">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The Treaties of the European Union, the Charter of Fundamental Rights of the European Union, and secondary law all emphasise gender equality and non-discrimination. Inequalities between men and women must be eliminated, and discrimination based on sex, racial or ethnic origin, religion or belief, handicap, age, or sexual orientation must be combated in all Union operations. The Charter bans discrimination on any basis and is intended to EU institutions, bodies, offices, and agencies, as well as Member States when enforcing Union law. (</w:t>
      </w:r>
      <w:r w:rsidRPr="47997BE6" w:rsidR="47997BE6">
        <w:rPr>
          <w:rFonts w:ascii="Calibri" w:hAnsi="Calibri" w:eastAsia="Calibri" w:cs="Calibri"/>
          <w:b w:val="0"/>
          <w:bCs w:val="0"/>
          <w:i w:val="0"/>
          <w:iCs w:val="0"/>
          <w:caps w:val="0"/>
          <w:smallCaps w:val="0"/>
          <w:noProof w:val="0"/>
          <w:color w:val="auto"/>
          <w:sz w:val="24"/>
          <w:szCs w:val="24"/>
          <w:lang w:val="en-GB"/>
        </w:rPr>
        <w:t>equalitylaw.eu, n.d.)</w:t>
      </w:r>
      <w:r w:rsidRPr="47997BE6" w:rsidR="47997BE6">
        <w:rPr>
          <w:rFonts w:ascii="Calibri" w:hAnsi="Calibri" w:eastAsia="Calibri" w:cs="Calibri"/>
          <w:b w:val="0"/>
          <w:bCs w:val="0"/>
          <w:i w:val="0"/>
          <w:iCs w:val="0"/>
          <w:caps w:val="0"/>
          <w:smallCaps w:val="0"/>
          <w:noProof w:val="0"/>
          <w:color w:val="auto"/>
          <w:sz w:val="24"/>
          <w:szCs w:val="24"/>
          <w:lang w:val="en-GB"/>
        </w:rPr>
        <w:t xml:space="preserve"> </w:t>
      </w:r>
      <w:r w:rsidRPr="47997BE6" w:rsidR="47997BE6">
        <w:rPr>
          <w:rFonts w:ascii="Calibri" w:hAnsi="Calibri" w:eastAsia="Calibri" w:cs="Calibri"/>
          <w:b w:val="0"/>
          <w:bCs w:val="0"/>
          <w:i w:val="0"/>
          <w:iCs w:val="0"/>
          <w:caps w:val="0"/>
          <w:smallCaps w:val="0"/>
          <w:noProof w:val="0"/>
          <w:color w:val="auto"/>
          <w:sz w:val="24"/>
          <w:szCs w:val="24"/>
          <w:lang w:val="en-GB"/>
        </w:rPr>
        <w:t xml:space="preserve">www.equalitylaw.eu. (n.d.). </w:t>
      </w:r>
      <w:r w:rsidRPr="47997BE6" w:rsidR="47997BE6">
        <w:rPr>
          <w:rFonts w:ascii="Calibri" w:hAnsi="Calibri" w:eastAsia="Calibri" w:cs="Calibri"/>
          <w:b w:val="0"/>
          <w:bCs w:val="0"/>
          <w:i w:val="1"/>
          <w:iCs w:val="1"/>
          <w:caps w:val="0"/>
          <w:smallCaps w:val="0"/>
          <w:noProof w:val="0"/>
          <w:color w:val="auto"/>
          <w:sz w:val="24"/>
          <w:szCs w:val="24"/>
          <w:lang w:val="en-GB"/>
        </w:rPr>
        <w:t>Introduction - European Equality Law Network</w:t>
      </w:r>
      <w:r w:rsidRPr="47997BE6" w:rsidR="47997BE6">
        <w:rPr>
          <w:rFonts w:ascii="Calibri" w:hAnsi="Calibri" w:eastAsia="Calibri" w:cs="Calibri"/>
          <w:b w:val="0"/>
          <w:bCs w:val="0"/>
          <w:i w:val="0"/>
          <w:iCs w:val="0"/>
          <w:caps w:val="0"/>
          <w:smallCaps w:val="0"/>
          <w:noProof w:val="0"/>
          <w:color w:val="auto"/>
          <w:sz w:val="24"/>
          <w:szCs w:val="24"/>
          <w:lang w:val="en-GB"/>
        </w:rPr>
        <w:t>. [online]</w:t>
      </w:r>
    </w:p>
    <w:p w:rsidR="47997BE6" w:rsidP="47997BE6" w:rsidRDefault="47997BE6" w14:paraId="573BF32D" w14:textId="1B98B797">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Along with the principle of priority, the direct effect of European law is a fundamental principle of European law. It was </w:t>
      </w:r>
      <w:r w:rsidRPr="47997BE6" w:rsidR="47997BE6">
        <w:rPr>
          <w:rFonts w:ascii="Calibri" w:hAnsi="Calibri" w:eastAsia="Calibri" w:cs="Calibri"/>
          <w:b w:val="0"/>
          <w:bCs w:val="0"/>
          <w:i w:val="0"/>
          <w:iCs w:val="0"/>
          <w:caps w:val="0"/>
          <w:smallCaps w:val="0"/>
          <w:noProof w:val="0"/>
          <w:color w:val="auto"/>
          <w:sz w:val="24"/>
          <w:szCs w:val="24"/>
          <w:lang w:val="en-GB"/>
        </w:rPr>
        <w:t>established</w:t>
      </w:r>
      <w:r w:rsidRPr="47997BE6" w:rsidR="47997BE6">
        <w:rPr>
          <w:rFonts w:ascii="Calibri" w:hAnsi="Calibri" w:eastAsia="Calibri" w:cs="Calibri"/>
          <w:b w:val="0"/>
          <w:bCs w:val="0"/>
          <w:i w:val="0"/>
          <w:iCs w:val="0"/>
          <w:caps w:val="0"/>
          <w:smallCaps w:val="0"/>
          <w:noProof w:val="0"/>
          <w:color w:val="auto"/>
          <w:sz w:val="24"/>
          <w:szCs w:val="24"/>
          <w:lang w:val="en-GB"/>
        </w:rPr>
        <w:t xml:space="preserve"> by the European Union's Court of Justice (CJEU (Court of Justice of the European Union)). It allows persons to utilise European law in court right away, regardless of whether a national law test exists. As a result, the direct effect principle assures that European law is applied and effective in the Member States. The CJEU, on the other hand, </w:t>
      </w:r>
      <w:r w:rsidRPr="47997BE6" w:rsidR="47997BE6">
        <w:rPr>
          <w:rFonts w:ascii="Calibri" w:hAnsi="Calibri" w:eastAsia="Calibri" w:cs="Calibri"/>
          <w:b w:val="0"/>
          <w:bCs w:val="0"/>
          <w:i w:val="0"/>
          <w:iCs w:val="0"/>
          <w:caps w:val="0"/>
          <w:smallCaps w:val="0"/>
          <w:noProof w:val="0"/>
          <w:color w:val="auto"/>
          <w:sz w:val="24"/>
          <w:szCs w:val="24"/>
          <w:lang w:val="en-GB"/>
        </w:rPr>
        <w:t>established</w:t>
      </w:r>
      <w:r w:rsidRPr="47997BE6" w:rsidR="47997BE6">
        <w:rPr>
          <w:rFonts w:ascii="Calibri" w:hAnsi="Calibri" w:eastAsia="Calibri" w:cs="Calibri"/>
          <w:b w:val="0"/>
          <w:bCs w:val="0"/>
          <w:i w:val="0"/>
          <w:iCs w:val="0"/>
          <w:caps w:val="0"/>
          <w:smallCaps w:val="0"/>
          <w:noProof w:val="0"/>
          <w:color w:val="auto"/>
          <w:sz w:val="24"/>
          <w:szCs w:val="24"/>
          <w:lang w:val="en-GB"/>
        </w:rPr>
        <w:t xml:space="preserve"> </w:t>
      </w:r>
      <w:r w:rsidRPr="47997BE6" w:rsidR="47997BE6">
        <w:rPr>
          <w:rFonts w:ascii="Calibri" w:hAnsi="Calibri" w:eastAsia="Calibri" w:cs="Calibri"/>
          <w:b w:val="0"/>
          <w:bCs w:val="0"/>
          <w:i w:val="0"/>
          <w:iCs w:val="0"/>
          <w:caps w:val="0"/>
          <w:smallCaps w:val="0"/>
          <w:noProof w:val="0"/>
          <w:color w:val="auto"/>
          <w:sz w:val="24"/>
          <w:szCs w:val="24"/>
          <w:lang w:val="en-GB"/>
        </w:rPr>
        <w:t>numerous</w:t>
      </w:r>
      <w:r w:rsidRPr="47997BE6" w:rsidR="47997BE6">
        <w:rPr>
          <w:rFonts w:ascii="Calibri" w:hAnsi="Calibri" w:eastAsia="Calibri" w:cs="Calibri"/>
          <w:b w:val="0"/>
          <w:bCs w:val="0"/>
          <w:i w:val="0"/>
          <w:iCs w:val="0"/>
          <w:caps w:val="0"/>
          <w:smallCaps w:val="0"/>
          <w:noProof w:val="0"/>
          <w:color w:val="auto"/>
          <w:sz w:val="24"/>
          <w:szCs w:val="24"/>
          <w:lang w:val="en-GB"/>
        </w:rPr>
        <w:t xml:space="preserve"> requirements for a European legal act to be </w:t>
      </w:r>
      <w:r w:rsidRPr="47997BE6" w:rsidR="47997BE6">
        <w:rPr>
          <w:rFonts w:ascii="Calibri" w:hAnsi="Calibri" w:eastAsia="Calibri" w:cs="Calibri"/>
          <w:b w:val="0"/>
          <w:bCs w:val="0"/>
          <w:i w:val="0"/>
          <w:iCs w:val="0"/>
          <w:caps w:val="0"/>
          <w:smallCaps w:val="0"/>
          <w:noProof w:val="0"/>
          <w:color w:val="auto"/>
          <w:sz w:val="24"/>
          <w:szCs w:val="24"/>
          <w:lang w:val="en-GB"/>
        </w:rPr>
        <w:t>immediately</w:t>
      </w:r>
      <w:r w:rsidRPr="47997BE6" w:rsidR="47997BE6">
        <w:rPr>
          <w:rFonts w:ascii="Calibri" w:hAnsi="Calibri" w:eastAsia="Calibri" w:cs="Calibri"/>
          <w:b w:val="0"/>
          <w:bCs w:val="0"/>
          <w:i w:val="0"/>
          <w:iCs w:val="0"/>
          <w:caps w:val="0"/>
          <w:smallCaps w:val="0"/>
          <w:noProof w:val="0"/>
          <w:color w:val="auto"/>
          <w:sz w:val="24"/>
          <w:szCs w:val="24"/>
          <w:lang w:val="en-GB"/>
        </w:rPr>
        <w:t xml:space="preserve"> applicable. Furthermore, the direct effect may be limited to relationships between persons or expanded to relationships between individuals. In the Van Gend en Loos decision of February 5, 1963, the Court of Justice </w:t>
      </w:r>
      <w:r w:rsidRPr="47997BE6" w:rsidR="47997BE6">
        <w:rPr>
          <w:rFonts w:ascii="Calibri" w:hAnsi="Calibri" w:eastAsia="Calibri" w:cs="Calibri"/>
          <w:b w:val="0"/>
          <w:bCs w:val="0"/>
          <w:i w:val="0"/>
          <w:iCs w:val="0"/>
          <w:caps w:val="0"/>
          <w:smallCaps w:val="0"/>
          <w:noProof w:val="0"/>
          <w:color w:val="auto"/>
          <w:sz w:val="24"/>
          <w:szCs w:val="24"/>
          <w:lang w:val="en-GB"/>
        </w:rPr>
        <w:t>established</w:t>
      </w:r>
      <w:r w:rsidRPr="47997BE6" w:rsidR="47997BE6">
        <w:rPr>
          <w:rFonts w:ascii="Calibri" w:hAnsi="Calibri" w:eastAsia="Calibri" w:cs="Calibri"/>
          <w:b w:val="0"/>
          <w:bCs w:val="0"/>
          <w:i w:val="0"/>
          <w:iCs w:val="0"/>
          <w:caps w:val="0"/>
          <w:smallCaps w:val="0"/>
          <w:noProof w:val="0"/>
          <w:color w:val="auto"/>
          <w:sz w:val="24"/>
          <w:szCs w:val="24"/>
          <w:lang w:val="en-GB"/>
        </w:rPr>
        <w:t xml:space="preserve"> the immediate impact of European law. The Court declares in this decision that European law imposes obligations on Member States as well as rights on people. Individuals can so directly invoke European acts in national and European courts. The Member State does not, however, must incorporate the relevant European statute into its domestic legal system. The directive is a piece of legislation that must be incorporated into national legislation by the member states. In other circumstances, however, the Court of Justice recognises the direct effect of instructions to preserve individual rights. As a result, the Court held that a directive has direct effect where its contents are unconditional and sufficiently plain and unambiguous. (</w:t>
      </w:r>
      <w:r w:rsidRPr="47997BE6" w:rsidR="47997BE6">
        <w:rPr>
          <w:rFonts w:ascii="Calibri" w:hAnsi="Calibri" w:eastAsia="Calibri" w:cs="Calibri"/>
          <w:b w:val="0"/>
          <w:bCs w:val="0"/>
          <w:i w:val="0"/>
          <w:iCs w:val="0"/>
          <w:caps w:val="0"/>
          <w:smallCaps w:val="0"/>
          <w:noProof w:val="0"/>
          <w:color w:val="auto"/>
          <w:sz w:val="24"/>
          <w:szCs w:val="24"/>
          <w:lang w:val="en-GB"/>
        </w:rPr>
        <w:t>Sussex, M, n.d.)</w:t>
      </w:r>
      <w:r w:rsidRPr="47997BE6" w:rsidR="47997BE6">
        <w:rPr>
          <w:rFonts w:ascii="Calibri" w:hAnsi="Calibri" w:eastAsia="Calibri" w:cs="Calibri"/>
          <w:b w:val="0"/>
          <w:bCs w:val="0"/>
          <w:i w:val="0"/>
          <w:iCs w:val="0"/>
          <w:caps w:val="0"/>
          <w:smallCaps w:val="0"/>
          <w:noProof w:val="0"/>
          <w:color w:val="auto"/>
          <w:sz w:val="24"/>
          <w:szCs w:val="24"/>
          <w:lang w:val="en-GB"/>
        </w:rPr>
        <w:t xml:space="preserve"> </w:t>
      </w:r>
      <w:r w:rsidRPr="47997BE6" w:rsidR="47997BE6">
        <w:rPr>
          <w:rFonts w:ascii="Calibri" w:hAnsi="Calibri" w:eastAsia="Calibri" w:cs="Calibri"/>
          <w:b w:val="0"/>
          <w:bCs w:val="0"/>
          <w:i w:val="0"/>
          <w:iCs w:val="0"/>
          <w:caps w:val="0"/>
          <w:smallCaps w:val="0"/>
          <w:noProof w:val="0"/>
          <w:color w:val="auto"/>
          <w:sz w:val="24"/>
          <w:szCs w:val="24"/>
          <w:lang w:val="en-GB"/>
        </w:rPr>
        <w:t xml:space="preserve">Sussex, M. (n.d.). </w:t>
      </w:r>
      <w:r w:rsidRPr="47997BE6" w:rsidR="47997BE6">
        <w:rPr>
          <w:rFonts w:ascii="Calibri" w:hAnsi="Calibri" w:eastAsia="Calibri" w:cs="Calibri"/>
          <w:b w:val="0"/>
          <w:bCs w:val="0"/>
          <w:i w:val="1"/>
          <w:iCs w:val="1"/>
          <w:caps w:val="0"/>
          <w:smallCaps w:val="0"/>
          <w:noProof w:val="0"/>
          <w:color w:val="auto"/>
          <w:sz w:val="24"/>
          <w:szCs w:val="24"/>
          <w:lang w:val="en-GB"/>
        </w:rPr>
        <w:t xml:space="preserve">The direct effect of European law | European Union regulations | European </w:t>
      </w:r>
      <w:r w:rsidRPr="47997BE6" w:rsidR="47997BE6">
        <w:rPr>
          <w:rFonts w:ascii="Calibri" w:hAnsi="Calibri" w:eastAsia="Calibri" w:cs="Calibri"/>
          <w:b w:val="0"/>
          <w:bCs w:val="0"/>
          <w:i w:val="1"/>
          <w:iCs w:val="1"/>
          <w:caps w:val="0"/>
          <w:smallCaps w:val="0"/>
          <w:noProof w:val="0"/>
          <w:color w:val="auto"/>
          <w:sz w:val="24"/>
          <w:szCs w:val="24"/>
          <w:lang w:val="en-GB"/>
        </w:rPr>
        <w:t>Encyclopaedia</w:t>
      </w:r>
      <w:r w:rsidRPr="47997BE6" w:rsidR="47997BE6">
        <w:rPr>
          <w:rFonts w:ascii="Calibri" w:hAnsi="Calibri" w:eastAsia="Calibri" w:cs="Calibri"/>
          <w:b w:val="0"/>
          <w:bCs w:val="0"/>
          <w:i w:val="1"/>
          <w:iCs w:val="1"/>
          <w:caps w:val="0"/>
          <w:smallCaps w:val="0"/>
          <w:noProof w:val="0"/>
          <w:color w:val="auto"/>
          <w:sz w:val="24"/>
          <w:szCs w:val="24"/>
          <w:lang w:val="en-GB"/>
        </w:rPr>
        <w:t xml:space="preserve"> of law</w:t>
      </w:r>
      <w:r w:rsidRPr="47997BE6" w:rsidR="47997BE6">
        <w:rPr>
          <w:rFonts w:ascii="Calibri" w:hAnsi="Calibri" w:eastAsia="Calibri" w:cs="Calibri"/>
          <w:b w:val="0"/>
          <w:bCs w:val="0"/>
          <w:i w:val="0"/>
          <w:iCs w:val="0"/>
          <w:caps w:val="0"/>
          <w:smallCaps w:val="0"/>
          <w:noProof w:val="0"/>
          <w:color w:val="auto"/>
          <w:sz w:val="24"/>
          <w:szCs w:val="24"/>
          <w:lang w:val="en-GB"/>
        </w:rPr>
        <w:t>. [online]</w:t>
      </w:r>
    </w:p>
    <w:p w:rsidR="47997BE6" w:rsidP="47997BE6" w:rsidRDefault="47997BE6" w14:paraId="6B8808A9" w14:textId="3B50123C">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When a provision of EU law cannot be relied upon by an individual in a national court, the principle </w:t>
      </w:r>
      <w:r w:rsidRPr="47997BE6" w:rsidR="47997BE6">
        <w:rPr>
          <w:rFonts w:ascii="Calibri" w:hAnsi="Calibri" w:eastAsia="Calibri" w:cs="Calibri"/>
          <w:b w:val="0"/>
          <w:bCs w:val="0"/>
          <w:i w:val="0"/>
          <w:iCs w:val="0"/>
          <w:caps w:val="0"/>
          <w:smallCaps w:val="0"/>
          <w:noProof w:val="0"/>
          <w:color w:val="auto"/>
          <w:sz w:val="24"/>
          <w:szCs w:val="24"/>
          <w:lang w:val="en-GB"/>
        </w:rPr>
        <w:t>stating</w:t>
      </w:r>
      <w:r w:rsidRPr="47997BE6" w:rsidR="47997BE6">
        <w:rPr>
          <w:rFonts w:ascii="Calibri" w:hAnsi="Calibri" w:eastAsia="Calibri" w:cs="Calibri"/>
          <w:b w:val="0"/>
          <w:bCs w:val="0"/>
          <w:i w:val="0"/>
          <w:iCs w:val="0"/>
          <w:caps w:val="0"/>
          <w:smallCaps w:val="0"/>
          <w:noProof w:val="0"/>
          <w:color w:val="auto"/>
          <w:sz w:val="24"/>
          <w:szCs w:val="24"/>
          <w:lang w:val="en-GB"/>
        </w:rPr>
        <w:t xml:space="preserve"> that national law must be read consistently with EU law can be relied upon instead. The EU law has an indirect impact on how national laws are interpreted. Because national law interpretations </w:t>
      </w:r>
      <w:r w:rsidRPr="47997BE6" w:rsidR="47997BE6">
        <w:rPr>
          <w:rFonts w:ascii="Calibri" w:hAnsi="Calibri" w:eastAsia="Calibri" w:cs="Calibri"/>
          <w:b w:val="0"/>
          <w:bCs w:val="0"/>
          <w:i w:val="0"/>
          <w:iCs w:val="0"/>
          <w:caps w:val="0"/>
          <w:smallCaps w:val="0"/>
          <w:noProof w:val="0"/>
          <w:color w:val="auto"/>
          <w:sz w:val="24"/>
          <w:szCs w:val="24"/>
          <w:lang w:val="en-GB"/>
        </w:rPr>
        <w:t>complying with</w:t>
      </w:r>
      <w:r w:rsidRPr="47997BE6" w:rsidR="47997BE6">
        <w:rPr>
          <w:rFonts w:ascii="Calibri" w:hAnsi="Calibri" w:eastAsia="Calibri" w:cs="Calibri"/>
          <w:b w:val="0"/>
          <w:bCs w:val="0"/>
          <w:i w:val="0"/>
          <w:iCs w:val="0"/>
          <w:caps w:val="0"/>
          <w:smallCaps w:val="0"/>
          <w:noProof w:val="0"/>
          <w:color w:val="auto"/>
          <w:sz w:val="24"/>
          <w:szCs w:val="24"/>
          <w:lang w:val="en-GB"/>
        </w:rPr>
        <w:t xml:space="preserve"> EU law take precedence over interpretations that are not consistent with EU law, the principle of indirect effect has been described as a "practical expression of EU law sovereignty." (S</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imple Studying, 2019)</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Simple Studying. (2019). </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Case 26/62, Van Gend en Loos v </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Nederlandse</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Administratie</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der </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Belastingen</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(1963) ECR 1</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(“Case 26/62, Van Gend en Loos v Nederlandse Administratie ...”) [online] (</w:t>
      </w:r>
      <w:r w:rsidRPr="47997BE6" w:rsidR="47997BE6">
        <w:rPr>
          <w:rFonts w:ascii="Calibri" w:hAnsi="Calibri" w:eastAsia="Calibri" w:cs="Calibri"/>
          <w:b w:val="0"/>
          <w:bCs w:val="0"/>
          <w:i w:val="0"/>
          <w:iCs w:val="0"/>
          <w:caps w:val="0"/>
          <w:smallCaps w:val="0"/>
          <w:noProof w:val="0"/>
          <w:color w:val="auto"/>
          <w:sz w:val="24"/>
          <w:szCs w:val="24"/>
          <w:lang w:val="en-GB"/>
        </w:rPr>
        <w:t>Ask an Academic, 2018)</w:t>
      </w:r>
      <w:r w:rsidRPr="47997BE6" w:rsidR="47997BE6">
        <w:rPr>
          <w:rFonts w:ascii="Calibri" w:hAnsi="Calibri" w:eastAsia="Calibri" w:cs="Calibri"/>
          <w:b w:val="0"/>
          <w:bCs w:val="0"/>
          <w:i w:val="0"/>
          <w:iCs w:val="0"/>
          <w:caps w:val="0"/>
          <w:smallCaps w:val="0"/>
          <w:noProof w:val="0"/>
          <w:color w:val="auto"/>
          <w:sz w:val="24"/>
          <w:szCs w:val="24"/>
          <w:lang w:val="en-GB"/>
        </w:rPr>
        <w:t xml:space="preserve"> </w:t>
      </w:r>
      <w:r w:rsidRPr="47997BE6" w:rsidR="47997BE6">
        <w:rPr>
          <w:rFonts w:ascii="Calibri" w:hAnsi="Calibri" w:eastAsia="Calibri" w:cs="Calibri"/>
          <w:b w:val="0"/>
          <w:bCs w:val="0"/>
          <w:i w:val="0"/>
          <w:iCs w:val="0"/>
          <w:caps w:val="0"/>
          <w:smallCaps w:val="0"/>
          <w:noProof w:val="0"/>
          <w:color w:val="auto"/>
          <w:sz w:val="24"/>
          <w:szCs w:val="24"/>
          <w:lang w:val="en-GB"/>
        </w:rPr>
        <w:t xml:space="preserve">Ask an Academic. (2018). </w:t>
      </w:r>
      <w:r w:rsidRPr="47997BE6" w:rsidR="47997BE6">
        <w:rPr>
          <w:rFonts w:ascii="Calibri" w:hAnsi="Calibri" w:eastAsia="Calibri" w:cs="Calibri"/>
          <w:b w:val="0"/>
          <w:bCs w:val="0"/>
          <w:i w:val="1"/>
          <w:iCs w:val="1"/>
          <w:caps w:val="0"/>
          <w:smallCaps w:val="0"/>
          <w:noProof w:val="0"/>
          <w:color w:val="auto"/>
          <w:sz w:val="24"/>
          <w:szCs w:val="24"/>
          <w:lang w:val="en-GB"/>
        </w:rPr>
        <w:t>The difference between Direct and Indirect Effect</w:t>
      </w:r>
      <w:r w:rsidRPr="47997BE6" w:rsidR="47997BE6">
        <w:rPr>
          <w:rFonts w:ascii="Calibri" w:hAnsi="Calibri" w:eastAsia="Calibri" w:cs="Calibri"/>
          <w:b w:val="0"/>
          <w:bCs w:val="0"/>
          <w:i w:val="0"/>
          <w:iCs w:val="0"/>
          <w:caps w:val="0"/>
          <w:smallCaps w:val="0"/>
          <w:noProof w:val="0"/>
          <w:color w:val="auto"/>
          <w:sz w:val="24"/>
          <w:szCs w:val="24"/>
          <w:lang w:val="en-GB"/>
        </w:rPr>
        <w:t>. [online]</w:t>
      </w:r>
    </w:p>
    <w:p w:rsidR="47997BE6" w:rsidP="47997BE6" w:rsidRDefault="47997BE6" w14:paraId="37938C31" w14:textId="75C4941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Claimants in the case 14/83 Von Colson [1984] ECR 1891 were women who applied for work in German prisons but were turned down due to their gender. The plaintiffs requested a specific remedy for an interview appointment but were merely given reimbursement for their travel fees to the interview. They </w:t>
      </w:r>
      <w:r w:rsidRPr="47997BE6" w:rsidR="47997BE6">
        <w:rPr>
          <w:rFonts w:ascii="Calibri" w:hAnsi="Calibri" w:eastAsia="Calibri" w:cs="Calibri"/>
          <w:b w:val="0"/>
          <w:bCs w:val="0"/>
          <w:i w:val="0"/>
          <w:iCs w:val="0"/>
          <w:caps w:val="0"/>
          <w:smallCaps w:val="0"/>
          <w:noProof w:val="0"/>
          <w:color w:val="auto"/>
          <w:sz w:val="24"/>
          <w:szCs w:val="24"/>
          <w:lang w:val="en-GB"/>
        </w:rPr>
        <w:t>attempted</w:t>
      </w:r>
      <w:r w:rsidRPr="47997BE6" w:rsidR="47997BE6">
        <w:rPr>
          <w:rFonts w:ascii="Calibri" w:hAnsi="Calibri" w:eastAsia="Calibri" w:cs="Calibri"/>
          <w:b w:val="0"/>
          <w:bCs w:val="0"/>
          <w:i w:val="0"/>
          <w:iCs w:val="0"/>
          <w:caps w:val="0"/>
          <w:smallCaps w:val="0"/>
          <w:noProof w:val="0"/>
          <w:color w:val="auto"/>
          <w:sz w:val="24"/>
          <w:szCs w:val="24"/>
          <w:lang w:val="en-GB"/>
        </w:rPr>
        <w:t xml:space="preserve"> to use the Equal Treatment Directive (N0 76/207/EEC), which stipulated that a judicial remedy be given. (Chen, W, 2021) </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Chen, W. (2021). </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Case 14/83 Von Colson [1984] ECR 1891 - Case Summary</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47997BE6" w:rsidP="47997BE6" w:rsidRDefault="47997BE6" w14:paraId="40E61C14" w14:textId="47599A97">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The European Court of Justice (ECJ) has </w:t>
      </w:r>
      <w:r w:rsidRPr="47997BE6" w:rsidR="47997BE6">
        <w:rPr>
          <w:rFonts w:ascii="Calibri" w:hAnsi="Calibri" w:eastAsia="Calibri" w:cs="Calibri"/>
          <w:b w:val="0"/>
          <w:bCs w:val="0"/>
          <w:i w:val="0"/>
          <w:iCs w:val="0"/>
          <w:caps w:val="0"/>
          <w:smallCaps w:val="0"/>
          <w:noProof w:val="0"/>
          <w:color w:val="auto"/>
          <w:sz w:val="24"/>
          <w:szCs w:val="24"/>
          <w:lang w:val="en-GB"/>
        </w:rPr>
        <w:t>established</w:t>
      </w:r>
      <w:r w:rsidRPr="47997BE6" w:rsidR="47997BE6">
        <w:rPr>
          <w:rFonts w:ascii="Calibri" w:hAnsi="Calibri" w:eastAsia="Calibri" w:cs="Calibri"/>
          <w:b w:val="0"/>
          <w:bCs w:val="0"/>
          <w:i w:val="0"/>
          <w:iCs w:val="0"/>
          <w:caps w:val="0"/>
          <w:smallCaps w:val="0"/>
          <w:noProof w:val="0"/>
          <w:color w:val="auto"/>
          <w:sz w:val="24"/>
          <w:szCs w:val="24"/>
          <w:lang w:val="en-GB"/>
        </w:rPr>
        <w:t xml:space="preserve"> a broad principle of state accountability for EU law violations. The fact that EU Member States </w:t>
      </w:r>
      <w:r w:rsidRPr="47997BE6" w:rsidR="47997BE6">
        <w:rPr>
          <w:rFonts w:ascii="Calibri" w:hAnsi="Calibri" w:eastAsia="Calibri" w:cs="Calibri"/>
          <w:b w:val="0"/>
          <w:bCs w:val="0"/>
          <w:i w:val="0"/>
          <w:iCs w:val="0"/>
          <w:caps w:val="0"/>
          <w:smallCaps w:val="0"/>
          <w:noProof w:val="0"/>
          <w:color w:val="auto"/>
          <w:sz w:val="24"/>
          <w:szCs w:val="24"/>
          <w:lang w:val="en-GB"/>
        </w:rPr>
        <w:t>are responsible for</w:t>
      </w:r>
      <w:r w:rsidRPr="47997BE6" w:rsidR="47997BE6">
        <w:rPr>
          <w:rFonts w:ascii="Calibri" w:hAnsi="Calibri" w:eastAsia="Calibri" w:cs="Calibri"/>
          <w:b w:val="0"/>
          <w:bCs w:val="0"/>
          <w:i w:val="0"/>
          <w:iCs w:val="0"/>
          <w:caps w:val="0"/>
          <w:smallCaps w:val="0"/>
          <w:noProof w:val="0"/>
          <w:color w:val="auto"/>
          <w:sz w:val="24"/>
          <w:szCs w:val="24"/>
          <w:lang w:val="en-GB"/>
        </w:rPr>
        <w:t xml:space="preserve"> the creation, implementation, and enforcement of EU law results in state liability. State liability for violations of EU law's rights granted to persons, especially in the sectors of employment and industrial relations, is enforced by the Member States' national courts. Many EU rights are enforced under the notion of direct impact of directives: the state and its emanations are accountable, even if responsibility for non-implementation of the EU directive lies with other State organs. The ECJ's emphasis on the state's exclusive vertical obligation (vertical direct impact) limits directives' influence, preventing directives from being implemented against private individuals (horizontal direct effect), even though EU law imposes responsibilities on these individuals. (Eurofound, n.d) </w:t>
      </w:r>
      <w:r w:rsidRPr="47997BE6" w:rsidR="47997BE6">
        <w:rPr>
          <w:rFonts w:ascii="Calibri" w:hAnsi="Calibri" w:eastAsia="Calibri" w:cs="Calibri"/>
          <w:b w:val="0"/>
          <w:bCs w:val="0"/>
          <w:i w:val="0"/>
          <w:iCs w:val="0"/>
          <w:caps w:val="0"/>
          <w:smallCaps w:val="0"/>
          <w:noProof w:val="0"/>
          <w:color w:val="auto"/>
          <w:sz w:val="24"/>
          <w:szCs w:val="24"/>
          <w:lang w:val="en-GB"/>
        </w:rPr>
        <w:t>Eurofound</w:t>
      </w:r>
      <w:r w:rsidRPr="47997BE6" w:rsidR="47997BE6">
        <w:rPr>
          <w:rFonts w:ascii="Calibri" w:hAnsi="Calibri" w:eastAsia="Calibri" w:cs="Calibri"/>
          <w:b w:val="0"/>
          <w:bCs w:val="0"/>
          <w:i w:val="0"/>
          <w:iCs w:val="0"/>
          <w:caps w:val="0"/>
          <w:smallCaps w:val="0"/>
          <w:noProof w:val="0"/>
          <w:color w:val="auto"/>
          <w:sz w:val="24"/>
          <w:szCs w:val="24"/>
          <w:lang w:val="en-GB"/>
        </w:rPr>
        <w:t xml:space="preserve">. (n.d.). </w:t>
      </w:r>
      <w:r w:rsidRPr="47997BE6" w:rsidR="47997BE6">
        <w:rPr>
          <w:rFonts w:ascii="Calibri" w:hAnsi="Calibri" w:eastAsia="Calibri" w:cs="Calibri"/>
          <w:b w:val="0"/>
          <w:bCs w:val="0"/>
          <w:i w:val="1"/>
          <w:iCs w:val="1"/>
          <w:caps w:val="0"/>
          <w:smallCaps w:val="0"/>
          <w:noProof w:val="0"/>
          <w:color w:val="auto"/>
          <w:sz w:val="24"/>
          <w:szCs w:val="24"/>
          <w:lang w:val="en-GB"/>
        </w:rPr>
        <w:t>State liability</w:t>
      </w:r>
      <w:r w:rsidRPr="47997BE6" w:rsidR="47997BE6">
        <w:rPr>
          <w:rFonts w:ascii="Calibri" w:hAnsi="Calibri" w:eastAsia="Calibri" w:cs="Calibri"/>
          <w:b w:val="0"/>
          <w:bCs w:val="0"/>
          <w:i w:val="0"/>
          <w:iCs w:val="0"/>
          <w:caps w:val="0"/>
          <w:smallCaps w:val="0"/>
          <w:noProof w:val="0"/>
          <w:color w:val="auto"/>
          <w:sz w:val="24"/>
          <w:szCs w:val="24"/>
          <w:lang w:val="en-GB"/>
        </w:rPr>
        <w:t>. [online]</w:t>
      </w:r>
    </w:p>
    <w:p w:rsidR="47997BE6" w:rsidP="47997BE6" w:rsidRDefault="47997BE6" w14:paraId="69BD0E11" w14:textId="6ADD7C3F">
      <w:pPr>
        <w:pStyle w:val="Normal"/>
        <w:rPr>
          <w:rFonts w:ascii="Calibri" w:hAnsi="Calibri" w:eastAsia="Calibri" w:cs="Calibri"/>
          <w:b w:val="0"/>
          <w:bCs w:val="0"/>
          <w:i w:val="0"/>
          <w:iCs w:val="0"/>
          <w:caps w:val="0"/>
          <w:smallCaps w:val="0"/>
          <w:noProof w:val="0"/>
          <w:color w:val="auto"/>
          <w:sz w:val="24"/>
          <w:szCs w:val="24"/>
          <w:lang w:val="en-GB"/>
        </w:rPr>
      </w:pPr>
    </w:p>
    <w:p w:rsidR="47997BE6" w:rsidP="47997BE6" w:rsidRDefault="47997BE6" w14:paraId="366A579D" w14:textId="63D48AFB">
      <w:pPr>
        <w:pStyle w:val="Normal"/>
        <w:rPr>
          <w:rFonts w:ascii="Calibri" w:hAnsi="Calibri" w:eastAsia="Calibri" w:cs="Calibri" w:asciiTheme="minorAscii" w:hAnsiTheme="minorAscii" w:eastAsiaTheme="minorAscii" w:cstheme="minorAscii"/>
          <w:sz w:val="24"/>
          <w:szCs w:val="24"/>
          <w:u w:val="single"/>
        </w:rPr>
      </w:pPr>
      <w:r w:rsidRPr="47997BE6" w:rsidR="47997BE6">
        <w:rPr>
          <w:rFonts w:ascii="Calibri" w:hAnsi="Calibri" w:eastAsia="Calibri" w:cs="Calibri" w:asciiTheme="minorAscii" w:hAnsiTheme="minorAscii" w:eastAsiaTheme="minorAscii" w:cstheme="minorAscii"/>
          <w:sz w:val="24"/>
          <w:szCs w:val="24"/>
          <w:u w:val="single"/>
        </w:rPr>
        <w:t>References</w:t>
      </w:r>
    </w:p>
    <w:p w:rsidR="47997BE6" w:rsidP="47997BE6" w:rsidRDefault="47997BE6" w14:paraId="2892C470" w14:textId="72278402">
      <w:pPr>
        <w:pStyle w:val="Normal"/>
        <w:rPr>
          <w:rFonts w:ascii="Calibri" w:hAnsi="Calibri" w:eastAsia="Calibri" w:cs="Calibri" w:asciiTheme="minorAscii" w:hAnsiTheme="minorAscii" w:eastAsiaTheme="minorAscii" w:cstheme="minorAscii"/>
          <w:b w:val="0"/>
          <w:bCs w:val="0"/>
          <w:i w:val="0"/>
          <w:iCs w:val="0"/>
          <w:caps w:val="0"/>
          <w:smallCaps w:val="0"/>
          <w:noProof w:val="0"/>
          <w:color w:val="2C3E50"/>
          <w:sz w:val="22"/>
          <w:szCs w:val="22"/>
          <w:lang w:val="en-GB"/>
        </w:rPr>
      </w:pPr>
      <w:proofErr w:type="spellStart"/>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AllAboutLaw</w:t>
      </w:r>
      <w:proofErr w:type="spellEnd"/>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(2013). </w:t>
      </w:r>
      <w:r w:rsidRPr="47997BE6" w:rsidR="47997BE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EU Law</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[online] Available at:</w:t>
      </w:r>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w:t>
      </w:r>
      <w:hyperlink r:id="R3a70eccaee4b4372">
        <w:r w:rsidRPr="47997BE6" w:rsidR="47997BE6">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https://www.allaboutlaw.co.uk/stage/areas-of-law/eu-law</w:t>
        </w:r>
      </w:hyperlink>
      <w:r w:rsidRPr="47997BE6" w:rsidR="47997BE6">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w:t>
      </w:r>
    </w:p>
    <w:p w:rsidR="47997BE6" w:rsidP="47997BE6" w:rsidRDefault="47997BE6" w14:paraId="6D1C7D57" w14:textId="2EFA1475">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Hag, S. and Bastidas, V. (n.d.). </w:t>
      </w:r>
      <w:r w:rsidRPr="47997BE6" w:rsidR="47997BE6">
        <w:rPr>
          <w:rFonts w:ascii="Calibri" w:hAnsi="Calibri" w:eastAsia="Calibri" w:cs="Calibri"/>
          <w:b w:val="0"/>
          <w:bCs w:val="0"/>
          <w:i w:val="1"/>
          <w:iCs w:val="1"/>
          <w:caps w:val="0"/>
          <w:smallCaps w:val="0"/>
          <w:noProof w:val="0"/>
          <w:color w:val="auto"/>
          <w:sz w:val="24"/>
          <w:szCs w:val="24"/>
          <w:lang w:val="en-GB"/>
        </w:rPr>
        <w:t>Department of Law Spring Term 2015 The Objectives of EU Competition Law -A normative analysis</w:t>
      </w:r>
      <w:r w:rsidRPr="47997BE6" w:rsidR="47997BE6">
        <w:rPr>
          <w:rFonts w:ascii="Calibri" w:hAnsi="Calibri" w:eastAsia="Calibri" w:cs="Calibri"/>
          <w:b w:val="0"/>
          <w:bCs w:val="0"/>
          <w:i w:val="0"/>
          <w:iCs w:val="0"/>
          <w:caps w:val="0"/>
          <w:smallCaps w:val="0"/>
          <w:noProof w:val="0"/>
          <w:color w:val="auto"/>
          <w:sz w:val="24"/>
          <w:szCs w:val="24"/>
          <w:lang w:val="en-GB"/>
        </w:rPr>
        <w:t>. [online] Available at: http://www.diva-portal.org/smash/get/diva2:811088/FULLTEXT01.pdf [Accessed 1 April 2022].</w:t>
      </w:r>
    </w:p>
    <w:p w:rsidR="47997BE6" w:rsidP="47997BE6" w:rsidRDefault="47997BE6" w14:paraId="47FA2D30" w14:textId="141418E5">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Ahlborn, C. and Grave, C. (2006). </w:t>
      </w:r>
      <w:r w:rsidRPr="47997BE6" w:rsidR="47997BE6">
        <w:rPr>
          <w:rFonts w:ascii="Calibri" w:hAnsi="Calibri" w:eastAsia="Calibri" w:cs="Calibri"/>
          <w:b w:val="0"/>
          <w:bCs w:val="0"/>
          <w:i w:val="1"/>
          <w:iCs w:val="1"/>
          <w:caps w:val="0"/>
          <w:smallCaps w:val="0"/>
          <w:noProof w:val="0"/>
          <w:color w:val="auto"/>
          <w:sz w:val="24"/>
          <w:szCs w:val="24"/>
          <w:lang w:val="en-GB"/>
        </w:rPr>
        <w:t xml:space="preserve">Walter Eucken and </w:t>
      </w:r>
      <w:proofErr w:type="spellStart"/>
      <w:r w:rsidRPr="47997BE6" w:rsidR="47997BE6">
        <w:rPr>
          <w:rFonts w:ascii="Calibri" w:hAnsi="Calibri" w:eastAsia="Calibri" w:cs="Calibri"/>
          <w:b w:val="0"/>
          <w:bCs w:val="0"/>
          <w:i w:val="1"/>
          <w:iCs w:val="1"/>
          <w:caps w:val="0"/>
          <w:smallCaps w:val="0"/>
          <w:noProof w:val="0"/>
          <w:color w:val="auto"/>
          <w:sz w:val="24"/>
          <w:szCs w:val="24"/>
          <w:lang w:val="en-GB"/>
        </w:rPr>
        <w:t>Ordoliberalism</w:t>
      </w:r>
      <w:proofErr w:type="spellEnd"/>
      <w:r w:rsidRPr="47997BE6" w:rsidR="47997BE6">
        <w:rPr>
          <w:rFonts w:ascii="Calibri" w:hAnsi="Calibri" w:eastAsia="Calibri" w:cs="Calibri"/>
          <w:b w:val="0"/>
          <w:bCs w:val="0"/>
          <w:i w:val="1"/>
          <w:iCs w:val="1"/>
          <w:caps w:val="0"/>
          <w:smallCaps w:val="0"/>
          <w:noProof w:val="0"/>
          <w:color w:val="auto"/>
          <w:sz w:val="24"/>
          <w:szCs w:val="24"/>
          <w:lang w:val="en-GB"/>
        </w:rPr>
        <w:t>: An Introduction from a Consumer Welfare Perspective</w:t>
      </w:r>
      <w:r w:rsidRPr="47997BE6" w:rsidR="47997BE6">
        <w:rPr>
          <w:rFonts w:ascii="Calibri" w:hAnsi="Calibri" w:eastAsia="Calibri" w:cs="Calibri"/>
          <w:b w:val="0"/>
          <w:bCs w:val="0"/>
          <w:i w:val="0"/>
          <w:iCs w:val="0"/>
          <w:caps w:val="0"/>
          <w:smallCaps w:val="0"/>
          <w:noProof w:val="0"/>
          <w:color w:val="auto"/>
          <w:sz w:val="24"/>
          <w:szCs w:val="24"/>
          <w:lang w:val="en-GB"/>
        </w:rPr>
        <w:t>. [online] papers.ssrn.com. Available at: https://papers.ssrn.com/sol3/papers.cfm?abstract_id=1585797 [Accessed 1 April 2022].</w:t>
      </w:r>
    </w:p>
    <w:p w:rsidR="47997BE6" w:rsidP="47997BE6" w:rsidRDefault="47997BE6" w14:paraId="32918050" w14:textId="432BD14C">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Europa.eu. (2015). </w:t>
      </w:r>
      <w:r w:rsidRPr="47997BE6" w:rsidR="47997BE6">
        <w:rPr>
          <w:rFonts w:ascii="Calibri" w:hAnsi="Calibri" w:eastAsia="Calibri" w:cs="Calibri"/>
          <w:b w:val="0"/>
          <w:bCs w:val="0"/>
          <w:i w:val="1"/>
          <w:iCs w:val="1"/>
          <w:caps w:val="0"/>
          <w:smallCaps w:val="0"/>
          <w:noProof w:val="0"/>
          <w:color w:val="auto"/>
          <w:sz w:val="24"/>
          <w:szCs w:val="24"/>
          <w:lang w:val="en-GB"/>
        </w:rPr>
        <w:t>Free movement of goods | Fact Sheets on the European Union | European Parliament</w:t>
      </w:r>
      <w:r w:rsidRPr="47997BE6" w:rsidR="47997BE6">
        <w:rPr>
          <w:rFonts w:ascii="Calibri" w:hAnsi="Calibri" w:eastAsia="Calibri" w:cs="Calibri"/>
          <w:b w:val="0"/>
          <w:bCs w:val="0"/>
          <w:i w:val="0"/>
          <w:iCs w:val="0"/>
          <w:caps w:val="0"/>
          <w:smallCaps w:val="0"/>
          <w:noProof w:val="0"/>
          <w:color w:val="auto"/>
          <w:sz w:val="24"/>
          <w:szCs w:val="24"/>
          <w:lang w:val="en-GB"/>
        </w:rPr>
        <w:t xml:space="preserve">. [online] Available at: </w:t>
      </w:r>
      <w:hyperlink r:id="R09e6de6b95114de5">
        <w:r w:rsidRPr="47997BE6" w:rsidR="47997BE6">
          <w:rPr>
            <w:rStyle w:val="Hyperlink"/>
            <w:rFonts w:ascii="Calibri" w:hAnsi="Calibri" w:eastAsia="Calibri" w:cs="Calibri"/>
            <w:b w:val="0"/>
            <w:bCs w:val="0"/>
            <w:i w:val="0"/>
            <w:iCs w:val="0"/>
            <w:caps w:val="0"/>
            <w:smallCaps w:val="0"/>
            <w:noProof w:val="0"/>
            <w:sz w:val="24"/>
            <w:szCs w:val="24"/>
            <w:lang w:val="en-GB"/>
          </w:rPr>
          <w:t>https://www.europarl.europa.eu/factsheets/en/sheet/38/free-movement-of-goods</w:t>
        </w:r>
      </w:hyperlink>
      <w:r w:rsidRPr="47997BE6" w:rsidR="47997BE6">
        <w:rPr>
          <w:rFonts w:ascii="Calibri" w:hAnsi="Calibri" w:eastAsia="Calibri" w:cs="Calibri"/>
          <w:b w:val="0"/>
          <w:bCs w:val="0"/>
          <w:i w:val="0"/>
          <w:iCs w:val="0"/>
          <w:caps w:val="0"/>
          <w:smallCaps w:val="0"/>
          <w:noProof w:val="0"/>
          <w:color w:val="auto"/>
          <w:sz w:val="24"/>
          <w:szCs w:val="24"/>
          <w:lang w:val="en-GB"/>
        </w:rPr>
        <w:t>.</w:t>
      </w:r>
    </w:p>
    <w:p w:rsidR="47997BE6" w:rsidP="47997BE6" w:rsidRDefault="47997BE6" w14:paraId="23724699" w14:textId="3CD56BDB">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Marzocchi, O. (2021). </w:t>
      </w:r>
      <w:r w:rsidRPr="47997BE6" w:rsidR="47997BE6">
        <w:rPr>
          <w:rFonts w:ascii="Calibri" w:hAnsi="Calibri" w:eastAsia="Calibri" w:cs="Calibri"/>
          <w:b w:val="0"/>
          <w:bCs w:val="0"/>
          <w:i w:val="1"/>
          <w:iCs w:val="1"/>
          <w:caps w:val="0"/>
          <w:smallCaps w:val="0"/>
          <w:noProof w:val="0"/>
          <w:color w:val="auto"/>
          <w:sz w:val="24"/>
          <w:szCs w:val="24"/>
          <w:lang w:val="en-GB"/>
        </w:rPr>
        <w:t>Free movement of persons | Fact Sheets on the European Union | European Parliament</w:t>
      </w:r>
      <w:r w:rsidRPr="47997BE6" w:rsidR="47997BE6">
        <w:rPr>
          <w:rFonts w:ascii="Calibri" w:hAnsi="Calibri" w:eastAsia="Calibri" w:cs="Calibri"/>
          <w:b w:val="0"/>
          <w:bCs w:val="0"/>
          <w:i w:val="0"/>
          <w:iCs w:val="0"/>
          <w:caps w:val="0"/>
          <w:smallCaps w:val="0"/>
          <w:noProof w:val="0"/>
          <w:color w:val="auto"/>
          <w:sz w:val="24"/>
          <w:szCs w:val="24"/>
          <w:lang w:val="en-GB"/>
        </w:rPr>
        <w:t>. [online] www.europarl.europa.eu. Available at: https://www.europarl.europa.eu/factsheets/en/sheet/147/free-movement-of-persons.</w:t>
      </w:r>
    </w:p>
    <w:p w:rsidR="47997BE6" w:rsidP="47997BE6" w:rsidRDefault="47997BE6" w14:paraId="4087BD8D" w14:textId="1E18F381">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www.europarl.europa.eu. (n.d.). </w:t>
      </w:r>
      <w:r w:rsidRPr="47997BE6" w:rsidR="47997BE6">
        <w:rPr>
          <w:rFonts w:ascii="Calibri" w:hAnsi="Calibri" w:eastAsia="Calibri" w:cs="Calibri"/>
          <w:b w:val="0"/>
          <w:bCs w:val="0"/>
          <w:i w:val="1"/>
          <w:iCs w:val="1"/>
          <w:caps w:val="0"/>
          <w:smallCaps w:val="0"/>
          <w:noProof w:val="0"/>
          <w:color w:val="auto"/>
          <w:sz w:val="24"/>
          <w:szCs w:val="24"/>
          <w:lang w:val="en-GB"/>
        </w:rPr>
        <w:t xml:space="preserve">Freedom of establishment and freedom to </w:t>
      </w:r>
      <w:r w:rsidRPr="47997BE6" w:rsidR="47997BE6">
        <w:rPr>
          <w:rFonts w:ascii="Calibri" w:hAnsi="Calibri" w:eastAsia="Calibri" w:cs="Calibri"/>
          <w:b w:val="0"/>
          <w:bCs w:val="0"/>
          <w:i w:val="1"/>
          <w:iCs w:val="1"/>
          <w:caps w:val="0"/>
          <w:smallCaps w:val="0"/>
          <w:noProof w:val="0"/>
          <w:color w:val="auto"/>
          <w:sz w:val="24"/>
          <w:szCs w:val="24"/>
          <w:lang w:val="en-GB"/>
        </w:rPr>
        <w:t>provide</w:t>
      </w:r>
      <w:r w:rsidRPr="47997BE6" w:rsidR="47997BE6">
        <w:rPr>
          <w:rFonts w:ascii="Calibri" w:hAnsi="Calibri" w:eastAsia="Calibri" w:cs="Calibri"/>
          <w:b w:val="0"/>
          <w:bCs w:val="0"/>
          <w:i w:val="1"/>
          <w:iCs w:val="1"/>
          <w:caps w:val="0"/>
          <w:smallCaps w:val="0"/>
          <w:noProof w:val="0"/>
          <w:color w:val="auto"/>
          <w:sz w:val="24"/>
          <w:szCs w:val="24"/>
          <w:lang w:val="en-GB"/>
        </w:rPr>
        <w:t xml:space="preserve"> services | Fact Sheets on the European Union | European Parliament</w:t>
      </w:r>
      <w:r w:rsidRPr="47997BE6" w:rsidR="47997BE6">
        <w:rPr>
          <w:rFonts w:ascii="Calibri" w:hAnsi="Calibri" w:eastAsia="Calibri" w:cs="Calibri"/>
          <w:b w:val="0"/>
          <w:bCs w:val="0"/>
          <w:i w:val="0"/>
          <w:iCs w:val="0"/>
          <w:caps w:val="0"/>
          <w:smallCaps w:val="0"/>
          <w:noProof w:val="0"/>
          <w:color w:val="auto"/>
          <w:sz w:val="24"/>
          <w:szCs w:val="24"/>
          <w:lang w:val="en-GB"/>
        </w:rPr>
        <w:t xml:space="preserve">. [online] Available at: </w:t>
      </w:r>
      <w:hyperlink r:id="R84d4ec8ee8774a2a">
        <w:r w:rsidRPr="47997BE6" w:rsidR="47997BE6">
          <w:rPr>
            <w:rStyle w:val="Hyperlink"/>
            <w:rFonts w:ascii="Calibri" w:hAnsi="Calibri" w:eastAsia="Calibri" w:cs="Calibri"/>
            <w:b w:val="0"/>
            <w:bCs w:val="0"/>
            <w:i w:val="0"/>
            <w:iCs w:val="0"/>
            <w:caps w:val="0"/>
            <w:smallCaps w:val="0"/>
            <w:noProof w:val="0"/>
            <w:sz w:val="24"/>
            <w:szCs w:val="24"/>
            <w:lang w:val="en-GB"/>
          </w:rPr>
          <w:t>https://www.europarl.europa.eu/factsheets/en/sheet/40/freedom-of-establishment-and-freedom-to-provide-services</w:t>
        </w:r>
      </w:hyperlink>
      <w:r w:rsidRPr="47997BE6" w:rsidR="47997BE6">
        <w:rPr>
          <w:rFonts w:ascii="Calibri" w:hAnsi="Calibri" w:eastAsia="Calibri" w:cs="Calibri"/>
          <w:b w:val="0"/>
          <w:bCs w:val="0"/>
          <w:i w:val="0"/>
          <w:iCs w:val="0"/>
          <w:caps w:val="0"/>
          <w:smallCaps w:val="0"/>
          <w:noProof w:val="0"/>
          <w:color w:val="auto"/>
          <w:sz w:val="24"/>
          <w:szCs w:val="24"/>
          <w:lang w:val="en-GB"/>
        </w:rPr>
        <w:t>.</w:t>
      </w:r>
    </w:p>
    <w:p w:rsidR="47997BE6" w:rsidP="47997BE6" w:rsidRDefault="47997BE6" w14:paraId="6709C074" w14:textId="3EE1A31E">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www.equalitylaw.eu. (n.d.). </w:t>
      </w:r>
      <w:r w:rsidRPr="47997BE6" w:rsidR="47997BE6">
        <w:rPr>
          <w:rFonts w:ascii="Calibri" w:hAnsi="Calibri" w:eastAsia="Calibri" w:cs="Calibri"/>
          <w:b w:val="0"/>
          <w:bCs w:val="0"/>
          <w:i w:val="1"/>
          <w:iCs w:val="1"/>
          <w:caps w:val="0"/>
          <w:smallCaps w:val="0"/>
          <w:noProof w:val="0"/>
          <w:color w:val="auto"/>
          <w:sz w:val="24"/>
          <w:szCs w:val="24"/>
          <w:lang w:val="en-GB"/>
        </w:rPr>
        <w:t>Introduction - European Equality Law Network</w:t>
      </w:r>
      <w:r w:rsidRPr="47997BE6" w:rsidR="47997BE6">
        <w:rPr>
          <w:rFonts w:ascii="Calibri" w:hAnsi="Calibri" w:eastAsia="Calibri" w:cs="Calibri"/>
          <w:b w:val="0"/>
          <w:bCs w:val="0"/>
          <w:i w:val="0"/>
          <w:iCs w:val="0"/>
          <w:caps w:val="0"/>
          <w:smallCaps w:val="0"/>
          <w:noProof w:val="0"/>
          <w:color w:val="auto"/>
          <w:sz w:val="24"/>
          <w:szCs w:val="24"/>
          <w:lang w:val="en-GB"/>
        </w:rPr>
        <w:t>. [online] Available at: https://www.equalitylaw.eu/legal-developments/16-law/56-introduction [Accessed 2 April 2022].</w:t>
      </w:r>
    </w:p>
    <w:p w:rsidR="47997BE6" w:rsidP="47997BE6" w:rsidRDefault="47997BE6" w14:paraId="2F1EB2FA" w14:textId="5F15F4C2">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Sussex, M. (n.d.). </w:t>
      </w:r>
      <w:r w:rsidRPr="47997BE6" w:rsidR="47997BE6">
        <w:rPr>
          <w:rFonts w:ascii="Calibri" w:hAnsi="Calibri" w:eastAsia="Calibri" w:cs="Calibri"/>
          <w:b w:val="0"/>
          <w:bCs w:val="0"/>
          <w:i w:val="1"/>
          <w:iCs w:val="1"/>
          <w:caps w:val="0"/>
          <w:smallCaps w:val="0"/>
          <w:noProof w:val="0"/>
          <w:color w:val="auto"/>
          <w:sz w:val="24"/>
          <w:szCs w:val="24"/>
          <w:lang w:val="en-GB"/>
        </w:rPr>
        <w:t>The direct effect of European law | European Union regulations | European Encyclopaedia of law</w:t>
      </w:r>
      <w:r w:rsidRPr="47997BE6" w:rsidR="47997BE6">
        <w:rPr>
          <w:rFonts w:ascii="Calibri" w:hAnsi="Calibri" w:eastAsia="Calibri" w:cs="Calibri"/>
          <w:b w:val="0"/>
          <w:bCs w:val="0"/>
          <w:i w:val="0"/>
          <w:iCs w:val="0"/>
          <w:caps w:val="0"/>
          <w:smallCaps w:val="0"/>
          <w:noProof w:val="0"/>
          <w:color w:val="auto"/>
          <w:sz w:val="24"/>
          <w:szCs w:val="24"/>
          <w:lang w:val="en-GB"/>
        </w:rPr>
        <w:t>. [online] Available at: https://europeanlaw.lawlegal.eu/the-direct-effect-of-european-law/ [Accessed 2 April 2022].</w:t>
      </w:r>
    </w:p>
    <w:p w:rsidR="47997BE6" w:rsidP="47997BE6" w:rsidRDefault="47997BE6" w14:paraId="21E82E51" w14:textId="717049EC">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Simple Studying. (2019). </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Case 26/62, Van Gend en Loos v </w:t>
      </w:r>
      <w:proofErr w:type="spellStart"/>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Nederlandse</w:t>
      </w:r>
      <w:proofErr w:type="spellEnd"/>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proofErr w:type="spellStart"/>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Administratie</w:t>
      </w:r>
      <w:proofErr w:type="spellEnd"/>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der </w:t>
      </w:r>
      <w:proofErr w:type="spellStart"/>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Belastingen</w:t>
      </w:r>
      <w:proofErr w:type="spellEnd"/>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(1963) ECR 1</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(“Case 26/62, Van Gend en Loos v Nederlandse Administratie ...”) [online] Available at: </w:t>
      </w:r>
      <w:hyperlink r:id="R5e758f3eebbe4c9f">
        <w:r w:rsidRPr="47997BE6" w:rsidR="47997BE6">
          <w:rPr>
            <w:rStyle w:val="Hyperlink"/>
            <w:rFonts w:ascii="Calibri" w:hAnsi="Calibri" w:eastAsia="Calibri" w:cs="Calibri"/>
            <w:b w:val="0"/>
            <w:bCs w:val="0"/>
            <w:i w:val="0"/>
            <w:iCs w:val="0"/>
            <w:caps w:val="0"/>
            <w:smallCaps w:val="0"/>
            <w:noProof w:val="0"/>
            <w:sz w:val="24"/>
            <w:szCs w:val="24"/>
            <w:lang w:val="en-GB"/>
          </w:rPr>
          <w:t>https://simplestudying.com/van-gend-en-loos/</w:t>
        </w:r>
      </w:hyperlink>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 April 2022].</w:t>
      </w:r>
    </w:p>
    <w:p w:rsidR="47997BE6" w:rsidP="47997BE6" w:rsidRDefault="47997BE6" w14:paraId="7796F6EA" w14:textId="38C95568">
      <w:pPr>
        <w:pStyle w:val="Normal"/>
        <w:rPr>
          <w:rFonts w:ascii="Calibri" w:hAnsi="Calibri" w:eastAsia="Calibri" w:cs="Calibri"/>
          <w:b w:val="0"/>
          <w:bCs w:val="0"/>
          <w:i w:val="0"/>
          <w:iCs w:val="0"/>
          <w:caps w:val="0"/>
          <w:smallCaps w:val="0"/>
          <w:noProof w:val="0"/>
          <w:color w:val="auto"/>
          <w:sz w:val="24"/>
          <w:szCs w:val="24"/>
          <w:lang w:val="en-GB"/>
        </w:rPr>
      </w:pPr>
      <w:r w:rsidRPr="47997BE6" w:rsidR="47997BE6">
        <w:rPr>
          <w:rFonts w:ascii="Calibri" w:hAnsi="Calibri" w:eastAsia="Calibri" w:cs="Calibri"/>
          <w:b w:val="0"/>
          <w:bCs w:val="0"/>
          <w:i w:val="0"/>
          <w:iCs w:val="0"/>
          <w:caps w:val="0"/>
          <w:smallCaps w:val="0"/>
          <w:noProof w:val="0"/>
          <w:color w:val="auto"/>
          <w:sz w:val="24"/>
          <w:szCs w:val="24"/>
          <w:lang w:val="en-GB"/>
        </w:rPr>
        <w:t xml:space="preserve">Ask an Academic. (2018). </w:t>
      </w:r>
      <w:r w:rsidRPr="47997BE6" w:rsidR="47997BE6">
        <w:rPr>
          <w:rFonts w:ascii="Calibri" w:hAnsi="Calibri" w:eastAsia="Calibri" w:cs="Calibri"/>
          <w:b w:val="0"/>
          <w:bCs w:val="0"/>
          <w:i w:val="1"/>
          <w:iCs w:val="1"/>
          <w:caps w:val="0"/>
          <w:smallCaps w:val="0"/>
          <w:noProof w:val="0"/>
          <w:color w:val="auto"/>
          <w:sz w:val="24"/>
          <w:szCs w:val="24"/>
          <w:lang w:val="en-GB"/>
        </w:rPr>
        <w:t>The difference between Direct and Indirect Effect</w:t>
      </w:r>
      <w:r w:rsidRPr="47997BE6" w:rsidR="47997BE6">
        <w:rPr>
          <w:rFonts w:ascii="Calibri" w:hAnsi="Calibri" w:eastAsia="Calibri" w:cs="Calibri"/>
          <w:b w:val="0"/>
          <w:bCs w:val="0"/>
          <w:i w:val="0"/>
          <w:iCs w:val="0"/>
          <w:caps w:val="0"/>
          <w:smallCaps w:val="0"/>
          <w:noProof w:val="0"/>
          <w:color w:val="auto"/>
          <w:sz w:val="24"/>
          <w:szCs w:val="24"/>
          <w:lang w:val="en-GB"/>
        </w:rPr>
        <w:t>. [online] Available at: https://askanacademic.com/law/the-difference-between-direct-and-indirect-effect-34/#:~:text=It%20has%20been%20considered%20that%20the%20principle%20of [Accessed 2 April 2022].</w:t>
      </w:r>
    </w:p>
    <w:p w:rsidR="47997BE6" w:rsidP="47997BE6" w:rsidRDefault="47997BE6" w14:paraId="18438AF8" w14:textId="4A9F3D23">
      <w:pPr>
        <w:pStyle w:val="Normal"/>
        <w:rPr>
          <w:rFonts w:ascii="Calibri" w:hAnsi="Calibri" w:eastAsia="Calibri" w:cs="Calibri"/>
          <w:b w:val="0"/>
          <w:bCs w:val="0"/>
          <w:i w:val="0"/>
          <w:iCs w:val="0"/>
          <w:caps w:val="0"/>
          <w:smallCaps w:val="0"/>
          <w:noProof w:val="0"/>
          <w:color w:val="auto"/>
          <w:sz w:val="24"/>
          <w:szCs w:val="24"/>
          <w:lang w:val="en-GB"/>
        </w:rPr>
      </w:pPr>
      <w:proofErr w:type="spellStart"/>
      <w:r w:rsidRPr="47997BE6" w:rsidR="47997BE6">
        <w:rPr>
          <w:rFonts w:ascii="Calibri" w:hAnsi="Calibri" w:eastAsia="Calibri" w:cs="Calibri"/>
          <w:b w:val="0"/>
          <w:bCs w:val="0"/>
          <w:i w:val="0"/>
          <w:iCs w:val="0"/>
          <w:caps w:val="0"/>
          <w:smallCaps w:val="0"/>
          <w:noProof w:val="0"/>
          <w:color w:val="auto"/>
          <w:sz w:val="24"/>
          <w:szCs w:val="24"/>
          <w:lang w:val="en-GB"/>
        </w:rPr>
        <w:t>Eurofound</w:t>
      </w:r>
      <w:proofErr w:type="spellEnd"/>
      <w:r w:rsidRPr="47997BE6" w:rsidR="47997BE6">
        <w:rPr>
          <w:rFonts w:ascii="Calibri" w:hAnsi="Calibri" w:eastAsia="Calibri" w:cs="Calibri"/>
          <w:b w:val="0"/>
          <w:bCs w:val="0"/>
          <w:i w:val="0"/>
          <w:iCs w:val="0"/>
          <w:caps w:val="0"/>
          <w:smallCaps w:val="0"/>
          <w:noProof w:val="0"/>
          <w:color w:val="auto"/>
          <w:sz w:val="24"/>
          <w:szCs w:val="24"/>
          <w:lang w:val="en-GB"/>
        </w:rPr>
        <w:t xml:space="preserve">. (n.d.). </w:t>
      </w:r>
      <w:r w:rsidRPr="47997BE6" w:rsidR="47997BE6">
        <w:rPr>
          <w:rFonts w:ascii="Calibri" w:hAnsi="Calibri" w:eastAsia="Calibri" w:cs="Calibri"/>
          <w:b w:val="0"/>
          <w:bCs w:val="0"/>
          <w:i w:val="1"/>
          <w:iCs w:val="1"/>
          <w:caps w:val="0"/>
          <w:smallCaps w:val="0"/>
          <w:noProof w:val="0"/>
          <w:color w:val="auto"/>
          <w:sz w:val="24"/>
          <w:szCs w:val="24"/>
          <w:lang w:val="en-GB"/>
        </w:rPr>
        <w:t>State liability</w:t>
      </w:r>
      <w:r w:rsidRPr="47997BE6" w:rsidR="47997BE6">
        <w:rPr>
          <w:rFonts w:ascii="Calibri" w:hAnsi="Calibri" w:eastAsia="Calibri" w:cs="Calibri"/>
          <w:b w:val="0"/>
          <w:bCs w:val="0"/>
          <w:i w:val="0"/>
          <w:iCs w:val="0"/>
          <w:caps w:val="0"/>
          <w:smallCaps w:val="0"/>
          <w:noProof w:val="0"/>
          <w:color w:val="auto"/>
          <w:sz w:val="24"/>
          <w:szCs w:val="24"/>
          <w:lang w:val="en-GB"/>
        </w:rPr>
        <w:t>. [online] Available at: https://www.eurofound.europa.eu/observatories/eurwork/industrial-relations-dictionary/state-liability.</w:t>
      </w:r>
    </w:p>
    <w:p w:rsidR="47997BE6" w:rsidP="47997BE6" w:rsidRDefault="47997BE6" w14:paraId="63DEA845" w14:textId="4CED3F58">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Chen, W. (2021). </w:t>
      </w:r>
      <w:r w:rsidRPr="47997BE6" w:rsidR="47997BE6">
        <w:rPr>
          <w:rFonts w:ascii="Calibri" w:hAnsi="Calibri" w:eastAsia="Calibri" w:cs="Calibri"/>
          <w:b w:val="0"/>
          <w:bCs w:val="0"/>
          <w:i w:val="1"/>
          <w:iCs w:val="1"/>
          <w:caps w:val="0"/>
          <w:smallCaps w:val="0"/>
          <w:noProof w:val="0"/>
          <w:color w:val="000000" w:themeColor="text1" w:themeTint="FF" w:themeShade="FF"/>
          <w:sz w:val="24"/>
          <w:szCs w:val="24"/>
          <w:lang w:val="en-GB"/>
        </w:rPr>
        <w:t>Case 14/83 Von Colson [1984] ECR 1891 - Case Summary</w:t>
      </w:r>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lawprof.co. Available at: </w:t>
      </w:r>
      <w:hyperlink r:id="Rb631135398014277">
        <w:r w:rsidRPr="47997BE6" w:rsidR="47997BE6">
          <w:rPr>
            <w:rStyle w:val="Hyperlink"/>
            <w:rFonts w:ascii="Calibri" w:hAnsi="Calibri" w:eastAsia="Calibri" w:cs="Calibri"/>
            <w:b w:val="0"/>
            <w:bCs w:val="0"/>
            <w:i w:val="0"/>
            <w:iCs w:val="0"/>
            <w:caps w:val="0"/>
            <w:smallCaps w:val="0"/>
            <w:noProof w:val="0"/>
            <w:sz w:val="24"/>
            <w:szCs w:val="24"/>
            <w:lang w:val="en-GB"/>
          </w:rPr>
          <w:t>https://lawprof.co/eu-law/direct-and-indirect-effect-cases/case-14-83-von-colson-1984-ecr-1891/</w:t>
        </w:r>
      </w:hyperlink>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 April 2022].</w:t>
      </w:r>
    </w:p>
    <w:p w:rsidR="47997BE6" w:rsidRDefault="47997BE6" w14:paraId="4BCE69A4" w14:textId="034B19B1">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7997BE6" w:rsidP="47997BE6" w:rsidRDefault="47997BE6" w14:paraId="1C42F600" w14:textId="58C10217">
      <w:pPr>
        <w:pStyle w:val="Normal"/>
        <w:rPr>
          <w:rFonts w:ascii="Calibri" w:hAnsi="Calibri" w:eastAsia="Calibri" w:cs="Calibri"/>
          <w:b w:val="0"/>
          <w:bCs w:val="0"/>
          <w:i w:val="0"/>
          <w:iCs w:val="0"/>
          <w:caps w:val="0"/>
          <w:smallCaps w:val="0"/>
          <w:noProof w:val="0"/>
          <w:color w:val="2C3E50"/>
          <w:sz w:val="24"/>
          <w:szCs w:val="24"/>
          <w:lang w:val="en-GB"/>
        </w:rPr>
      </w:pPr>
    </w:p>
    <w:p w:rsidR="47997BE6" w:rsidRDefault="47997BE6" w14:paraId="289D4C19" w14:textId="12AA0449">
      <w:r w:rsidRPr="47997BE6" w:rsidR="47997BE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7997BE6" w:rsidP="47997BE6" w:rsidRDefault="47997BE6" w14:paraId="0C99D967" w14:textId="656C5E6D">
      <w:pPr>
        <w:pStyle w:val="Normal"/>
        <w:rPr>
          <w:rFonts w:ascii="Calibri" w:hAnsi="Calibri" w:eastAsia="Calibri" w:cs="Calibri"/>
          <w:b w:val="0"/>
          <w:bCs w:val="0"/>
          <w:i w:val="0"/>
          <w:iCs w:val="0"/>
          <w:caps w:val="0"/>
          <w:smallCaps w:val="0"/>
          <w:noProof w:val="0"/>
          <w:color w:val="auto"/>
          <w:sz w:val="24"/>
          <w:szCs w:val="24"/>
          <w:lang w:val="en-GB"/>
        </w:rPr>
      </w:pPr>
    </w:p>
    <w:p w:rsidR="47997BE6" w:rsidP="47997BE6" w:rsidRDefault="47997BE6" w14:paraId="3331E578" w14:textId="78E377EA">
      <w:pPr>
        <w:pStyle w:val="Normal"/>
        <w:rPr>
          <w:rFonts w:ascii="Calibri" w:hAnsi="Calibri" w:eastAsia="Calibri" w:cs="Calibri"/>
          <w:b w:val="0"/>
          <w:bCs w:val="0"/>
          <w:i w:val="0"/>
          <w:iCs w:val="0"/>
          <w:caps w:val="0"/>
          <w:smallCaps w:val="0"/>
          <w:noProof w:val="0"/>
          <w:color w:val="auto"/>
          <w:sz w:val="24"/>
          <w:szCs w:val="24"/>
          <w:lang w:val="en-GB"/>
        </w:rPr>
      </w:pPr>
    </w:p>
    <w:p w:rsidR="47997BE6" w:rsidP="47997BE6" w:rsidRDefault="47997BE6" w14:paraId="108267CA" w14:textId="6C17FCF6">
      <w:pPr>
        <w:pStyle w:val="Normal"/>
        <w:rPr>
          <w:rFonts w:ascii="Calibri" w:hAnsi="Calibri" w:eastAsia="Calibri" w:cs="Calibri"/>
          <w:b w:val="0"/>
          <w:bCs w:val="0"/>
          <w:i w:val="0"/>
          <w:iCs w:val="0"/>
          <w:caps w:val="0"/>
          <w:smallCaps w:val="0"/>
          <w:noProof w:val="0"/>
          <w:color w:val="2C3E50"/>
          <w:sz w:val="27"/>
          <w:szCs w:val="27"/>
          <w:lang w:val="en-GB"/>
        </w:rPr>
      </w:pPr>
    </w:p>
    <w:p w:rsidR="47997BE6" w:rsidP="47997BE6" w:rsidRDefault="47997BE6" w14:paraId="1FE1987C" w14:textId="07863144">
      <w:pPr>
        <w:pStyle w:val="Normal"/>
        <w:rPr>
          <w:rFonts w:ascii="Calibri" w:hAnsi="Calibri" w:eastAsia="Calibri" w:cs="Calibri"/>
          <w:b w:val="0"/>
          <w:bCs w:val="0"/>
          <w:i w:val="0"/>
          <w:iCs w:val="0"/>
          <w:caps w:val="0"/>
          <w:smallCaps w:val="0"/>
          <w:noProof w:val="0"/>
          <w:color w:val="2C3E50"/>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442779426-409938398 512684579-560703579 453461329-2027617858 190698565-1986877536 1919711818-1896841817 755506383-336144146 717688793-97339079 1463546669-462993303 1804077225-995103292 932416561-1975817240 1088822292-1197054615 1773997585-1792900159 912938909-1674873595 680707184-1915192322 1830583639-788141173 1207577904-336861413 848396368-1126945100 594691737-1020619739 1082637709-504951681 1728692340-1054974750 790541050-1595274434 568864337-1903184364 2006382314-952718696 407079672-1251949859 1675536453-1290616664 1271818660-55253425 474150400-1489043991 681397273-313132105 211409255-1701600877 858908024-2028173290 276981706-1813511414 534878332-126234948"/>
  </int:OnDemandWorkflows>
  <int:IntelligenceSettings/>
  <int:Manifest>
    <int:WordHash hashCode="XyyTh+rCJgJoxo" id="146EjZqU"/>
    <int:WordHash hashCode="boDfmKKnVxYM7/" id="0EP60k5a"/>
    <int:WordHash hashCode="YI4BM09VdfEIE+" id="reCRfEwY"/>
    <int:WordHash hashCode="kuku5Ek2vmv0CX" id="AX6xfH6N"/>
    <int:WordHash hashCode="CUsP4OMChUrxMR" id="bu57AIgv"/>
    <int:WordHash hashCode="5DTAIj0CnUjlZP" id="kVOb4aGh"/>
    <int:WordHash hashCode="qcMi9QU6gTcrgC" id="nADqyWoS"/>
    <int:WordHash hashCode="IwvaOe2zTdVFCI" id="xlYIqJxZ"/>
    <int:WordHash hashCode="2/1znc2uTpGPw5" id="OeC2SwLE"/>
    <int:ParagraphRange paragraphId="512684579" textId="560703579" start="1176" length="94" invalidationStart="1176" invalidationLength="94" id="rNfyvJCz"/>
    <int:ParagraphRange paragraphId="453461329" textId="2027617858" start="1020" length="94" invalidationStart="1020" invalidationLength="94" id="HcrGRRBs"/>
    <int:ParagraphRange paragraphId="1804077225" textId="995103292" start="550" length="86" invalidationStart="550" invalidationLength="86" id="w5ino13s"/>
    <int:ParagraphRange paragraphId="568864337" textId="1903184364" start="25" length="86" invalidationStart="25" invalidationLength="86" id="bHPHAozr"/>
    <int:EntireDocument id="vphbnRaO"/>
  </int:Manifest>
  <int:Observations>
    <int:Content id="146EjZqU">
      <int:Rejection type="LegacyProofing"/>
    </int:Content>
    <int:Content id="0EP60k5a">
      <int:Rejection type="LegacyProofing"/>
    </int:Content>
    <int:Content id="reCRfEwY">
      <int:Rejection type="LegacyProofing"/>
    </int:Content>
    <int:Content id="AX6xfH6N">
      <int:Rejection type="LegacyProofing"/>
    </int:Content>
    <int:Content id="bu57AIgv">
      <int:Rejection type="LegacyProofing"/>
    </int:Content>
    <int:Content id="kVOb4aGh">
      <int:Rejection type="LegacyProofing"/>
    </int:Content>
    <int:Content id="nADqyWoS">
      <int:Rejection type="LegacyProofing"/>
    </int:Content>
    <int:Content id="xlYIqJxZ">
      <int:Rejection type="LegacyProofing"/>
    </int:Content>
    <int:Content id="OeC2SwLE">
      <int:Rejection type="LegacyProofing"/>
    </int:Content>
    <int:Content id="rNfyvJCz">
      <int:Reviewed type="AugLoop_Similarity_SimilarityAnnotation"/>
      <int:extLst>
        <oel:ext uri="426473B9-03D8-482F-96C9-C2C85392BACA">
          <int:SimilarityCritique Version="1" Context="Department of Law Spring Term 2015 The Objectives of EU Competition Law -A normative analysis." SourceType="Online" SourceTitle="The Objectives of EU Competition Law - diva- 811088 ..." SourceUrl="https://vdocuments.mx/the-objectives-of-eu-competition-law-diva-811088fulltext01pdfnormative-questions.html" SourceSnippet="Department of Law Spring Term 2015 Master’s Thesis in Competition Law 30 ECTS The Objectives of EU Competition Law - A normative analysis Author: Sara Hag Supervisor: Senior…">
            <int:Suggestions CitationType="Inline">
              <int:Suggestion CitationStyle="Mla" IsIdentical="0">
                <int:CitationText>(“The Objectives of EU Competition Law - diva- 811088 ...”)</int:CitationText>
              </int:Suggestion>
              <int:Suggestion CitationStyle="Apa" IsIdentical="0">
                <int:CitationText>(“The Objectives of EU Competition Law - diva- 811088 ...”)</int:CitationText>
              </int:Suggestion>
              <int:Suggestion CitationStyle="Chicago" IsIdentical="0">
                <int:CitationText>(“The Objectives of EU Competition Law - diva- 811088 ...”)</int:CitationText>
              </int:Suggestion>
            </int:Suggestions>
            <int:Suggestions CitationType="Full">
              <int:Suggestion CitationStyle="Mla" IsIdentical="0">
                <int:CitationText>&lt;i&gt;The Objectives of EU Competition Law - diva- 811088 ...&lt;/i&gt;, https://vdocuments.mx/the-objectives-of-eu-competition-law-diva-811088fulltext01pdfnormative-questions.html.</int:CitationText>
              </int:Suggestion>
              <int:Suggestion CitationStyle="Apa" IsIdentical="0">
                <int:CitationText>&lt;i&gt;The Objectives of EU Competition Law - diva- 811088 ...&lt;/i&gt;. (n.d.). Retrieved from https://vdocuments.mx/the-objectives-of-eu-competition-law-diva-811088fulltext01pdfnormative-questions.html</int:CitationText>
              </int:Suggestion>
              <int:Suggestion CitationStyle="Chicago" IsIdentical="0">
                <int:CitationText>“The Objectives of EU Competition Law - diva- 811088 ...” n.d., https://vdocuments.mx/the-objectives-of-eu-competition-law-diva-811088fulltext01pdfnormative-questions.html.</int:CitationText>
              </int:Suggestion>
            </int:Suggestions>
          </int:SimilarityCritique>
        </oel:ext>
      </int:extLst>
    </int:Content>
    <int:Content id="HcrGRRBs">
      <int:Reviewed type="AugLoop_Similarity_SimilarityAnnotation"/>
      <int:extLst>
        <oel:ext uri="426473B9-03D8-482F-96C9-C2C85392BACA">
          <int:SimilarityCritique Version="1" Context="Department of Law Spring Term 2015 The Objectives of EU Competition Law -A normative analysis." SourceType="Online" SourceTitle="The Objectives of EU Competition Law - diva- 811088 ..." SourceUrl="https://vdocuments.mx/the-objectives-of-eu-competition-law-diva-811088fulltext01pdfnormative-questions.html" SourceSnippet="Department of Law Spring Term 2015 Master’s Thesis in Competition Law 30 ECTS The Objectives of EU Competition Law - A normative analysis Author: Sara Hag Supervisor: Senior…">
            <int:Suggestions CitationType="Inline">
              <int:Suggestion CitationStyle="Mla" IsIdentical="0">
                <int:CitationText>(“The Objectives of EU Competition Law - diva- 811088 ...”)</int:CitationText>
              </int:Suggestion>
              <int:Suggestion CitationStyle="Apa" IsIdentical="0">
                <int:CitationText>(“The Objectives of EU Competition Law - diva- 811088 ...”)</int:CitationText>
              </int:Suggestion>
              <int:Suggestion CitationStyle="Chicago" IsIdentical="0">
                <int:CitationText>(“The Objectives of EU Competition Law - diva- 811088 ...”)</int:CitationText>
              </int:Suggestion>
            </int:Suggestions>
            <int:Suggestions CitationType="Full">
              <int:Suggestion CitationStyle="Mla" IsIdentical="0">
                <int:CitationText>&lt;i&gt;The Objectives of EU Competition Law - diva- 811088 ...&lt;/i&gt;, https://vdocuments.mx/the-objectives-of-eu-competition-law-diva-811088fulltext01pdfnormative-questions.html.</int:CitationText>
              </int:Suggestion>
              <int:Suggestion CitationStyle="Apa" IsIdentical="0">
                <int:CitationText>&lt;i&gt;The Objectives of EU Competition Law - diva- 811088 ...&lt;/i&gt;. (n.d.). Retrieved from https://vdocuments.mx/the-objectives-of-eu-competition-law-diva-811088fulltext01pdfnormative-questions.html</int:CitationText>
              </int:Suggestion>
              <int:Suggestion CitationStyle="Chicago" IsIdentical="0">
                <int:CitationText>“The Objectives of EU Competition Law - diva- 811088 ...” n.d., https://vdocuments.mx/the-objectives-of-eu-competition-law-diva-811088fulltext01pdfnormative-questions.html.</int:CitationText>
              </int:Suggestion>
            </int:Suggestions>
          </int:SimilarityCritique>
        </oel:ext>
      </int:extLst>
    </int:Content>
    <int:Content id="w5ino13s">
      <int:Reviewed type="AugLoop_Similarity_SimilarityAnnotation"/>
      <int:extLst>
        <oel:ext uri="426473B9-03D8-482F-96C9-C2C85392BACA">
          <int:SimilarityCritique Version="1" Context="Case 26/62, Van Gend en Loos v Nederlandse Administratie der Belastingen (1963) ECR 1." SourceType="Online" SourceTitle="Case 26/62, Van Gend en Loos v Nederlandse Administratie ..." SourceUrl="https://simplestudying.com/van-gend-en-loos/" SourceSnippet="Case 26/62, Van Gend en Loos v Nederlandse Administratie der Belastingen (1963) ECR 1 is a European Union Law case concerning the Doctrine of Direct Effect. Facts: In Van Gend en Loos, the claimant had been charged an import duty by the Dutch authorities.">
            <int:Suggestions CitationType="Inline">
              <int:Suggestion CitationStyle="Mla" IsIdentical="0">
                <int:CitationText>(“Case 26/62, Van Gend en Loos v Nederlandse Administratie ...”)</int:CitationText>
              </int:Suggestion>
              <int:Suggestion CitationStyle="Apa" IsIdentical="0">
                <int:CitationText>(“Case 26/62, Van Gend en Loos v Nederlandse Administratie ...”)</int:CitationText>
              </int:Suggestion>
              <int:Suggestion CitationStyle="Chicago" IsIdentical="0">
                <int:CitationText>(“Case 26/62, Van Gend en Loos v Nederlandse Administratie ...”)</int:CitationText>
              </int:Suggestion>
            </int:Suggestions>
            <int:Suggestions CitationType="Full">
              <int:Suggestion CitationStyle="Mla" IsIdentical="0">
                <int:CitationText>&lt;i&gt;Case 26/62, Van Gend en Loos v Nederlandse Administratie ...&lt;/i&gt;, https://simplestudying.com/van-gend-en-loos/.</int:CitationText>
              </int:Suggestion>
              <int:Suggestion CitationStyle="Apa" IsIdentical="0">
                <int:CitationText>&lt;i&gt;Case 26/62, Van Gend en Loos v Nederlandse Administratie ...&lt;/i&gt;. (n.d.). Retrieved from https://simplestudying.com/van-gend-en-loos/</int:CitationText>
              </int:Suggestion>
              <int:Suggestion CitationStyle="Chicago" IsIdentical="0">
                <int:CitationText>“Case 26/62, Van Gend en Loos v Nederlandse Administratie ...” n.d., https://simplestudying.com/van-gend-en-loos/.</int:CitationText>
              </int:Suggestion>
            </int:Suggestions>
            <int:AdditionalSources SourceType="Online" SourceTitle="Parliamentary Sovereignty | Cases - lawprof.co" SourceUrl="https://lawprof.co/public-law/parliamentary-sovereignty-cases/" SourceSnippet="Case 26/62 Van Gend en Loos v Nederlandse Administratie der Belastingen [1963] ECR 1. C-213/89 R v Secretary of State for Transport, ex parte Factortame Ltd [1990] ECR I-2433. Constitutional Statutes. Thoburn v Sunderland City Council [2002] EWHC 195 (Admin); [2003] QB 151 Important">
              <int:Suggestions CitationType="Inline">
                <int:Suggestion CitationStyle="Mla" IsIdentical="0">
                  <int:CitationText>(“Parliamentary Sovereignty | Cases - lawprof.co”)</int:CitationText>
                </int:Suggestion>
                <int:Suggestion CitationStyle="Apa" IsIdentical="0">
                  <int:CitationText>(“Parliamentary Sovereignty | Cases - lawprof.co”)</int:CitationText>
                </int:Suggestion>
                <int:Suggestion CitationStyle="Chicago" IsIdentical="0">
                  <int:CitationText>(“Parliamentary Sovereignty | Cases - lawprof.co”)</int:CitationText>
                </int:Suggestion>
              </int:Suggestions>
              <int:Suggestions CitationType="Full">
                <int:Suggestion CitationStyle="Mla" IsIdentical="0">
                  <int:CitationText>&lt;i&gt;Parliamentary Sovereignty | Cases - lawprof.co&lt;/i&gt;, https://lawprof.co/public-law/parliamentary-sovereignty-cases/.</int:CitationText>
                </int:Suggestion>
                <int:Suggestion CitationStyle="Apa" IsIdentical="0">
                  <int:CitationText>&lt;i&gt;Parliamentary Sovereignty | Cases - lawprof.co&lt;/i&gt;. (n.d.). Retrieved from https://lawprof.co/public-law/parliamentary-sovereignty-cases/</int:CitationText>
                </int:Suggestion>
                <int:Suggestion CitationStyle="Chicago" IsIdentical="0">
                  <int:CitationText>“Parliamentary Sovereignty | Cases - lawprof.co” n.d., https://lawprof.co/public-law/parliamentary-sovereignty-cases/.</int:CitationText>
                </int:Suggestion>
              </int:Suggestions>
            </int:AdditionalSources>
            <int:AdditionalSources SourceType="Online" SourceTitle="Page 513 – Simple Studying" SourceUrl="https://simplestudying.com/forums/page/513/" SourceSnippet="Case 26/62, Van Gend en Loos v Nederlandse Administratie der Belastingen (1963) ECR 1 is a European Union Law case concerning the Doctrine of Direct Effect. Facts: In Van Gend en Loos, the claimant had been charged an import duty by the Dutch authorities.">
              <int:Suggestions CitationType="Inline">
                <int:Suggestion CitationStyle="Mla" IsIdentical="0">
                  <int:CitationText>(“Page 513 – Simple Studying”)</int:CitationText>
                </int:Suggestion>
                <int:Suggestion CitationStyle="Apa" IsIdentical="0">
                  <int:CitationText>(“Page 513 – Simple Studying”)</int:CitationText>
                </int:Suggestion>
                <int:Suggestion CitationStyle="Chicago" IsIdentical="0">
                  <int:CitationText>(“Page 513 – Simple Studying”)</int:CitationText>
                </int:Suggestion>
              </int:Suggestions>
              <int:Suggestions CitationType="Full">
                <int:Suggestion CitationStyle="Mla" IsIdentical="0">
                  <int:CitationText>&lt;i&gt;Page 513 – Simple Studying&lt;/i&gt;, https://simplestudying.com/forums/page/513/.</int:CitationText>
                </int:Suggestion>
                <int:Suggestion CitationStyle="Apa" IsIdentical="0">
                  <int:CitationText>&lt;i&gt;Page 513 – Simple Studying&lt;/i&gt;. (n.d.). Retrieved from https://simplestudying.com/forums/page/513/</int:CitationText>
                </int:Suggestion>
                <int:Suggestion CitationStyle="Chicago" IsIdentical="0">
                  <int:CitationText>“Page 513 – Simple Studying” n.d., https://simplestudying.com/forums/page/513/.</int:CitationText>
                </int:Suggestion>
              </int:Suggestions>
            </int:AdditionalSources>
          </int:SimilarityCritique>
        </oel:ext>
      </int:extLst>
    </int:Content>
    <int:Content id="bHPHAozr">
      <int:Reviewed type="AugLoop_Similarity_SimilarityAnnotation"/>
      <int:extLst>
        <oel:ext uri="426473B9-03D8-482F-96C9-C2C85392BACA">
          <int:SimilarityCritique Version="1" Context="Case 26/62, Van Gend en Loos v Nederlandse Administratie der Belastingen (1963) ECR 1." SourceType="Online" SourceTitle="Case 26/62, Van Gend en Loos v Nederlandse Administratie ..." SourceUrl="https://simplestudying.com/van-gend-en-loos/" SourceSnippet="Case 26/62, Van Gend en Loos v Nederlandse Administratie der Belastingen (1963) ECR 1 is a European Union Law case concerning the Doctrine of Direct Effect. Facts: In Van Gend en Loos, the claimant had been charged an import duty by the Dutch authorities.">
            <int:Suggestions CitationType="Inline">
              <int:Suggestion CitationStyle="Mla" IsIdentical="0">
                <int:CitationText>(“Case 26/62, Van Gend en Loos v Nederlandse Administratie ...”)</int:CitationText>
              </int:Suggestion>
              <int:Suggestion CitationStyle="Apa" IsIdentical="0">
                <int:CitationText>(“Case 26/62, Van Gend en Loos v Nederlandse Administratie ...”)</int:CitationText>
              </int:Suggestion>
              <int:Suggestion CitationStyle="Chicago" IsIdentical="0">
                <int:CitationText>(“Case 26/62, Van Gend en Loos v Nederlandse Administratie ...”)</int:CitationText>
              </int:Suggestion>
            </int:Suggestions>
            <int:Suggestions CitationType="Full">
              <int:Suggestion CitationStyle="Mla" IsIdentical="0">
                <int:CitationText>&lt;i&gt;Case 26/62, Van Gend en Loos v Nederlandse Administratie ...&lt;/i&gt;, https://simplestudying.com/van-gend-en-loos/.</int:CitationText>
              </int:Suggestion>
              <int:Suggestion CitationStyle="Apa" IsIdentical="0">
                <int:CitationText>&lt;i&gt;Case 26/62, Van Gend en Loos v Nederlandse Administratie ...&lt;/i&gt;. (n.d.). Retrieved from https://simplestudying.com/van-gend-en-loos/</int:CitationText>
              </int:Suggestion>
              <int:Suggestion CitationStyle="Chicago" IsIdentical="0">
                <int:CitationText>“Case 26/62, Van Gend en Loos v Nederlandse Administratie ...” n.d., https://simplestudying.com/van-gend-en-loos/.</int:CitationText>
              </int:Suggestion>
            </int:Suggestions>
            <int:AdditionalSources SourceType="Online" SourceTitle="Parliamentary Sovereignty | Cases - lawprof.co" SourceUrl="https://lawprof.co/public-law/parliamentary-sovereignty-cases/" SourceSnippet="Case 26/62 Van Gend en Loos v Nederlandse Administratie der Belastingen [1963] ECR 1. C-213/89 R v Secretary of State for Transport, ex parte Factortame Ltd [1990] ECR I-2433. Constitutional Statutes. Thoburn v Sunderland City Council [2002] EWHC 195 (Admin); [2003] QB 151 Important">
              <int:Suggestions CitationType="Inline">
                <int:Suggestion CitationStyle="Mla" IsIdentical="0">
                  <int:CitationText>(“Parliamentary Sovereignty | Cases - lawprof.co”)</int:CitationText>
                </int:Suggestion>
                <int:Suggestion CitationStyle="Apa" IsIdentical="0">
                  <int:CitationText>(“Parliamentary Sovereignty | Cases - lawprof.co”)</int:CitationText>
                </int:Suggestion>
                <int:Suggestion CitationStyle="Chicago" IsIdentical="0">
                  <int:CitationText>(“Parliamentary Sovereignty | Cases - lawprof.co”)</int:CitationText>
                </int:Suggestion>
              </int:Suggestions>
              <int:Suggestions CitationType="Full">
                <int:Suggestion CitationStyle="Mla" IsIdentical="0">
                  <int:CitationText>&lt;i&gt;Parliamentary Sovereignty | Cases - lawprof.co&lt;/i&gt;, https://lawprof.co/public-law/parliamentary-sovereignty-cases/.</int:CitationText>
                </int:Suggestion>
                <int:Suggestion CitationStyle="Apa" IsIdentical="0">
                  <int:CitationText>&lt;i&gt;Parliamentary Sovereignty | Cases - lawprof.co&lt;/i&gt;. (n.d.). Retrieved from https://lawprof.co/public-law/parliamentary-sovereignty-cases/</int:CitationText>
                </int:Suggestion>
                <int:Suggestion CitationStyle="Chicago" IsIdentical="0">
                  <int:CitationText>“Parliamentary Sovereignty | Cases - lawprof.co” n.d., https://lawprof.co/public-law/parliamentary-sovereignty-cases/.</int:CitationText>
                </int:Suggestion>
              </int:Suggestions>
            </int:AdditionalSources>
            <int:AdditionalSources SourceType="Online" SourceTitle="Page 513 – Simple Studying" SourceUrl="https://simplestudying.com/forums/page/513/" SourceSnippet="Case 26/62, Van Gend en Loos v Nederlandse Administratie der Belastingen (1963) ECR 1 is a European Union Law case concerning the Doctrine of Direct Effect. Facts: In Van Gend en Loos, the claimant had been charged an import duty by the Dutch authorities.">
              <int:Suggestions CitationType="Inline">
                <int:Suggestion CitationStyle="Mla" IsIdentical="0">
                  <int:CitationText>(“Page 513 – Simple Studying”)</int:CitationText>
                </int:Suggestion>
                <int:Suggestion CitationStyle="Apa" IsIdentical="0">
                  <int:CitationText>(“Page 513 – Simple Studying”)</int:CitationText>
                </int:Suggestion>
                <int:Suggestion CitationStyle="Chicago" IsIdentical="0">
                  <int:CitationText>(“Page 513 – Simple Studying”)</int:CitationText>
                </int:Suggestion>
              </int:Suggestions>
              <int:Suggestions CitationType="Full">
                <int:Suggestion CitationStyle="Mla" IsIdentical="0">
                  <int:CitationText>&lt;i&gt;Page 513 – Simple Studying&lt;/i&gt;, https://simplestudying.com/forums/page/513/.</int:CitationText>
                </int:Suggestion>
                <int:Suggestion CitationStyle="Apa" IsIdentical="0">
                  <int:CitationText>&lt;i&gt;Page 513 – Simple Studying&lt;/i&gt;. (n.d.). Retrieved from https://simplestudying.com/forums/page/513/</int:CitationText>
                </int:Suggestion>
                <int:Suggestion CitationStyle="Chicago" IsIdentical="0">
                  <int:CitationText>“Page 513 – Simple Studying” n.d., https://simplestudying.com/forums/page/513/.</int:CitationText>
                </int:Suggestion>
              </int:Suggestions>
            </int:AdditionalSources>
          </int:SimilarityCritique>
        </oel:ext>
      </int:extLst>
    </int:Content>
    <int:Content id="vphbnRaO">
      <int:extLst>
        <oel:ext uri="E302BA01-7950-474C-9AD3-286E660C40A8">
          <int:SimilaritySummary Version="1" RunId="1651771584845" TilesCheckedInThisRun="24" TotalNumOfTiles="24" SimilarityAnnotationCount="6" NumWords="2147" NumFlaggedWords="100"/>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6CB596"/>
    <w:rsid w:val="01D05AA8"/>
    <w:rsid w:val="020E4485"/>
    <w:rsid w:val="0263D43B"/>
    <w:rsid w:val="0507FB6A"/>
    <w:rsid w:val="05EF985A"/>
    <w:rsid w:val="07ACB396"/>
    <w:rsid w:val="0818ED06"/>
    <w:rsid w:val="0845EA88"/>
    <w:rsid w:val="094883F7"/>
    <w:rsid w:val="0A54A4FE"/>
    <w:rsid w:val="0B78A947"/>
    <w:rsid w:val="0B78A947"/>
    <w:rsid w:val="0C8F14B9"/>
    <w:rsid w:val="0C8F14B9"/>
    <w:rsid w:val="0E2AE51A"/>
    <w:rsid w:val="0EB01738"/>
    <w:rsid w:val="14A29893"/>
    <w:rsid w:val="14A29893"/>
    <w:rsid w:val="160E8828"/>
    <w:rsid w:val="160E8828"/>
    <w:rsid w:val="18826EFC"/>
    <w:rsid w:val="18B69A53"/>
    <w:rsid w:val="18B69A53"/>
    <w:rsid w:val="1D4322C4"/>
    <w:rsid w:val="1D4322C4"/>
    <w:rsid w:val="23EF149D"/>
    <w:rsid w:val="2B30895A"/>
    <w:rsid w:val="2F4666B2"/>
    <w:rsid w:val="3098D4D6"/>
    <w:rsid w:val="31B2720E"/>
    <w:rsid w:val="31B2720E"/>
    <w:rsid w:val="33EC100A"/>
    <w:rsid w:val="34084D87"/>
    <w:rsid w:val="37ED80C5"/>
    <w:rsid w:val="38D121A6"/>
    <w:rsid w:val="39570167"/>
    <w:rsid w:val="39570167"/>
    <w:rsid w:val="3AE32A88"/>
    <w:rsid w:val="3B3D91A9"/>
    <w:rsid w:val="3E6CB596"/>
    <w:rsid w:val="3E77CCB9"/>
    <w:rsid w:val="45FDAB85"/>
    <w:rsid w:val="47997BE6"/>
    <w:rsid w:val="4B3CEAF6"/>
    <w:rsid w:val="4C0F9806"/>
    <w:rsid w:val="4CFA0632"/>
    <w:rsid w:val="4D663FA2"/>
    <w:rsid w:val="4DC5A30E"/>
    <w:rsid w:val="5285216B"/>
    <w:rsid w:val="5285216B"/>
    <w:rsid w:val="54D11F91"/>
    <w:rsid w:val="55996D06"/>
    <w:rsid w:val="57BD1CDC"/>
    <w:rsid w:val="57BD1CDC"/>
    <w:rsid w:val="5958ED3D"/>
    <w:rsid w:val="59EFEB2F"/>
    <w:rsid w:val="5A773DC4"/>
    <w:rsid w:val="5AF4BD9E"/>
    <w:rsid w:val="5AF5E518"/>
    <w:rsid w:val="5D222F1C"/>
    <w:rsid w:val="5EBDFF7D"/>
    <w:rsid w:val="6059CFDE"/>
    <w:rsid w:val="6059CFDE"/>
    <w:rsid w:val="6107625A"/>
    <w:rsid w:val="6107625A"/>
    <w:rsid w:val="643F031C"/>
    <w:rsid w:val="643F2A5A"/>
    <w:rsid w:val="6525A2F2"/>
    <w:rsid w:val="6525A2F2"/>
    <w:rsid w:val="6813E177"/>
    <w:rsid w:val="6A705AC3"/>
    <w:rsid w:val="6DC67524"/>
    <w:rsid w:val="6DC67524"/>
    <w:rsid w:val="6EE20B95"/>
    <w:rsid w:val="6EE20B95"/>
    <w:rsid w:val="707DDBF6"/>
    <w:rsid w:val="72190E64"/>
    <w:rsid w:val="73845473"/>
    <w:rsid w:val="7418A962"/>
    <w:rsid w:val="7B9F0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CB596"/>
  <w15:chartTrackingRefBased/>
  <w15:docId w15:val="{08AE6374-D974-47D9-BF2A-BD230CFC2C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europarl.europa.eu" TargetMode="External" Id="R6fc837e9655941c6" /><Relationship Type="http://schemas.openxmlformats.org/officeDocument/2006/relationships/hyperlink" Target="https://www.allaboutlaw.co.uk/stage/areas-of-law/eu-law" TargetMode="External" Id="R3a70eccaee4b4372" /><Relationship Type="http://schemas.openxmlformats.org/officeDocument/2006/relationships/hyperlink" Target="https://www.europarl.europa.eu/factsheets/en/sheet/38/free-movement-of-goods" TargetMode="External" Id="R09e6de6b95114de5" /><Relationship Type="http://schemas.openxmlformats.org/officeDocument/2006/relationships/hyperlink" Target="https://www.europarl.europa.eu/factsheets/en/sheet/40/freedom-of-establishment-and-freedom-to-provide-services" TargetMode="External" Id="R84d4ec8ee8774a2a" /><Relationship Type="http://schemas.openxmlformats.org/officeDocument/2006/relationships/hyperlink" Target="https://simplestudying.com/van-gend-en-loos/" TargetMode="External" Id="R5e758f3eebbe4c9f" /><Relationship Type="http://schemas.openxmlformats.org/officeDocument/2006/relationships/hyperlink" Target="https://lawprof.co/eu-law/direct-and-indirect-effect-cases/case-14-83-von-colson-1984-ecr-1891/" TargetMode="External" Id="Rb631135398014277" /><Relationship Type="http://schemas.microsoft.com/office/2019/09/relationships/intelligence" Target="/word/intelligence.xml" Id="Re8eefd25f5f342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2</revision>
  <dcterms:created xsi:type="dcterms:W3CDTF">2022-05-05T12:57:16.5271004Z</dcterms:created>
  <dcterms:modified xsi:type="dcterms:W3CDTF">2022-05-05T17:26:55.2491793Z</dcterms:modified>
</coreProperties>
</file>