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F81E1" w14:textId="0B8EE647" w:rsidR="00F577AF" w:rsidRDefault="00F577AF">
      <w:pPr>
        <w:jc w:val="center"/>
        <w:rPr>
          <w:rFonts w:cs="Arial"/>
          <w:b/>
          <w:sz w:val="28"/>
        </w:rPr>
      </w:pPr>
      <w:r w:rsidRPr="00CD33A8">
        <w:rPr>
          <w:rFonts w:asciiTheme="minorBidi" w:hAnsiTheme="minorBidi"/>
          <w:noProof/>
        </w:rPr>
        <w:drawing>
          <wp:anchor distT="0" distB="0" distL="114300" distR="114300" simplePos="0" relativeHeight="251659776" behindDoc="0" locked="0" layoutInCell="1" allowOverlap="1" wp14:anchorId="19D09680" wp14:editId="57B4A4FA">
            <wp:simplePos x="0" y="0"/>
            <wp:positionH relativeFrom="column">
              <wp:posOffset>-541020</wp:posOffset>
            </wp:positionH>
            <wp:positionV relativeFrom="paragraph">
              <wp:posOffset>-412115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9DFE61B" w14:textId="77777777" w:rsidR="00220F4F" w:rsidRDefault="00220F4F">
      <w:pPr>
        <w:jc w:val="center"/>
        <w:rPr>
          <w:rFonts w:cs="Arial"/>
          <w:b/>
          <w:sz w:val="28"/>
        </w:rPr>
      </w:pPr>
    </w:p>
    <w:p w14:paraId="3822ED06" w14:textId="77777777" w:rsidR="00220F4F" w:rsidRDefault="00220F4F">
      <w:pPr>
        <w:jc w:val="center"/>
        <w:rPr>
          <w:rFonts w:cs="Arial"/>
          <w:b/>
          <w:sz w:val="28"/>
        </w:rPr>
      </w:pPr>
    </w:p>
    <w:p w14:paraId="656D69F5" w14:textId="7C75939C" w:rsidR="00862F8D" w:rsidRPr="00FE23C0" w:rsidRDefault="00A90458">
      <w:pPr>
        <w:jc w:val="center"/>
        <w:rPr>
          <w:rFonts w:cs="Arial"/>
        </w:rPr>
      </w:pPr>
      <w:r w:rsidRPr="00FE23C0">
        <w:rPr>
          <w:rFonts w:cs="Arial" w:ascii="Arial" w:hAnsi="Arial"/>
          <w:b/>
          <w:sz w:val="30"/>
        </w:rPr>
        <w:t>UNIVERSITY OF WALES TRINITY SAINT DAVID</w:t>
      </w:r>
    </w:p>
    <w:p w14:paraId="3186C774" w14:textId="0E26D490" w:rsidR="00862F8D" w:rsidRPr="00FE23C0" w:rsidRDefault="00A90458">
      <w:pPr>
        <w:jc w:val="center"/>
        <w:rPr>
          <w:rFonts w:cs="Arial"/>
        </w:rPr>
      </w:pPr>
      <w:r w:rsidRPr="00FE23C0">
        <w:rPr>
          <w:rFonts w:cs="Arial" w:ascii="Arial" w:hAnsi="Arial"/>
          <w:b/>
          <w:sz w:val="28"/>
        </w:rPr>
        <w:t>CERTIFICATE OF HIGHER EDUCATION SKILLS FOR THE WORKPLACE</w:t>
      </w:r>
      <w:r w:rsidRPr="00FE23C0">
        <w:rPr>
          <w:rFonts w:cs="Arial" w:ascii="Arial" w:hAnsi="Arial"/>
          <w:b/>
          <w:sz w:val="28"/>
        </w:rPr>
        <w:br/>
        <w:t>(HEALTH &amp; SOCIAL CARE)</w:t>
      </w:r>
    </w:p>
    <w:p w14:paraId="1A9E72C0" w14:textId="77777777" w:rsidR="00862F8D" w:rsidRPr="00FE23C0" w:rsidRDefault="00862F8D">
      <w:pPr>
        <w:rPr>
          <w:rFonts w:cs="Arial"/>
        </w:rPr>
      </w:pPr>
    </w:p>
    <w:p w14:paraId="4BA4FFC6" w14:textId="02F515DB" w:rsidR="00862F8D" w:rsidRPr="00FE23C0" w:rsidRDefault="00A90458">
      <w:pPr>
        <w:spacing w:before="240" w:after="560"/>
        <w:jc w:val="center"/>
        <w:rPr>
          <w:rFonts w:cs="Arial"/>
        </w:rPr>
      </w:pPr>
      <w:r w:rsidRPr="00FE23C0">
        <w:rPr>
          <w:rFonts w:cs="Arial" w:ascii="Arial" w:hAnsi="Arial"/>
          <w:b/>
          <w:sz w:val="44"/>
        </w:rPr>
        <w:t>DEPRESSION AS A PUBLIC HEALTH ISSUE</w:t>
      </w:r>
    </w:p>
    <w:p w14:paraId="60184DE6" w14:textId="27B37C32" w:rsidR="00F577AF" w:rsidRPr="00220F4F" w:rsidRDefault="00F577AF" w:rsidP="00F577AF">
      <w:pPr>
        <w:rPr>
          <w:rFonts w:cs="Arial"/>
          <w:sz w:val="24"/>
          <w:szCs w:val="24"/>
        </w:rPr>
      </w:pPr>
    </w:p>
    <w:p w14:paraId="1F7151E4" w14:textId="77777777" w:rsidR="00F577AF" w:rsidRPr="00220F4F" w:rsidRDefault="00F577AF" w:rsidP="00F577AF">
      <w:pPr>
        <w:rPr>
          <w:rFonts w:cs="Arial"/>
          <w:sz w:val="24"/>
          <w:szCs w:val="24"/>
        </w:rPr>
      </w:pPr>
    </w:p>
    <w:p w14:paraId="6EB4CF0D" w14:textId="558D5057" w:rsidR="00F577AF" w:rsidRPr="00220F4F" w:rsidRDefault="00A90458" w:rsidP="00F577AF">
      <w:pPr>
        <w:spacing w:after="80" w:line="259" w:lineRule="auto"/>
        <w:rPr>
          <w:rFonts w:cs="Arial"/>
          <w:sz w:val="24"/>
          <w:szCs w:val="24"/>
          <w:lang w:val="en-GB"/>
        </w:rPr>
      </w:pPr>
      <w:r w:rsidRPr="00220F4F">
        <w:rPr>
          <w:rFonts w:cs="Arial" w:ascii="Arial" w:hAnsi="Arial"/>
          <w:b/>
          <w:bCs/>
          <w:sz w:val="24"/>
          <w:szCs w:val="24"/>
          <w:lang w:val="en-GB"/>
        </w:rPr>
        <w:t>MODULE NAME</w:t>
      </w:r>
      <w:r w:rsidRPr="00220F4F">
        <w:rPr>
          <w:rFonts w:cs="Arial" w:ascii="Arial" w:hAnsi="Arial"/>
          <w:sz w:val="24"/>
          <w:szCs w:val="24"/>
          <w:lang w:val="en-GB"/>
        </w:rPr>
        <w:t xml:space="preserve">: </w:t>
      </w:r>
      <w:r w:rsidRPr="00220F4F">
        <w:rPr>
          <w:rFonts w:cs="Arial" w:ascii="Arial" w:hAnsi="Arial"/>
          <w:sz w:val="24"/>
          <w:szCs w:val="24"/>
        </w:rPr>
        <w:t>INTRODUCTION TO PUBLIC HEALTH</w:t>
      </w:r>
    </w:p>
    <w:p w14:paraId="29782328" w14:textId="743DCAA2" w:rsidR="00F577AF" w:rsidRPr="0093013A" w:rsidRDefault="00A90458" w:rsidP="00F577AF">
      <w:pPr>
        <w:tabs>
          <w:tab w:val="left" w:pos="6540"/>
        </w:tabs>
        <w:spacing w:after="80"/>
        <w:rPr>
          <w:rFonts w:cs="Arial"/>
          <w:sz w:val="24"/>
          <w:szCs w:val="24"/>
          <w:lang w:val="en-GB"/>
        </w:rPr>
      </w:pPr>
      <w:r w:rsidRPr="0093013A">
        <w:rPr>
          <w:rFonts w:cs="Arial" w:ascii="Arial" w:hAnsi="Arial"/>
          <w:b/>
          <w:bCs/>
          <w:sz w:val="24"/>
          <w:szCs w:val="24"/>
          <w:lang w:val="en-GB"/>
        </w:rPr>
        <w:t>MODULE CODE</w:t>
      </w:r>
      <w:r w:rsidRPr="0093013A">
        <w:rPr>
          <w:rFonts w:cs="Arial" w:ascii="Arial" w:hAnsi="Arial"/>
          <w:sz w:val="24"/>
          <w:szCs w:val="24"/>
          <w:lang w:val="en-GB"/>
        </w:rPr>
        <w:t xml:space="preserve">: </w:t>
      </w:r>
      <w:r w:rsidRPr="00220F4F">
        <w:rPr>
          <w:rFonts w:cs="Arial" w:ascii="Arial" w:hAnsi="Arial"/>
          <w:sz w:val="24"/>
          <w:szCs w:val="24"/>
        </w:rPr>
        <w:t>LCHS4008</w:t>
      </w:r>
    </w:p>
    <w:p w14:paraId="00E96BB5" w14:textId="77777777" w:rsidR="00F577AF" w:rsidRPr="0093013A" w:rsidRDefault="00F577AF" w:rsidP="00F577AF">
      <w:pPr>
        <w:tabs>
          <w:tab w:val="left" w:pos="6540"/>
        </w:tabs>
        <w:rPr>
          <w:rFonts w:cs="Arial"/>
          <w:b/>
          <w:bCs/>
          <w:sz w:val="24"/>
          <w:szCs w:val="24"/>
          <w:lang w:val="en-GB"/>
        </w:rPr>
      </w:pPr>
    </w:p>
    <w:p w14:paraId="15D5BEBF" w14:textId="5B83B5A9" w:rsidR="00F577AF" w:rsidRPr="00220F4F" w:rsidRDefault="00A90458" w:rsidP="00F577AF">
      <w:pPr>
        <w:spacing w:after="80" w:line="259" w:lineRule="auto"/>
        <w:rPr>
          <w:rFonts w:cs="Arial"/>
          <w:sz w:val="24"/>
          <w:szCs w:val="24"/>
          <w:lang w:val="en-GB"/>
        </w:rPr>
      </w:pPr>
      <w:r w:rsidRPr="0093013A">
        <w:rPr>
          <w:rFonts w:cs="Arial" w:ascii="Arial" w:hAnsi="Arial"/>
          <w:b/>
          <w:bCs/>
          <w:sz w:val="24"/>
          <w:szCs w:val="24"/>
          <w:lang w:val="en-GB"/>
        </w:rPr>
        <w:t>STUDENT NAME</w:t>
      </w:r>
      <w:r w:rsidRPr="0093013A">
        <w:rPr>
          <w:rFonts w:cs="Arial" w:ascii="Arial" w:hAnsi="Arial"/>
          <w:sz w:val="24"/>
          <w:szCs w:val="24"/>
          <w:lang w:val="en-GB"/>
        </w:rPr>
        <w:t xml:space="preserve">: </w:t>
      </w:r>
      <w:r w:rsidRPr="00220F4F">
        <w:rPr>
          <w:rFonts w:cs="Arial" w:ascii="Arial" w:hAnsi="Arial"/>
          <w:sz w:val="24"/>
          <w:szCs w:val="24"/>
        </w:rPr>
        <w:t>JAIME LUIS TORRES HERNANDEZ</w:t>
      </w:r>
    </w:p>
    <w:p w14:paraId="44035D82" w14:textId="1D801791" w:rsidR="00F577AF" w:rsidRPr="00220F4F" w:rsidRDefault="00A90458" w:rsidP="00F577AF">
      <w:pPr>
        <w:tabs>
          <w:tab w:val="left" w:pos="6540"/>
        </w:tabs>
        <w:spacing w:after="80"/>
        <w:rPr>
          <w:rFonts w:cs="Arial"/>
          <w:sz w:val="24"/>
          <w:szCs w:val="24"/>
          <w:lang w:val="en-GB"/>
        </w:rPr>
      </w:pPr>
      <w:r w:rsidRPr="00220F4F">
        <w:rPr>
          <w:rFonts w:cs="Arial" w:ascii="Arial" w:hAnsi="Arial"/>
          <w:b/>
          <w:bCs/>
          <w:sz w:val="24"/>
          <w:szCs w:val="24"/>
          <w:lang w:val="en-GB"/>
        </w:rPr>
        <w:t>STUDENT ID</w:t>
      </w:r>
      <w:r w:rsidRPr="00220F4F">
        <w:rPr>
          <w:rFonts w:cs="Arial" w:ascii="Arial" w:hAnsi="Arial"/>
          <w:sz w:val="24"/>
          <w:szCs w:val="24"/>
          <w:lang w:val="en-GB"/>
        </w:rPr>
        <w:t xml:space="preserve">: </w:t>
      </w:r>
      <w:r w:rsidRPr="00220F4F">
        <w:rPr>
          <w:rFonts w:cs="Arial" w:ascii="Arial" w:hAnsi="Arial"/>
          <w:sz w:val="24"/>
          <w:szCs w:val="24"/>
        </w:rPr>
        <w:t>2526991</w:t>
      </w:r>
    </w:p>
    <w:p w14:paraId="50272B71" w14:textId="77777777" w:rsidR="00F577AF" w:rsidRPr="00220F4F" w:rsidRDefault="00F577AF" w:rsidP="00F577AF">
      <w:pPr>
        <w:tabs>
          <w:tab w:val="left" w:pos="6540"/>
        </w:tabs>
        <w:rPr>
          <w:rFonts w:cs="Arial"/>
          <w:sz w:val="24"/>
          <w:szCs w:val="24"/>
          <w:lang w:val="en-GB"/>
        </w:rPr>
      </w:pPr>
    </w:p>
    <w:p w14:paraId="09BA5CBB" w14:textId="5B5D382F" w:rsidR="00F577AF" w:rsidRPr="00220F4F" w:rsidRDefault="00A90458" w:rsidP="00F577AF">
      <w:pPr>
        <w:tabs>
          <w:tab w:val="left" w:pos="6540"/>
        </w:tabs>
        <w:spacing w:after="80"/>
        <w:rPr>
          <w:rFonts w:cs="Arial"/>
          <w:sz w:val="24"/>
          <w:szCs w:val="24"/>
        </w:rPr>
      </w:pPr>
      <w:r w:rsidRPr="00220F4F">
        <w:rPr>
          <w:rFonts w:cs="Arial" w:ascii="Arial" w:hAnsi="Arial"/>
          <w:b/>
          <w:bCs/>
          <w:sz w:val="24"/>
          <w:szCs w:val="24"/>
        </w:rPr>
        <w:t>LECTURER’S NAME</w:t>
      </w:r>
      <w:r w:rsidRPr="00220F4F">
        <w:rPr>
          <w:rFonts w:cs="Arial" w:ascii="Arial" w:hAnsi="Arial"/>
          <w:sz w:val="24"/>
          <w:szCs w:val="24"/>
        </w:rPr>
        <w:t>: TONIA BABALOLA</w:t>
      </w:r>
    </w:p>
    <w:p w14:paraId="4D841AC5" w14:textId="77777777" w:rsidR="00F577AF" w:rsidRPr="00CD33A8" w:rsidRDefault="00F577AF" w:rsidP="00F577AF">
      <w:pPr>
        <w:tabs>
          <w:tab w:val="left" w:pos="6540"/>
        </w:tabs>
        <w:spacing w:after="80"/>
        <w:rPr>
          <w:rFonts w:asciiTheme="minorBidi" w:hAnsiTheme="minorBidi"/>
        </w:rPr>
      </w:pPr>
    </w:p>
    <w:p w14:paraId="6003D12E" w14:textId="5760EF36" w:rsidR="00F577AF" w:rsidRPr="00CD33A8" w:rsidRDefault="00A90458" w:rsidP="00F577AF">
      <w:pPr>
        <w:tabs>
          <w:tab w:val="left" w:pos="6540"/>
        </w:tabs>
        <w:spacing w:after="100"/>
        <w:rPr>
          <w:rFonts w:asciiTheme="minorBidi" w:hAnsiTheme="minorBidi"/>
        </w:rPr>
      </w:pPr>
      <w:r>
        <w:rPr>
          <w:rFonts w:ascii="Arial" w:hAnsi="Arial"/>
          <w:b/>
          <w:sz w:val="24"/>
        </w:rPr>
        <w:t xml:space="preserve">ASSESSMENT: </w:t>
      </w:r>
      <w:r>
        <w:rPr>
          <w:rFonts w:ascii="Arial" w:hAnsi="Arial"/>
          <w:sz w:val="24"/>
        </w:rPr>
        <w:t>COMPONENT 2 – WRITTEN REPORT</w:t>
      </w:r>
    </w:p>
    <w:p w14:paraId="0D7CB4D8" w14:textId="20018473" w:rsidR="00F577AF" w:rsidRPr="00CD33A8" w:rsidRDefault="00A90458" w:rsidP="00F577AF">
      <w:pPr>
        <w:tabs>
          <w:tab w:val="left" w:pos="6540"/>
        </w:tabs>
        <w:spacing w:after="100"/>
        <w:rPr>
          <w:rFonts w:asciiTheme="minorBidi" w:hAnsiTheme="minorBidi"/>
        </w:rPr>
      </w:pPr>
      <w:r>
        <w:rPr>
          <w:rFonts w:ascii="Arial" w:hAnsi="Arial"/>
          <w:b/>
          <w:sz w:val="22"/>
        </w:rPr>
        <w:t xml:space="preserve">WORD COUNT: </w:t>
      </w:r>
      <w:r>
        <w:rPr>
          <w:rFonts w:ascii="Arial" w:hAnsi="Arial"/>
          <w:sz w:val="22"/>
        </w:rPr>
        <w:t>1,600 WORDS</w:t>
      </w:r>
    </w:p>
    <w:p w14:paraId="043281DD" w14:textId="2592FE11" w:rsidR="00F577AF" w:rsidRPr="00CD33A8" w:rsidRDefault="00A90458" w:rsidP="00F577AF">
      <w:pPr>
        <w:tabs>
          <w:tab w:val="left" w:pos="6540"/>
        </w:tabs>
        <w:rPr>
          <w:rFonts w:asciiTheme="minorBidi" w:hAnsiTheme="minorBidi"/>
        </w:rPr>
      </w:pPr>
      <w:r>
        <w:br w:type="page"/>
      </w:r>
    </w:p>
    <w:p w14:paraId="20ACA206" w14:textId="77777777" w:rsidR="00F577AF" w:rsidRPr="00CD33A8" w:rsidRDefault="00F577AF" w:rsidP="00F577AF">
      <w:pPr>
        <w:rPr>
          <w:rFonts w:asciiTheme="minorBidi" w:hAnsiTheme="minorBidi"/>
        </w:rPr>
      </w:pPr>
    </w:p>
    <w:p w14:paraId="456C9D05" w14:textId="77777777" w:rsidR="00AD55B5" w:rsidRDefault="00000000">
      <w:pPr>
        <w:spacing w:after="240"/>
        <w:jc w:val="center"/>
      </w:pPr>
      <w:r>
        <w:rPr>
          <w:rFonts w:ascii="Arial" w:hAnsi="Arial"/>
          <w:b/>
          <w:sz w:val="28"/>
        </w:rPr>
        <w:t>Table of Contents</w:t>
      </w:r>
    </w:p>
    <w:p w14:paraId="72D0ACD8" w14:textId="77777777" w:rsidR="00AD55B5" w:rsidRDefault="00000000">
      <w:pPr>
        <w:tabs>
          <w:tab w:val="right" w:leader="dot" w:pos="8640"/>
        </w:tabs>
        <w:spacing w:after="120" w:line="276" w:lineRule="auto" w:before="0"/>
        <w:ind w:left="216" w:right="144"/>
        <w:jc w:val="left"/>
      </w:pPr>
      <w:r>
        <w:rPr>
          <w:rFonts w:ascii="Arial" w:hAnsi="Arial"/>
          <w:sz w:val="22"/>
        </w:rPr>
        <w:t>1. Introduction</w:t>
        <w:tab/>
        <w:t>3</w:t>
      </w:r>
    </w:p>
    <w:p w14:paraId="4A83C71D" w14:textId="77777777" w:rsidR="00AD55B5" w:rsidRDefault="00000000">
      <w:pPr>
        <w:tabs>
          <w:tab w:val="right" w:leader="dot" w:pos="8640"/>
        </w:tabs>
        <w:spacing w:after="120" w:line="276" w:lineRule="auto" w:before="0"/>
        <w:ind w:left="216" w:right="144"/>
        <w:jc w:val="left"/>
      </w:pPr>
      <w:r>
        <w:rPr>
          <w:rFonts w:ascii="Arial" w:hAnsi="Arial"/>
          <w:sz w:val="22"/>
        </w:rPr>
        <w:t>2. Risk Factors and Level of Incidence</w:t>
        <w:tab/>
        <w:t>3</w:t>
      </w:r>
    </w:p>
    <w:p w14:paraId="3C7A8C10" w14:textId="77777777" w:rsidR="00AD55B5" w:rsidRDefault="00000000">
      <w:pPr>
        <w:tabs>
          <w:tab w:val="right" w:leader="dot" w:pos="8640"/>
        </w:tabs>
        <w:spacing w:after="120" w:line="276" w:lineRule="auto" w:before="0"/>
        <w:ind w:left="216" w:right="144"/>
        <w:jc w:val="left"/>
      </w:pPr>
      <w:r>
        <w:rPr>
          <w:rFonts w:ascii="Arial" w:hAnsi="Arial"/>
          <w:sz w:val="22"/>
        </w:rPr>
        <w:t>3. Measuring and Monitoring Depression</w:t>
        <w:tab/>
        <w:t>4</w:t>
      </w:r>
    </w:p>
    <w:p w14:paraId="445C0433" w14:textId="77777777" w:rsidR="00AD55B5" w:rsidRDefault="00000000">
      <w:pPr>
        <w:tabs>
          <w:tab w:val="right" w:leader="dot" w:pos="8640"/>
        </w:tabs>
        <w:spacing w:after="120" w:line="276" w:lineRule="auto" w:before="0"/>
        <w:ind w:left="216" w:right="144"/>
        <w:jc w:val="left"/>
      </w:pPr>
      <w:r>
        <w:rPr>
          <w:rFonts w:ascii="Arial" w:hAnsi="Arial"/>
          <w:sz w:val="22"/>
        </w:rPr>
        <w:t>4. Control, Prevention and Management</w:t>
        <w:tab/>
        <w:t>4</w:t>
      </w:r>
    </w:p>
    <w:p w14:paraId="1919EFD2" w14:textId="77777777" w:rsidR="00AD55B5" w:rsidRDefault="00000000">
      <w:pPr>
        <w:tabs>
          <w:tab w:val="right" w:leader="dot" w:pos="8640"/>
        </w:tabs>
        <w:spacing w:after="120" w:line="276" w:lineRule="auto" w:before="0"/>
        <w:ind w:left="216" w:right="144"/>
        <w:jc w:val="left"/>
      </w:pPr>
      <w:r>
        <w:rPr>
          <w:rFonts w:ascii="Arial" w:hAnsi="Arial"/>
          <w:sz w:val="22"/>
        </w:rPr>
        <w:t>5. Consequences for Individuals and Communities</w:t>
        <w:tab/>
        <w:t>5</w:t>
      </w:r>
    </w:p>
    <w:p w14:paraId="13121638" w14:textId="77777777" w:rsidR="00AD55B5" w:rsidRDefault="00000000">
      <w:pPr>
        <w:tabs>
          <w:tab w:val="right" w:leader="dot" w:pos="8640"/>
        </w:tabs>
        <w:spacing w:after="120" w:line="276" w:lineRule="auto" w:before="0"/>
        <w:ind w:left="216" w:right="144"/>
        <w:jc w:val="left"/>
      </w:pPr>
      <w:r>
        <w:rPr>
          <w:rFonts w:ascii="Arial" w:hAnsi="Arial"/>
          <w:sz w:val="22"/>
        </w:rPr>
        <w:t>6. Health and Social Care Support and Practical Professional Actions</w:t>
        <w:tab/>
        <w:t>6</w:t>
      </w:r>
    </w:p>
    <w:p w14:paraId="37EB2E66" w14:textId="77777777" w:rsidR="00AD55B5" w:rsidRDefault="00000000">
      <w:pPr>
        <w:tabs>
          <w:tab w:val="right" w:leader="dot" w:pos="8640"/>
        </w:tabs>
        <w:spacing w:after="120" w:line="276" w:lineRule="auto" w:before="0"/>
        <w:ind w:left="216" w:right="144"/>
        <w:jc w:val="left"/>
      </w:pPr>
      <w:r>
        <w:rPr>
          <w:rFonts w:ascii="Arial" w:hAnsi="Arial"/>
          <w:sz w:val="22"/>
        </w:rPr>
        <w:t>7. Conclusion</w:t>
        <w:tab/>
        <w:t>7</w:t>
      </w:r>
    </w:p>
    <w:p w14:paraId="545FC08B" w14:textId="77777777" w:rsidR="00AD55B5" w:rsidRDefault="00000000">
      <w:pPr>
        <w:tabs>
          <w:tab w:val="right" w:leader="dot" w:pos="8640"/>
        </w:tabs>
        <w:spacing w:after="120" w:line="276" w:lineRule="auto" w:before="0"/>
        <w:ind w:left="216" w:right="144"/>
        <w:jc w:val="left"/>
      </w:pPr>
      <w:r>
        <w:rPr>
          <w:rFonts w:ascii="Arial" w:hAnsi="Arial"/>
          <w:sz w:val="22"/>
        </w:rPr>
        <w:t>Reference List</w:t>
        <w:tab/>
        <w:t>8</w:t>
      </w:r>
    </w:p>
    <w:p w14:paraId="786A64E4" w14:textId="77777777" w:rsidR="00AD55B5" w:rsidRDefault="00000000">
      <w:r>
        <w:br w:type="page"/>
      </w:r>
    </w:p>
    <w:p w14:paraId="27727907" w14:textId="77777777" w:rsidR="00862F8D" w:rsidRPr="00FE23C0" w:rsidRDefault="00000000">
      <w:pPr>
        <w:pStyle w:val="Heading1"/>
        <w:jc w:val="left"/>
        <w:rPr>
          <w:rFonts w:ascii="Arial" w:hAnsi="Arial" w:cs="Arial"/>
          <w:color w:val="auto"/>
        </w:rPr>
      </w:pPr>
      <w:r w:rsidRPr="00FE23C0">
        <w:rPr>
          <w:rFonts w:ascii="Arial" w:eastAsia="Arial" w:hAnsi="Arial" w:cs="Arial"/>
          <w:b/>
          <w:color w:val="auto"/>
          <w:sz w:val="24"/>
        </w:rPr>
        <w:lastRenderedPageBreak/>
        <w:t>1. Introduction</w:t>
      </w:r>
    </w:p>
    <w:p w14:paraId="6D99C0A2" w14:textId="77777777" w:rsidR="00862F8D" w:rsidRDefault="00000000">
      <w:pPr>
        <w:spacing w:line="360" w:lineRule="auto" w:before="0" w:after="120"/>
        <w:jc w:val="both"/>
        <w:rPr>
          <w:rFonts w:cs="Arial"/>
        </w:rPr>
      </w:pPr>
      <w:r>
        <w:rPr>
          <w:rFonts w:ascii="Arial" w:hAnsi="Arial"/>
          <w:sz w:val="22"/>
        </w:rPr>
        <w:t>Depression is a common mental health condition characterised by a persistently low mood or reduced interest and enjoyment that interferes with everyday functioning. Symptoms may include hopelessness, low motivation, poor concentration, disturbed sleep or appetite, fatigue and, in severe cases, thoughts of self-harm or suicide (World Health Organization, 2025; NHS, 2023). Depression is a major public health issue because it is common, disabling and associated with substantial social and healthcare needs. The World Health Organization estimates that approximately 332 million people worldwide live with depression, including about 5.7% of adults (World Health Organization, 2025). In England, Quality and Outcomes Framework data reported a recorded depression prevalence of 14.3% in 2024–25 (NHS England Digital, 2025). Separately, 18% of adults surveyed in Great Britain in April 2025 reported moderate-to-severe depressive symptoms (Office for National Statistics, 2025). These figures use different methods and should not be interpreted as directly equivalent measures of diagnosed depression.</w:t>
      </w:r>
    </w:p>
    <w:p w14:paraId="38D8356C" w14:textId="77777777" w:rsidR="0093013A" w:rsidRPr="00FE23C0" w:rsidRDefault="0093013A">
      <w:pPr>
        <w:jc w:val="both"/>
        <w:rPr>
          <w:rFonts w:cs="Arial"/>
        </w:rPr>
      </w:pPr>
    </w:p>
    <w:p w14:paraId="3E7FECD4" w14:textId="77777777" w:rsidR="00862F8D" w:rsidRPr="00FE23C0" w:rsidRDefault="00000000">
      <w:pPr>
        <w:pStyle w:val="Heading1"/>
        <w:jc w:val="left"/>
        <w:rPr>
          <w:rFonts w:ascii="Arial" w:hAnsi="Arial" w:cs="Arial"/>
          <w:color w:val="auto"/>
        </w:rPr>
      </w:pPr>
      <w:r w:rsidRPr="00FE23C0">
        <w:rPr>
          <w:rFonts w:ascii="Arial" w:eastAsia="Arial" w:hAnsi="Arial" w:cs="Arial"/>
          <w:b/>
          <w:color w:val="auto"/>
          <w:sz w:val="24"/>
        </w:rPr>
        <w:t>2. Risk Factors and Level of Incidence</w:t>
      </w:r>
    </w:p>
    <w:p w14:paraId="4CAD6319" w14:textId="77777777" w:rsidR="00862F8D" w:rsidRPr="00FE23C0" w:rsidRDefault="00000000">
      <w:pPr>
        <w:spacing w:line="360" w:lineRule="auto" w:before="0" w:after="120"/>
        <w:jc w:val="both"/>
        <w:rPr>
          <w:rFonts w:cs="Arial"/>
        </w:rPr>
      </w:pPr>
      <w:r>
        <w:rPr>
          <w:rFonts w:ascii="Arial" w:hAnsi="Arial"/>
          <w:sz w:val="22"/>
        </w:rPr>
        <w:t>Depression is generally understood as a multifactorial condition in which biological vulnerability, psychological experiences and social circumstances interact to influence risk. Adverse life events, bereavement, trauma, unemployment, financial insecurity, loneliness, chronic physical illness and other forms of social disadvantage can increase vulnerability (World Health Organization, 2025). Previous depressive episodes and family history may also contribute. These factors are important in public health because exposure to them is not evenly distributed across society; people facing multiple disadvantages may experience both greater risk and additional barriers to accessing support.</w:t>
      </w:r>
    </w:p>
    <w:p w14:paraId="32BF8701" w14:textId="77777777" w:rsidR="00862F8D" w:rsidRDefault="00000000">
      <w:pPr>
        <w:spacing w:line="360" w:lineRule="auto" w:before="0" w:after="120"/>
        <w:jc w:val="both"/>
        <w:rPr>
          <w:rFonts w:cs="Arial"/>
        </w:rPr>
      </w:pPr>
      <w:r>
        <w:rPr>
          <w:rFonts w:ascii="Arial" w:hAnsi="Arial"/>
          <w:sz w:val="22"/>
        </w:rPr>
        <w:t>Incidence refers to new cases arising during a defined period, whereas prevalence describes the proportion of a population living with a condition. In England, the Quality and Outcomes Framework recorded 714,592 patients aged 18 and over as newly diagnosed with depression in 2024–25, 4.2% fewer than in 2023–24 (NHS England Digital, 2025). The same source reported a 14.3% recorded prevalence, while an ONS survey found that 18% of adults in Great Britain reported moderate-to-severe depressive symptoms in April 2025 (NHS England Digital, 2025; Office for National Statistics, 2025). These measures are not directly equivalent, but together they demonstrate the scale of newly recorded cases and the wider burden of depression.</w:t>
      </w:r>
    </w:p>
    <w:p w14:paraId="0DACA568" w14:textId="77777777" w:rsidR="0093013A" w:rsidRPr="00FE23C0" w:rsidRDefault="0093013A">
      <w:pPr>
        <w:jc w:val="both"/>
        <w:rPr>
          <w:rFonts w:cs="Arial"/>
        </w:rPr>
      </w:pPr>
    </w:p>
    <w:p w14:paraId="78AB11CB" w14:textId="77777777" w:rsidR="00862F8D" w:rsidRPr="00FE23C0" w:rsidRDefault="00000000">
      <w:pPr>
        <w:pStyle w:val="Heading1"/>
        <w:jc w:val="left"/>
        <w:rPr>
          <w:rFonts w:ascii="Arial" w:hAnsi="Arial" w:cs="Arial"/>
          <w:color w:val="auto"/>
        </w:rPr>
      </w:pPr>
      <w:r w:rsidRPr="00FE23C0">
        <w:rPr>
          <w:rFonts w:ascii="Arial" w:eastAsia="Arial" w:hAnsi="Arial" w:cs="Arial"/>
          <w:b/>
          <w:color w:val="auto"/>
          <w:sz w:val="24"/>
        </w:rPr>
        <w:t>3. Measuring and Monitoring Depression</w:t>
      </w:r>
    </w:p>
    <w:p w14:paraId="55D6902E" w14:textId="77777777" w:rsidR="00862F8D" w:rsidRPr="00FE23C0" w:rsidRDefault="00000000">
      <w:pPr>
        <w:spacing w:line="360" w:lineRule="auto" w:before="0" w:after="120"/>
        <w:jc w:val="both"/>
        <w:rPr>
          <w:rFonts w:cs="Arial"/>
        </w:rPr>
      </w:pPr>
      <w:r>
        <w:rPr>
          <w:rFonts w:ascii="Arial" w:hAnsi="Arial"/>
          <w:sz w:val="22"/>
        </w:rPr>
        <w:t>Depression is monitored through several complementary approaches. Population surveys estimate how depressive symptoms are distributed across demographic and socioeconomic groups and can identify changes over time. ONS surveys are particularly useful because they include people who may never seek healthcare. However, self-reported symptoms are not the same as a clinical diagnosis and estimates can be affected by survey design, response patterns and the period in which data are collected (Office for National Statistics, 2025).</w:t>
      </w:r>
    </w:p>
    <w:p w14:paraId="2366233B" w14:textId="77777777" w:rsidR="00862F8D" w:rsidRPr="00FE23C0" w:rsidRDefault="00000000">
      <w:pPr>
        <w:spacing w:line="360" w:lineRule="auto" w:before="0" w:after="120"/>
        <w:jc w:val="both"/>
        <w:rPr>
          <w:rFonts w:cs="Arial"/>
        </w:rPr>
      </w:pPr>
      <w:r>
        <w:rPr>
          <w:rFonts w:ascii="Arial" w:hAnsi="Arial"/>
          <w:sz w:val="22"/>
        </w:rPr>
        <w:t>Routine primary-care data provide a different perspective. GP practices record diagnoses and relevant clinical information, while Quality and Outcomes Framework data can be used to examine recorded prevalence and newly diagnosed cases across England. In 2024–25, QOF reported a 14.3% recorded prevalence of depression and 714,592 adults newly diagnosed with the condition (NHS England Digital, 2025). These data support service planning, although they may not capture people who have symptoms but do not seek help, are not diagnosed or are recorded differently between practices.</w:t>
      </w:r>
    </w:p>
    <w:p w14:paraId="20626534" w14:textId="77777777" w:rsidR="00862F8D" w:rsidRPr="00FE23C0" w:rsidRDefault="00000000">
      <w:pPr>
        <w:spacing w:line="360" w:lineRule="auto" w:before="0" w:after="120"/>
        <w:jc w:val="both"/>
        <w:rPr>
          <w:rFonts w:cs="Arial"/>
        </w:rPr>
      </w:pPr>
      <w:r>
        <w:rPr>
          <w:rFonts w:ascii="Arial" w:hAnsi="Arial"/>
          <w:sz w:val="22"/>
        </w:rPr>
        <w:t>Validated questionnaires can support assessment and repeated monitoring. The Patient Health Questionnaire-9 (PHQ-9) is a nine-item measure whose validity for assessing depression severity was established by Kroenke, Spitzer and Williams (2001). NHS Talking Therapies also uses standardised measures routinely to track patient progress and evaluate service outcomes (NHS England, n.d.). Nevertheless, questionnaire scores should complement rather than replace clinical assessment because they require interpretation in relation to the person’s circumstances, functioning and level of risk.</w:t>
      </w:r>
    </w:p>
    <w:p w14:paraId="79D13C67" w14:textId="77777777" w:rsidR="00862F8D" w:rsidRDefault="00000000">
      <w:pPr>
        <w:spacing w:line="360" w:lineRule="auto" w:before="0" w:after="120"/>
        <w:jc w:val="both"/>
        <w:rPr>
          <w:rFonts w:cs="Arial"/>
        </w:rPr>
      </w:pPr>
      <w:r>
        <w:rPr>
          <w:rFonts w:ascii="Arial" w:hAnsi="Arial"/>
          <w:sz w:val="22"/>
        </w:rPr>
        <w:t>Combining population surveys, clinical records, validated measures and routine service outcomes gives a more complete picture than relying on a single source. Comparing information from different systems helps public-health professionals identify unmet need, monitor inequalities and judge whether interventions are improving outcomes.</w:t>
      </w:r>
    </w:p>
    <w:p w14:paraId="78185F09" w14:textId="77777777" w:rsidR="0093013A" w:rsidRPr="00FE23C0" w:rsidRDefault="0093013A">
      <w:pPr>
        <w:jc w:val="both"/>
        <w:rPr>
          <w:rFonts w:cs="Arial"/>
        </w:rPr>
      </w:pPr>
    </w:p>
    <w:p w14:paraId="6B072451" w14:textId="77777777" w:rsidR="00862F8D" w:rsidRPr="00FE23C0" w:rsidRDefault="00000000">
      <w:pPr>
        <w:pStyle w:val="Heading1"/>
        <w:jc w:val="left"/>
        <w:rPr>
          <w:rFonts w:ascii="Arial" w:hAnsi="Arial" w:cs="Arial"/>
          <w:color w:val="auto"/>
        </w:rPr>
      </w:pPr>
      <w:r w:rsidRPr="00FE23C0">
        <w:rPr>
          <w:rFonts w:ascii="Arial" w:eastAsia="Arial" w:hAnsi="Arial" w:cs="Arial"/>
          <w:b/>
          <w:color w:val="auto"/>
          <w:sz w:val="24"/>
        </w:rPr>
        <w:t>4. Control, Prevention and Management</w:t>
      </w:r>
    </w:p>
    <w:p w14:paraId="0C091CA8" w14:textId="77777777" w:rsidR="00862F8D" w:rsidRPr="00FE23C0" w:rsidRDefault="00000000">
      <w:pPr>
        <w:spacing w:line="360" w:lineRule="auto" w:before="0" w:after="120"/>
        <w:jc w:val="both"/>
        <w:rPr>
          <w:rFonts w:cs="Arial"/>
        </w:rPr>
      </w:pPr>
      <w:r w:rsidRPr="00FE23C0">
        <w:rPr>
          <w:rFonts w:cs="Arial" w:ascii="Arial" w:hAnsi="Arial"/>
          <w:sz w:val="22"/>
        </w:rPr>
        <w:t>Depression cannot be controlled in the same way as an infectious disease. Public-health control therefore involves prevention, early identification, timely evidence-based treatment and prevention of relapse. Prevention includes promoting mental wellbeing and addressing modifiable social determinants such as isolation, financial stress, unemployment and insecure living circumstances. These measures are important because treatment alone does not remove the wider conditions that may contribute to poor mental health.</w:t>
      </w:r>
    </w:p>
    <w:p w14:paraId="549D1BCB" w14:textId="77777777" w:rsidR="00862F8D" w:rsidRPr="00FE23C0" w:rsidRDefault="00000000">
      <w:pPr>
        <w:spacing w:line="360" w:lineRule="auto" w:before="0" w:after="120"/>
        <w:jc w:val="both"/>
        <w:rPr>
          <w:rFonts w:cs="Arial"/>
        </w:rPr>
      </w:pPr>
      <w:r>
        <w:rPr>
          <w:rFonts w:ascii="Arial" w:hAnsi="Arial"/>
          <w:sz w:val="22"/>
        </w:rPr>
        <w:t>For adults with depression, NICE advises that treatment should be matched to clinical need, severity, risk and the person’s preferences. Depending on the circumstances, care may include guided self-help, cognitive behavioural therapy, behavioural activation or antidepressant medication (National Institute for Health and Care Excellence, 2022). Shared decision-making is important because treatment options differ in their likely benefits, burdens and possible adverse effects.</w:t>
      </w:r>
    </w:p>
    <w:p w14:paraId="2A400E84" w14:textId="77777777" w:rsidR="00862F8D" w:rsidRPr="00FE23C0" w:rsidRDefault="00000000">
      <w:pPr>
        <w:spacing w:line="360" w:lineRule="auto" w:before="0" w:after="120"/>
        <w:jc w:val="both"/>
        <w:rPr>
          <w:rFonts w:cs="Arial"/>
        </w:rPr>
      </w:pPr>
      <w:r>
        <w:rPr>
          <w:rFonts w:ascii="Arial" w:hAnsi="Arial"/>
          <w:sz w:val="22"/>
        </w:rPr>
        <w:t>In England, NHS Talking Therapies offers evidence-based psychological treatment for depression, and people can self-refer in many areas without first receiving a formal diagnosis (NHS, 2025; NHS England, n.d.). People with severe, recurrent or complex depression may require more intensive specialist care. Follow-up should consider symptoms, functioning, treatment response, adverse effects and the risk of self-harm or suicide.</w:t>
      </w:r>
    </w:p>
    <w:p w14:paraId="7679BAA3" w14:textId="77777777" w:rsidR="00862F8D" w:rsidRDefault="00000000">
      <w:pPr>
        <w:spacing w:line="360" w:lineRule="auto" w:before="0" w:after="120"/>
        <w:jc w:val="both"/>
        <w:rPr>
          <w:rFonts w:cs="Arial"/>
        </w:rPr>
      </w:pPr>
      <w:r w:rsidRPr="00FE23C0">
        <w:rPr>
          <w:rFonts w:cs="Arial" w:ascii="Arial" w:hAnsi="Arial"/>
          <w:sz w:val="22"/>
        </w:rPr>
        <w:t>A limitation of relying mainly on clinical services is that people must first recognise a problem and successfully access care. Effective public-health control therefore requires accessible services alongside prevention, anti-stigma work, early recognition and action on social inequalities. This combined approach is more likely to reduce both the individual burden and the wider community impact of depression.</w:t>
      </w:r>
    </w:p>
    <w:p w14:paraId="3C4C4EA2" w14:textId="77777777" w:rsidR="0093013A" w:rsidRPr="00FE23C0" w:rsidRDefault="0093013A">
      <w:pPr>
        <w:jc w:val="both"/>
        <w:rPr>
          <w:rFonts w:cs="Arial"/>
        </w:rPr>
      </w:pPr>
    </w:p>
    <w:p w14:paraId="36F9F381" w14:textId="77777777" w:rsidR="00862F8D" w:rsidRPr="00FE23C0" w:rsidRDefault="00000000">
      <w:pPr>
        <w:pStyle w:val="Heading1"/>
        <w:jc w:val="left"/>
        <w:rPr>
          <w:rFonts w:ascii="Arial" w:hAnsi="Arial" w:cs="Arial"/>
          <w:color w:val="auto"/>
        </w:rPr>
      </w:pPr>
      <w:r w:rsidRPr="00FE23C0">
        <w:rPr>
          <w:rFonts w:ascii="Arial" w:eastAsia="Arial" w:hAnsi="Arial" w:cs="Arial"/>
          <w:b/>
          <w:color w:val="auto"/>
          <w:sz w:val="24"/>
        </w:rPr>
        <w:t>5. Consequences for Individuals and Communities</w:t>
      </w:r>
    </w:p>
    <w:p w14:paraId="2DFF721B" w14:textId="77777777" w:rsidR="00862F8D" w:rsidRPr="00FE23C0" w:rsidRDefault="00000000">
      <w:pPr>
        <w:spacing w:line="360" w:lineRule="auto" w:before="0" w:after="120"/>
        <w:jc w:val="both"/>
        <w:rPr>
          <w:rFonts w:cs="Arial"/>
        </w:rPr>
      </w:pPr>
      <w:r w:rsidRPr="00FE23C0">
        <w:rPr>
          <w:rFonts w:cs="Arial" w:ascii="Arial" w:hAnsi="Arial"/>
          <w:sz w:val="22"/>
        </w:rPr>
        <w:t xml:space="preserve">Depression can affect almost every area of a person’s life. Persistent low mood, fatigue, reduced motivation and poor concentration can interfere with self-care, education, parenting, </w:t>
      </w:r>
      <w:r w:rsidRPr="00FE23C0">
        <w:rPr>
          <w:rFonts w:cs="Arial" w:ascii="Arial" w:hAnsi="Arial"/>
          <w:sz w:val="22"/>
        </w:rPr>
        <w:lastRenderedPageBreak/>
        <w:t>relationships and employment. Severe depression may be associated with self-harm and suicide risk, making timely assessment essential (World Health Organization, 2025). Depression can also coexist with physical illness, increasing the complexity of care and potentially worsening quality of life.</w:t>
      </w:r>
    </w:p>
    <w:p w14:paraId="3BC95245" w14:textId="77777777" w:rsidR="00862F8D" w:rsidRPr="00FE23C0" w:rsidRDefault="00000000">
      <w:pPr>
        <w:spacing w:line="360" w:lineRule="auto" w:before="0" w:after="120"/>
        <w:jc w:val="both"/>
        <w:rPr>
          <w:rFonts w:cs="Arial"/>
        </w:rPr>
      </w:pPr>
      <w:r w:rsidRPr="00FE23C0">
        <w:rPr>
          <w:rFonts w:cs="Arial" w:ascii="Arial" w:hAnsi="Arial"/>
          <w:sz w:val="22"/>
        </w:rPr>
        <w:t>The consequences extend to families and communities. Social withdrawal can reduce relationships and participation, while relatives may assume caring responsibilities and experience emotional or financial pressure. Stigma can discourage disclosure and help-seeking, potentially prolonging untreated symptoms.</w:t>
      </w:r>
    </w:p>
    <w:p w14:paraId="35660073" w14:textId="77777777" w:rsidR="00862F8D" w:rsidRPr="00FE23C0" w:rsidRDefault="00000000">
      <w:pPr>
        <w:spacing w:line="360" w:lineRule="auto" w:before="0" w:after="120"/>
        <w:jc w:val="both"/>
        <w:rPr>
          <w:rFonts w:cs="Arial"/>
        </w:rPr>
      </w:pPr>
      <w:r>
        <w:rPr>
          <w:rFonts w:ascii="Arial" w:hAnsi="Arial"/>
          <w:sz w:val="22"/>
        </w:rPr>
        <w:t>Depression also has economic consequences. A critical review by de Oliveira et al. (2023) found consistent evidence that poor mental health, particularly depression and anxiety, is linked with productivity losses through sickness absence and reduced performance while at work. However, much of the evidence is observational, so these associations should not automatically be treated as precise causal estimates. This limitation shows why evidence about economic impact should be interpreted critically rather than assuming that every reported effect is directly caused by depression.</w:t>
      </w:r>
    </w:p>
    <w:p w14:paraId="252C1E63" w14:textId="77777777" w:rsidR="00862F8D" w:rsidRDefault="00000000">
      <w:pPr>
        <w:spacing w:line="360" w:lineRule="auto" w:before="0" w:after="120"/>
        <w:jc w:val="both"/>
        <w:rPr>
          <w:rFonts w:cs="Arial"/>
        </w:rPr>
      </w:pPr>
      <w:r>
        <w:rPr>
          <w:rFonts w:ascii="Arial" w:hAnsi="Arial"/>
          <w:sz w:val="22"/>
        </w:rPr>
        <w:t>At community level, depression can increase demand for GP care, psychological therapies, specialist mental-health services, social care, crisis support and employment services. The burden may be greater where poverty, housing insecurity or limited access to services coexist. Depression is therefore more than an individual clinical problem; it is a public-health issue that requires coordinated action on health, social circumstances and inequalities.</w:t>
      </w:r>
    </w:p>
    <w:p w14:paraId="4740B1A0" w14:textId="77777777" w:rsidR="008924FE" w:rsidRPr="00FE23C0" w:rsidRDefault="008924FE">
      <w:pPr>
        <w:jc w:val="both"/>
        <w:rPr>
          <w:rFonts w:cs="Arial"/>
        </w:rPr>
      </w:pPr>
    </w:p>
    <w:p w14:paraId="289670F1" w14:textId="77777777" w:rsidR="00862F8D" w:rsidRPr="00FE23C0" w:rsidRDefault="00000000">
      <w:pPr>
        <w:pStyle w:val="Heading1"/>
        <w:jc w:val="left"/>
        <w:rPr>
          <w:rFonts w:ascii="Arial" w:hAnsi="Arial" w:cs="Arial"/>
          <w:color w:val="auto"/>
        </w:rPr>
      </w:pPr>
      <w:r w:rsidRPr="00FE23C0">
        <w:rPr>
          <w:rFonts w:ascii="Arial" w:eastAsia="Arial" w:hAnsi="Arial" w:cs="Arial"/>
          <w:b/>
          <w:color w:val="auto"/>
          <w:sz w:val="24"/>
        </w:rPr>
        <w:t>6. Health and Social Care Support and Practical Professional Actions</w:t>
      </w:r>
    </w:p>
    <w:p w14:paraId="2E779123" w14:textId="77777777" w:rsidR="00862F8D" w:rsidRPr="00FE23C0" w:rsidRDefault="00000000">
      <w:pPr>
        <w:spacing w:line="360" w:lineRule="auto" w:before="0" w:after="120"/>
        <w:jc w:val="both"/>
        <w:rPr>
          <w:rFonts w:cs="Arial"/>
        </w:rPr>
      </w:pPr>
      <w:r w:rsidRPr="00FE23C0">
        <w:rPr>
          <w:rFonts w:cs="Arial" w:ascii="Arial" w:hAnsi="Arial"/>
          <w:sz w:val="22"/>
        </w:rPr>
        <w:t>Meeting the needs of a person with depression requires practical, coordinated action. First, a GP or other appropriate clinician should assess symptoms, duration, functional impairment, previous mental-health history, physical health, medication or substance-related factors and risk of self-harm or suicide. A validated measure such as the PHQ-9 may support assessment and monitoring, but professional judgement and discussion with the patient remain essential (Kroenke, Spitzer and Williams, 2001; National Institute for Health and Care Excellence, 2022).</w:t>
      </w:r>
    </w:p>
    <w:p w14:paraId="3C07BF69" w14:textId="77777777" w:rsidR="00862F8D" w:rsidRPr="00FE23C0" w:rsidRDefault="00000000">
      <w:pPr>
        <w:spacing w:line="360" w:lineRule="auto" w:before="0" w:after="120"/>
        <w:jc w:val="both"/>
        <w:rPr>
          <w:rFonts w:cs="Arial"/>
        </w:rPr>
      </w:pPr>
      <w:r>
        <w:rPr>
          <w:rFonts w:ascii="Arial" w:hAnsi="Arial"/>
          <w:sz w:val="22"/>
        </w:rPr>
        <w:t>Second, professionals should agree a person-centred care plan based on severity, risk, preferences and previous treatment. People who are suitable for psychological treatment can access NHS Talking Therapies, with options that may include guided self-help or cognitive behavioural therapy. If medication is indicated, the prescriber should discuss expected benefits and potential adverse effects and should review treatment response and adherence (National Institute for Health and Care Excellence, 2022).</w:t>
      </w:r>
    </w:p>
    <w:p w14:paraId="1046F4DE" w14:textId="77777777" w:rsidR="00862F8D" w:rsidRPr="00FE23C0" w:rsidRDefault="00000000">
      <w:pPr>
        <w:spacing w:line="360" w:lineRule="auto" w:before="0" w:after="120"/>
        <w:jc w:val="both"/>
        <w:rPr>
          <w:rFonts w:cs="Arial"/>
        </w:rPr>
      </w:pPr>
      <w:r>
        <w:rPr>
          <w:rFonts w:ascii="Arial" w:hAnsi="Arial"/>
          <w:sz w:val="22"/>
        </w:rPr>
        <w:t>Third, people with severe, complex or high-risk depression may need referral to specialist community mental-health services. Depending on individual needs, specialist care may involve collaboration between psychiatry, psychology, mental-health nursing, occupational therapy and other relevant professionals. If there is an acute crisis or an immediate safety concern, urgent assessment and appropriate emergency intervention are required.</w:t>
      </w:r>
    </w:p>
    <w:p w14:paraId="0D2C9456" w14:textId="77777777" w:rsidR="00862F8D" w:rsidRPr="00FE23C0" w:rsidRDefault="00000000">
      <w:pPr>
        <w:spacing w:line="360" w:lineRule="auto" w:before="0" w:after="120"/>
        <w:jc w:val="both"/>
        <w:rPr>
          <w:rFonts w:cs="Arial"/>
        </w:rPr>
      </w:pPr>
      <w:r w:rsidRPr="00FE23C0">
        <w:rPr>
          <w:rFonts w:cs="Arial" w:ascii="Arial" w:hAnsi="Arial"/>
          <w:sz w:val="22"/>
        </w:rPr>
        <w:t xml:space="preserve">Fourth, professionals should assess social needs rather than focusing only on symptoms. The Care Act 2014 places wellbeing and prevention within adult care and support and supports integration between health and care. Where relevant, social workers and local authorities may address safeguarding, daily-living needs and connections to housing or community support </w:t>
      </w:r>
      <w:r w:rsidRPr="00FE23C0">
        <w:rPr>
          <w:rFonts w:cs="Arial" w:ascii="Arial" w:hAnsi="Arial"/>
          <w:sz w:val="22"/>
        </w:rPr>
        <w:lastRenderedPageBreak/>
        <w:t>(Great Britain, 2014). Employment support can also be important because meaningful work and financial stability may influence recovery.</w:t>
      </w:r>
    </w:p>
    <w:p w14:paraId="024356C0" w14:textId="77777777" w:rsidR="00862F8D" w:rsidRDefault="00000000">
      <w:pPr>
        <w:spacing w:line="360" w:lineRule="auto" w:before="0" w:after="120"/>
        <w:jc w:val="both"/>
        <w:rPr>
          <w:rFonts w:cs="Arial"/>
        </w:rPr>
      </w:pPr>
      <w:r>
        <w:rPr>
          <w:rFonts w:ascii="Arial" w:hAnsi="Arial"/>
          <w:sz w:val="22"/>
        </w:rPr>
        <w:t>Finally, professionals should review progress against symptoms, functioning and patient-defined goals, coordinate information appropriately between services and plan for relapse prevention. NHS England’s Community Mental Health Framework supports joined-up working between primary care, mental-health services, social care and wider community provision (NHS England, 2019). Coordinated care is particularly important because depression may affect clinical symptoms, everyday functioning and wider social circumstances at the same time.</w:t>
      </w:r>
    </w:p>
    <w:p w14:paraId="30B8C849" w14:textId="77777777" w:rsidR="008924FE" w:rsidRPr="00FE23C0" w:rsidRDefault="008924FE">
      <w:pPr>
        <w:jc w:val="both"/>
        <w:rPr>
          <w:rFonts w:cs="Arial"/>
        </w:rPr>
      </w:pPr>
    </w:p>
    <w:p w14:paraId="6C63BD5E" w14:textId="77777777" w:rsidR="00862F8D" w:rsidRPr="00FE23C0" w:rsidRDefault="00000000">
      <w:pPr>
        <w:pStyle w:val="Heading1"/>
        <w:jc w:val="left"/>
        <w:rPr>
          <w:rFonts w:ascii="Arial" w:hAnsi="Arial" w:cs="Arial"/>
          <w:color w:val="auto"/>
        </w:rPr>
      </w:pPr>
      <w:r w:rsidRPr="00FE23C0">
        <w:rPr>
          <w:rFonts w:ascii="Arial" w:eastAsia="Arial" w:hAnsi="Arial" w:cs="Arial"/>
          <w:b/>
          <w:color w:val="auto"/>
          <w:sz w:val="24"/>
        </w:rPr>
        <w:t>7. Conclusion</w:t>
      </w:r>
    </w:p>
    <w:p w14:paraId="4964B324" w14:textId="77777777" w:rsidR="00862F8D" w:rsidRPr="00FE23C0" w:rsidRDefault="00000000">
      <w:pPr>
        <w:spacing w:line="360" w:lineRule="auto" w:before="0" w:after="120"/>
        <w:jc w:val="both"/>
        <w:rPr>
          <w:rFonts w:cs="Arial"/>
        </w:rPr>
      </w:pPr>
      <w:r>
        <w:rPr>
          <w:rFonts w:ascii="Arial" w:hAnsi="Arial"/>
          <w:sz w:val="22"/>
        </w:rPr>
        <w:t>Depression is a significant public health issue because it is common and can affect health, relationships, education, employment and participation in community life. Its burden is assessed through population surveys, GP records, validated questionnaires and routine service outcomes, although these sources measure different aspects of depression and need careful interpretation. Risk reflects a combination of biological vulnerability, psychological experiences and social circumstances, including adverse events and socioeconomic disadvantage. Effective control requires prevention, early identification, evidence-based psychological or pharmacological treatment, monitoring and relapse prevention. Professionals should translate these principles into practical action through assessment, risk management, person-centred care planning, appropriate referral and coordinated health and social support. Because depression affects more than symptoms alone, integrated multidisciplinary care and attention to wider social needs are essential. Combining credible evidence, UK data and coordinated professional practice provides a strong basis for reducing inequalities, improving access and supporting long-term recovery.</w:t>
      </w:r>
    </w:p>
    <w:p w14:paraId="37393D87" w14:textId="77777777" w:rsidR="00862F8D" w:rsidRPr="00FE23C0" w:rsidRDefault="00000000">
      <w:pPr>
        <w:pStyle w:val="Heading1"/>
        <w:pageBreakBefore/>
        <w:rPr>
          <w:rFonts w:ascii="Arial" w:hAnsi="Arial" w:cs="Arial"/>
          <w:color w:val="auto"/>
        </w:rPr>
      </w:pPr>
      <w:r w:rsidRPr="00FE23C0">
        <w:rPr>
          <w:rFonts w:ascii="Arial" w:eastAsia="Arial" w:hAnsi="Arial" w:cs="Arial"/>
          <w:color w:val="auto"/>
        </w:rPr>
        <w:lastRenderedPageBreak/>
        <w:t>Reference List</w:t>
      </w:r>
    </w:p>
    <w:p w14:paraId="29FA2887" w14:textId="77777777" w:rsidR="00862F8D" w:rsidRPr="00FE23C0" w:rsidRDefault="00000000">
      <w:pPr>
        <w:spacing w:after="120" w:line="360" w:lineRule="auto" w:before="0"/>
        <w:ind w:left="720" w:hanging="720"/>
        <w:jc w:val="left"/>
        <w:rPr>
          <w:rFonts w:cs="Arial"/>
        </w:rPr>
      </w:pPr>
      <w:r>
        <w:rPr>
          <w:rFonts w:ascii="Arial" w:hAnsi="Arial"/>
          <w:i w:val="0"/>
          <w:sz w:val="22"/>
        </w:rPr>
        <w:t xml:space="preserve">de Oliveira, C., Saka, M., Bone, L. and Jacobs, R. (2023) ‘The role of mental health on workplace productivity: A critical review of the literature’, </w:t>
      </w:r>
      <w:r>
        <w:rPr>
          <w:rFonts w:ascii="Arial" w:hAnsi="Arial"/>
          <w:i/>
          <w:sz w:val="22"/>
        </w:rPr>
        <w:t>Applied Health Economics and Health Policy</w:t>
      </w:r>
      <w:r>
        <w:rPr>
          <w:rFonts w:ascii="Arial" w:hAnsi="Arial"/>
          <w:i w:val="0"/>
          <w:sz w:val="22"/>
        </w:rPr>
        <w:t>, 21(2), pp. 167–193. doi: 10.1007/s40258-022-00761-w.</w:t>
      </w:r>
    </w:p>
    <w:p w14:paraId="7CF19DA1" w14:textId="77777777" w:rsidR="00862F8D" w:rsidRPr="00FE23C0" w:rsidRDefault="00000000">
      <w:pPr>
        <w:spacing w:after="120" w:line="360" w:lineRule="auto" w:before="0"/>
        <w:ind w:left="720" w:hanging="720"/>
        <w:jc w:val="left"/>
        <w:rPr>
          <w:rFonts w:cs="Arial"/>
        </w:rPr>
      </w:pPr>
      <w:r>
        <w:rPr>
          <w:rFonts w:ascii="Arial" w:hAnsi="Arial"/>
          <w:i w:val="0"/>
          <w:sz w:val="22"/>
        </w:rPr>
        <w:t xml:space="preserve">Great Britain (2014) </w:t>
      </w:r>
      <w:r>
        <w:rPr>
          <w:rFonts w:ascii="Arial" w:hAnsi="Arial"/>
          <w:i/>
          <w:sz w:val="22"/>
        </w:rPr>
        <w:t>Care Act 2014</w:t>
      </w:r>
      <w:r>
        <w:rPr>
          <w:rFonts w:ascii="Arial" w:hAnsi="Arial"/>
          <w:i w:val="0"/>
          <w:sz w:val="22"/>
        </w:rPr>
        <w:t>, c. 23. Available at: https://www.legislation.gov.uk/ukpga/2014/23/contents (Accessed: 11 August 2026).</w:t>
      </w:r>
    </w:p>
    <w:p w14:paraId="5C391A7B" w14:textId="77777777" w:rsidR="00862F8D" w:rsidRPr="00FE23C0" w:rsidRDefault="00000000">
      <w:pPr>
        <w:spacing w:after="120" w:line="360" w:lineRule="auto" w:before="0"/>
        <w:ind w:left="720" w:hanging="720"/>
        <w:jc w:val="left"/>
        <w:rPr>
          <w:rFonts w:cs="Arial"/>
        </w:rPr>
      </w:pPr>
      <w:r>
        <w:rPr>
          <w:rFonts w:ascii="Arial" w:hAnsi="Arial"/>
          <w:i w:val="0"/>
          <w:sz w:val="22"/>
        </w:rPr>
        <w:t xml:space="preserve">Kroenke, K., Spitzer, R.L. and Williams, J.B.W. (2001) ‘The PHQ-9: Validity of a brief depression severity measure’, </w:t>
      </w:r>
      <w:r>
        <w:rPr>
          <w:rFonts w:ascii="Arial" w:hAnsi="Arial"/>
          <w:i/>
          <w:sz w:val="22"/>
        </w:rPr>
        <w:t>Journal of General Internal Medicine</w:t>
      </w:r>
      <w:r>
        <w:rPr>
          <w:rFonts w:ascii="Arial" w:hAnsi="Arial"/>
          <w:i w:val="0"/>
          <w:sz w:val="22"/>
        </w:rPr>
        <w:t>, 16(9), pp. 606–613. doi: 10.1046/j.1525-1497.2001.016009606.x.</w:t>
      </w:r>
    </w:p>
    <w:p w14:paraId="15B9B73B" w14:textId="77777777" w:rsidR="00862F8D" w:rsidRPr="00FE23C0" w:rsidRDefault="00000000">
      <w:pPr>
        <w:spacing w:after="120" w:line="360" w:lineRule="auto" w:before="0"/>
        <w:ind w:left="720" w:hanging="720"/>
        <w:jc w:val="left"/>
        <w:rPr>
          <w:rFonts w:cs="Arial"/>
        </w:rPr>
      </w:pPr>
      <w:r>
        <w:rPr>
          <w:rFonts w:ascii="Arial" w:hAnsi="Arial"/>
          <w:i w:val="0"/>
          <w:sz w:val="22"/>
        </w:rPr>
        <w:t xml:space="preserve">National Institute for Health and Care Excellence (2022) </w:t>
      </w:r>
      <w:r>
        <w:rPr>
          <w:rFonts w:ascii="Arial" w:hAnsi="Arial"/>
          <w:i/>
          <w:sz w:val="22"/>
        </w:rPr>
        <w:t>Depression in adults: treatment and management</w:t>
      </w:r>
      <w:r>
        <w:rPr>
          <w:rFonts w:ascii="Arial" w:hAnsi="Arial"/>
          <w:i w:val="0"/>
          <w:sz w:val="22"/>
        </w:rPr>
        <w:t>. NICE guideline NG222. Available at: https://www.nice.org.uk/guidance/ng222 (Accessed: 11 August 2026).</w:t>
      </w:r>
    </w:p>
    <w:p w14:paraId="10B6FE0C" w14:textId="77777777" w:rsidR="00862F8D" w:rsidRPr="00FE23C0" w:rsidRDefault="00000000">
      <w:pPr>
        <w:spacing w:after="120" w:line="360" w:lineRule="auto" w:before="0"/>
        <w:ind w:left="720" w:hanging="720"/>
        <w:jc w:val="left"/>
        <w:rPr>
          <w:rFonts w:cs="Arial"/>
        </w:rPr>
      </w:pPr>
      <w:r>
        <w:rPr>
          <w:rFonts w:ascii="Arial" w:hAnsi="Arial"/>
          <w:i w:val="0"/>
          <w:sz w:val="22"/>
        </w:rPr>
        <w:t xml:space="preserve">NHS (2023) </w:t>
      </w:r>
      <w:r>
        <w:rPr>
          <w:rFonts w:ascii="Arial" w:hAnsi="Arial"/>
          <w:i/>
          <w:sz w:val="22"/>
        </w:rPr>
        <w:t>Symptoms - depression in adults</w:t>
      </w:r>
      <w:r>
        <w:rPr>
          <w:rFonts w:ascii="Arial" w:hAnsi="Arial"/>
          <w:i w:val="0"/>
          <w:sz w:val="22"/>
        </w:rPr>
        <w:t>. Available at: https://www.nhs.uk/mental-health/conditions/depression-in-adults/symptoms/ (Accessed: 11 August 2026).</w:t>
      </w:r>
    </w:p>
    <w:p w14:paraId="573CBAE5" w14:textId="77777777" w:rsidR="00862F8D" w:rsidRPr="00FE23C0" w:rsidRDefault="00000000">
      <w:pPr>
        <w:spacing w:after="120" w:line="360" w:lineRule="auto" w:before="0"/>
        <w:ind w:left="720" w:hanging="720"/>
        <w:jc w:val="left"/>
        <w:rPr>
          <w:rFonts w:cs="Arial"/>
        </w:rPr>
      </w:pPr>
      <w:r>
        <w:rPr>
          <w:rFonts w:ascii="Arial" w:hAnsi="Arial"/>
          <w:i w:val="0"/>
          <w:sz w:val="22"/>
        </w:rPr>
        <w:t xml:space="preserve">NHS (2025) </w:t>
      </w:r>
      <w:r>
        <w:rPr>
          <w:rFonts w:ascii="Arial" w:hAnsi="Arial"/>
          <w:i/>
          <w:sz w:val="22"/>
        </w:rPr>
        <w:t>Find NHS talking therapies for anxiety and depression</w:t>
      </w:r>
      <w:r>
        <w:rPr>
          <w:rFonts w:ascii="Arial" w:hAnsi="Arial"/>
          <w:i w:val="0"/>
          <w:sz w:val="22"/>
        </w:rPr>
        <w:t>. Available at: https://www.nhs.uk/nhs-services/mental-health-services/find-nhs-talking-therapies-for-anxiety-and-depression/ (Accessed: 11 August 2026).</w:t>
      </w:r>
    </w:p>
    <w:p w14:paraId="4FDAC74C" w14:textId="77777777" w:rsidR="00862F8D" w:rsidRPr="00FE23C0" w:rsidRDefault="00000000">
      <w:pPr>
        <w:spacing w:after="120" w:line="360" w:lineRule="auto" w:before="0"/>
        <w:ind w:left="720" w:hanging="720"/>
        <w:jc w:val="left"/>
        <w:rPr>
          <w:rFonts w:cs="Arial"/>
        </w:rPr>
      </w:pPr>
      <w:r>
        <w:rPr>
          <w:rFonts w:ascii="Arial" w:hAnsi="Arial"/>
          <w:i w:val="0"/>
          <w:sz w:val="22"/>
        </w:rPr>
        <w:t xml:space="preserve">NHS England Digital (2025) </w:t>
      </w:r>
      <w:r>
        <w:rPr>
          <w:rFonts w:ascii="Arial" w:hAnsi="Arial"/>
          <w:i/>
          <w:sz w:val="22"/>
        </w:rPr>
        <w:t>Quality and Outcomes Framework, 2024–25</w:t>
      </w:r>
      <w:r>
        <w:rPr>
          <w:rFonts w:ascii="Arial" w:hAnsi="Arial"/>
          <w:i w:val="0"/>
          <w:sz w:val="22"/>
        </w:rPr>
        <w:t>. Available at: https://digital.nhs.uk/data-and-information/publications/statistical/quality-and-outcomes-framework-achievement-prevalence-and-exceptions-data/2024-25 (Accessed: 11 August 2026).</w:t>
      </w:r>
    </w:p>
    <w:p w14:paraId="171C7BDD" w14:textId="77777777" w:rsidR="00862F8D" w:rsidRPr="00FE23C0" w:rsidRDefault="00000000">
      <w:pPr>
        <w:spacing w:after="120" w:line="360" w:lineRule="auto" w:before="0"/>
        <w:ind w:left="720" w:hanging="720"/>
        <w:jc w:val="left"/>
        <w:rPr>
          <w:rFonts w:cs="Arial"/>
        </w:rPr>
      </w:pPr>
      <w:r>
        <w:rPr>
          <w:rFonts w:ascii="Arial" w:hAnsi="Arial"/>
          <w:i w:val="0"/>
          <w:sz w:val="22"/>
        </w:rPr>
        <w:t xml:space="preserve">NHS England (2019) </w:t>
      </w:r>
      <w:r>
        <w:rPr>
          <w:rFonts w:ascii="Arial" w:hAnsi="Arial"/>
          <w:i/>
          <w:sz w:val="22"/>
        </w:rPr>
        <w:t>The community mental health framework for adults and older adults</w:t>
      </w:r>
      <w:r>
        <w:rPr>
          <w:rFonts w:ascii="Arial" w:hAnsi="Arial"/>
          <w:i w:val="0"/>
          <w:sz w:val="22"/>
        </w:rPr>
        <w:t>. Available at: https://www.england.nhs.uk/publication/the-community-mental-health-framework-for-adults-and-older-adults/ (Accessed: 11 August 2026).</w:t>
      </w:r>
    </w:p>
    <w:p w14:paraId="3AC88B2D" w14:textId="77777777" w:rsidR="00862F8D" w:rsidRPr="00FE23C0" w:rsidRDefault="00000000">
      <w:pPr>
        <w:spacing w:after="120" w:line="360" w:lineRule="auto" w:before="0"/>
        <w:ind w:left="720" w:hanging="720"/>
        <w:jc w:val="left"/>
        <w:rPr>
          <w:rFonts w:cs="Arial"/>
        </w:rPr>
      </w:pPr>
      <w:r>
        <w:rPr>
          <w:rFonts w:ascii="Arial" w:hAnsi="Arial"/>
          <w:i w:val="0"/>
          <w:sz w:val="22"/>
        </w:rPr>
        <w:t xml:space="preserve">NHS England (n.d.) </w:t>
      </w:r>
      <w:r>
        <w:rPr>
          <w:rFonts w:ascii="Arial" w:hAnsi="Arial"/>
          <w:i/>
          <w:sz w:val="22"/>
        </w:rPr>
        <w:t>NHS Talking Therapies for anxiety and depression</w:t>
      </w:r>
      <w:r>
        <w:rPr>
          <w:rFonts w:ascii="Arial" w:hAnsi="Arial"/>
          <w:i w:val="0"/>
          <w:sz w:val="22"/>
        </w:rPr>
        <w:t>. Available at: https://www.england.nhs.uk/mental-health/adults/nhs-talking-therapies/ (Accessed: 11 August 2026).</w:t>
      </w:r>
    </w:p>
    <w:p w14:paraId="3A901889" w14:textId="77777777" w:rsidR="00862F8D" w:rsidRPr="00FE23C0" w:rsidRDefault="00000000">
      <w:pPr>
        <w:spacing w:after="120" w:line="360" w:lineRule="auto" w:before="0"/>
        <w:ind w:left="720" w:hanging="720"/>
        <w:jc w:val="left"/>
        <w:rPr>
          <w:rFonts w:cs="Arial"/>
        </w:rPr>
      </w:pPr>
      <w:r>
        <w:rPr>
          <w:rFonts w:ascii="Arial" w:hAnsi="Arial"/>
          <w:i w:val="0"/>
          <w:sz w:val="22"/>
        </w:rPr>
        <w:t xml:space="preserve">Office for National Statistics (2025) </w:t>
      </w:r>
      <w:r>
        <w:rPr>
          <w:rFonts w:ascii="Arial" w:hAnsi="Arial"/>
          <w:i/>
          <w:sz w:val="22"/>
        </w:rPr>
        <w:t>Public opinions and social trends, Great Britain: April 2025</w:t>
      </w:r>
      <w:r>
        <w:rPr>
          <w:rFonts w:ascii="Arial" w:hAnsi="Arial"/>
          <w:i w:val="0"/>
          <w:sz w:val="22"/>
        </w:rPr>
        <w:t>. Available at: https://www.ons.gov.uk/peoplepopulationandcommunity/wellbeing/bulletins/publicopinionsandsocialtrendsgreatbritain/april2025 (Accessed: 11 August 2026).</w:t>
      </w:r>
    </w:p>
    <w:p w14:paraId="450A1BC8" w14:textId="77777777" w:rsidR="00862F8D" w:rsidRPr="00FE23C0" w:rsidRDefault="00000000">
      <w:pPr>
        <w:spacing w:after="120" w:line="360" w:lineRule="auto" w:before="0"/>
        <w:ind w:left="720" w:hanging="720"/>
        <w:jc w:val="left"/>
        <w:rPr>
          <w:rFonts w:cs="Arial"/>
        </w:rPr>
      </w:pPr>
      <w:r>
        <w:rPr>
          <w:rFonts w:ascii="Arial" w:hAnsi="Arial"/>
          <w:i w:val="0"/>
          <w:sz w:val="22"/>
        </w:rPr>
        <w:t xml:space="preserve">World Health Organization (2025) </w:t>
      </w:r>
      <w:r>
        <w:rPr>
          <w:rFonts w:ascii="Arial" w:hAnsi="Arial"/>
          <w:i/>
          <w:sz w:val="22"/>
        </w:rPr>
        <w:t>Depressive disorder (depression)</w:t>
      </w:r>
      <w:r>
        <w:rPr>
          <w:rFonts w:ascii="Arial" w:hAnsi="Arial"/>
          <w:i w:val="0"/>
          <w:sz w:val="22"/>
        </w:rPr>
        <w:t>. Available at: https://www.who.int/news-room/fact-sheets/detail/depression (Accessed: 11 August 2026).</w:t>
      </w:r>
    </w:p>
    <w:sectPr w:rsidR="00862F8D" w:rsidRPr="00FE23C0" w:rsidSect="00034616">
      <w:footerReference w:type="default" r:id="rId10"/>
      <w:footerReference w:type="first" r:id="rId11"/>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50E53" w14:textId="77777777" w:rsidR="002F1095" w:rsidRDefault="002F1095">
      <w:pPr>
        <w:spacing w:after="0" w:line="240" w:lineRule="auto"/>
      </w:pPr>
      <w:r>
        <w:separator/>
      </w:r>
    </w:p>
  </w:endnote>
  <w:endnote w:type="continuationSeparator" w:id="0">
    <w:p w14:paraId="680EE999" w14:textId="77777777" w:rsidR="002F1095" w:rsidRDefault="002F1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6A759" w14:textId="34F9A63C" w:rsidR="00862F8D" w:rsidRDefault="00000000">
    <w:pPr>
      <w:pStyle w:val="Footer"/>
      <w:jc w:val="center"/>
    </w:pPr>
    <w:r>
      <w:rPr>
        <w:rFonts w:ascii="Arial" w:hAnsi="Arial"/>
        <w:sz w:val="22"/>
      </w:rPr>
      <w:t xml:space="preserve">Page </w:t>
    </w:r>
    <w:r>
      <w:rPr>
        <w:rFonts w:ascii="Arial" w:hAnsi="Arial"/>
        <w:sz w:val="22"/>
      </w:rPr>
      <w:fldChar w:fldCharType="begin"/>
    </w:r>
    <w:r>
      <w:rPr>
        <w:rFonts w:ascii="Arial" w:hAnsi="Arial"/>
        <w:sz w:val="22"/>
      </w:rPr>
      <w:instrText xml:space="preserve"> PAGE </w:instrText>
    </w:r>
    <w:r>
      <w:rPr>
        <w:rFonts w:ascii="Arial" w:hAnsi="Arial"/>
        <w:sz w:val="22"/>
      </w:rPr>
      <w:fldChar w:fldCharType="separate"/>
    </w:r>
    <w:r>
      <w:rPr>
        <w:rFonts w:ascii="Arial" w:hAnsi="Arial"/>
        <w:sz w:val="22"/>
      </w:rPr>
      <w:t>2</w:t>
    </w:r>
    <w:r>
      <w:rPr>
        <w:rFonts w:ascii="Arial" w:hAnsi="Arial"/>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37B8" w14:textId="77777777" w:rsidR="00AD55B5" w:rsidRDefault="00AD5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E374A" w14:textId="77777777" w:rsidR="002F1095" w:rsidRDefault="002F1095">
      <w:pPr>
        <w:spacing w:after="0" w:line="240" w:lineRule="auto"/>
      </w:pPr>
      <w:r>
        <w:separator/>
      </w:r>
    </w:p>
  </w:footnote>
  <w:footnote w:type="continuationSeparator" w:id="0">
    <w:p w14:paraId="0927F552" w14:textId="77777777" w:rsidR="002F1095" w:rsidRDefault="002F10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03116333">
    <w:abstractNumId w:val="8"/>
  </w:num>
  <w:num w:numId="2" w16cid:durableId="1851219037">
    <w:abstractNumId w:val="6"/>
  </w:num>
  <w:num w:numId="3" w16cid:durableId="824005126">
    <w:abstractNumId w:val="5"/>
  </w:num>
  <w:num w:numId="4" w16cid:durableId="902527573">
    <w:abstractNumId w:val="4"/>
  </w:num>
  <w:num w:numId="5" w16cid:durableId="610209048">
    <w:abstractNumId w:val="7"/>
  </w:num>
  <w:num w:numId="6" w16cid:durableId="349256363">
    <w:abstractNumId w:val="3"/>
  </w:num>
  <w:num w:numId="7" w16cid:durableId="1658026915">
    <w:abstractNumId w:val="2"/>
  </w:num>
  <w:num w:numId="8" w16cid:durableId="1735158114">
    <w:abstractNumId w:val="1"/>
  </w:num>
  <w:num w:numId="9" w16cid:durableId="912928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20F4F"/>
    <w:rsid w:val="00267881"/>
    <w:rsid w:val="0029639D"/>
    <w:rsid w:val="002A477E"/>
    <w:rsid w:val="002F1095"/>
    <w:rsid w:val="00326F90"/>
    <w:rsid w:val="003419B0"/>
    <w:rsid w:val="00862F8D"/>
    <w:rsid w:val="008924FE"/>
    <w:rsid w:val="0093013A"/>
    <w:rsid w:val="00A82EF1"/>
    <w:rsid w:val="00A90458"/>
    <w:rsid w:val="00AA1D8D"/>
    <w:rsid w:val="00AD55B5"/>
    <w:rsid w:val="00B47730"/>
    <w:rsid w:val="00CB0664"/>
    <w:rsid w:val="00D23854"/>
    <w:rsid w:val="00F577AF"/>
    <w:rsid w:val="00FC693F"/>
    <w:rsid w:val="00FE23C0"/>
    <w:rsid w:val="00FF62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4A6D2A4D-1E60-4AE3-A61C-7580EE97F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before="0"/>
    </w:pPr>
    <w:rPr>
      <w:rFonts w:ascii="Arial" w:eastAsia="Arial" w:hAnsi="Arial"/>
      <w:sz w:val="22"/>
    </w:rPr>
  </w:style>
  <w:style w:type="paragraph" w:styleId="Heading1">
    <w:name w:val="heading 1"/>
    <w:basedOn w:val="Normal"/>
    <w:next w:val="Normal"/>
    <w:link w:val="Heading1Char"/>
    <w:uiPriority w:val="9"/>
    <w:qFormat/>
    <w:rsid w:val="00FC693F"/>
    <w:pPr>
      <w:keepNext/>
      <w:keepLines/>
      <w:spacing w:before="240" w:after="120" w:line="360" w:lineRule="auto"/>
      <w:outlineLvl w:val="0"/>
    </w:pPr>
    <w:rPr>
      <w:rFonts w:asciiTheme="majorHAnsi" w:eastAsiaTheme="majorEastAsia" w:hAnsiTheme="majorHAnsi" w:cstheme="majorBidi" w:ascii="Arial" w:hAnsi="Arial"/>
      <w:b/>
      <w:bCs/>
      <w:color w:val="365F91" w:themeColor="accent1" w:themeShade="BF"/>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2042</Words>
  <Characters>11641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Depression as a Public Health Issue</dc:title>
  <dc:subject>LCHS4008 – Introduction to Public Health</dc:subject>
  <dc:creator>Jaime Luis Torres Hernandez</dc:creator>
  <cp:keywords/>
  <dc:description>generated by python-docx</dc:description>
  <cp:lastModifiedBy>jaime torres hernandes</cp:lastModifiedBy>
  <cp:revision>8</cp:revision>
  <dcterms:created xsi:type="dcterms:W3CDTF">2013-12-23T23:15:00Z</dcterms:created>
  <dcterms:modified xsi:type="dcterms:W3CDTF">2026-07-27T14:37:00Z</dcterms:modified>
  <cp:category/>
</cp:coreProperties>
</file>