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D4A37" w14:textId="77777777" w:rsidR="00AC724D" w:rsidRDefault="00AC724D" w:rsidP="003C37EB">
      <w:pPr>
        <w:jc w:val="center"/>
        <w:rPr>
          <w:b/>
          <w:i/>
          <w:sz w:val="32"/>
          <w:szCs w:val="32"/>
        </w:rPr>
      </w:pPr>
    </w:p>
    <w:p w14:paraId="39A93D9E" w14:textId="77777777" w:rsidR="00AC724D" w:rsidRDefault="00AC724D" w:rsidP="003C37EB">
      <w:pPr>
        <w:jc w:val="center"/>
        <w:rPr>
          <w:b/>
          <w:i/>
          <w:sz w:val="32"/>
          <w:szCs w:val="32"/>
        </w:rPr>
      </w:pPr>
    </w:p>
    <w:p w14:paraId="118E5B55" w14:textId="63150D39" w:rsidR="003C37EB" w:rsidRPr="001C4084" w:rsidRDefault="003C37EB" w:rsidP="003C37EB">
      <w:pPr>
        <w:jc w:val="center"/>
        <w:rPr>
          <w:b/>
          <w:i/>
          <w:sz w:val="32"/>
          <w:szCs w:val="32"/>
        </w:rPr>
      </w:pPr>
      <w:r w:rsidRPr="001C4084">
        <w:rPr>
          <w:b/>
          <w:i/>
          <w:sz w:val="32"/>
          <w:szCs w:val="32"/>
        </w:rPr>
        <w:t>Introducing the Modern Workplace</w:t>
      </w:r>
    </w:p>
    <w:p w14:paraId="1D5283C7" w14:textId="02B90B4B" w:rsidR="003C37EB" w:rsidRDefault="003C37EB" w:rsidP="003C37EB">
      <w:pPr>
        <w:jc w:val="center"/>
        <w:rPr>
          <w:b/>
          <w:i/>
          <w:sz w:val="32"/>
          <w:szCs w:val="32"/>
        </w:rPr>
      </w:pPr>
      <w:r w:rsidRPr="001C4084">
        <w:rPr>
          <w:b/>
          <w:i/>
          <w:sz w:val="32"/>
          <w:szCs w:val="32"/>
        </w:rPr>
        <w:t>LCBB4003</w:t>
      </w:r>
    </w:p>
    <w:p w14:paraId="0FF2DCC5" w14:textId="77777777" w:rsidR="00AC724D" w:rsidRPr="001C4084" w:rsidRDefault="00AC724D" w:rsidP="003C37EB">
      <w:pPr>
        <w:jc w:val="center"/>
        <w:rPr>
          <w:b/>
          <w:i/>
          <w:sz w:val="32"/>
          <w:szCs w:val="32"/>
        </w:rPr>
      </w:pPr>
    </w:p>
    <w:p w14:paraId="0196301B" w14:textId="4E314B88" w:rsidR="003C37EB" w:rsidRPr="00AC724D" w:rsidRDefault="003C37EB" w:rsidP="003C37EB">
      <w:pPr>
        <w:jc w:val="center"/>
        <w:rPr>
          <w:b/>
          <w:i/>
          <w:sz w:val="44"/>
          <w:szCs w:val="44"/>
        </w:rPr>
      </w:pPr>
      <w:proofErr w:type="spellStart"/>
      <w:r w:rsidRPr="00AC724D">
        <w:rPr>
          <w:b/>
          <w:i/>
          <w:sz w:val="44"/>
          <w:szCs w:val="44"/>
        </w:rPr>
        <w:t>Organisational</w:t>
      </w:r>
      <w:proofErr w:type="spellEnd"/>
      <w:r w:rsidRPr="00AC724D">
        <w:rPr>
          <w:b/>
          <w:i/>
          <w:sz w:val="44"/>
          <w:szCs w:val="44"/>
        </w:rPr>
        <w:t xml:space="preserve"> Structure &amp; Culture</w:t>
      </w:r>
      <w:r w:rsidR="00AC724D" w:rsidRPr="00AC724D">
        <w:rPr>
          <w:b/>
          <w:i/>
          <w:sz w:val="44"/>
          <w:szCs w:val="44"/>
        </w:rPr>
        <w:t xml:space="preserve"> at Aldi</w:t>
      </w:r>
    </w:p>
    <w:p w14:paraId="542B7C31" w14:textId="77777777" w:rsidR="00AC724D" w:rsidRPr="001C4084" w:rsidRDefault="00AC724D" w:rsidP="003C37EB">
      <w:pPr>
        <w:jc w:val="center"/>
        <w:rPr>
          <w:b/>
          <w:i/>
          <w:sz w:val="32"/>
          <w:szCs w:val="32"/>
        </w:rPr>
      </w:pPr>
    </w:p>
    <w:p w14:paraId="79C021DE" w14:textId="77777777" w:rsidR="003C37EB" w:rsidRPr="001C4084" w:rsidRDefault="003C37EB" w:rsidP="003C37EB">
      <w:pPr>
        <w:jc w:val="center"/>
        <w:rPr>
          <w:b/>
          <w:i/>
          <w:sz w:val="32"/>
          <w:szCs w:val="32"/>
        </w:rPr>
      </w:pPr>
      <w:r w:rsidRPr="001C4084">
        <w:rPr>
          <w:b/>
          <w:i/>
          <w:sz w:val="32"/>
          <w:szCs w:val="32"/>
        </w:rPr>
        <w:t xml:space="preserve">Assessment 1 </w:t>
      </w:r>
    </w:p>
    <w:p w14:paraId="5AE04C57" w14:textId="77777777" w:rsidR="003C37EB" w:rsidRPr="001C4084" w:rsidRDefault="003C37EB" w:rsidP="003C37EB">
      <w:pPr>
        <w:jc w:val="center"/>
        <w:rPr>
          <w:b/>
          <w:i/>
          <w:sz w:val="32"/>
          <w:szCs w:val="32"/>
        </w:rPr>
      </w:pPr>
    </w:p>
    <w:p w14:paraId="69DD9360" w14:textId="77777777" w:rsidR="003C37EB" w:rsidRPr="001C4084" w:rsidRDefault="003C37EB" w:rsidP="003C37EB">
      <w:pPr>
        <w:jc w:val="center"/>
        <w:rPr>
          <w:b/>
          <w:i/>
          <w:sz w:val="32"/>
          <w:szCs w:val="32"/>
        </w:rPr>
      </w:pPr>
    </w:p>
    <w:p w14:paraId="70989F76" w14:textId="77777777" w:rsidR="00AC724D" w:rsidRDefault="00AC724D" w:rsidP="00AC724D">
      <w:pPr>
        <w:ind w:left="2880" w:firstLine="720"/>
        <w:rPr>
          <w:b/>
          <w:i/>
          <w:sz w:val="32"/>
          <w:szCs w:val="32"/>
        </w:rPr>
      </w:pPr>
      <w:r w:rsidRPr="002A1C89">
        <w:rPr>
          <w:b/>
          <w:bCs/>
          <w:i/>
          <w:iCs/>
          <w:sz w:val="32"/>
          <w:szCs w:val="32"/>
        </w:rPr>
        <w:t>Svetoslav Stoianov</w:t>
      </w:r>
      <w:r w:rsidRPr="001C4084">
        <w:rPr>
          <w:b/>
          <w:i/>
          <w:sz w:val="32"/>
          <w:szCs w:val="32"/>
        </w:rPr>
        <w:t xml:space="preserve"> </w:t>
      </w:r>
    </w:p>
    <w:p w14:paraId="66D2E0CA" w14:textId="55F713A2" w:rsidR="003C37EB" w:rsidRPr="001C4084" w:rsidRDefault="00AC724D" w:rsidP="00AC724D">
      <w:pPr>
        <w:ind w:left="2880" w:firstLine="720"/>
        <w:rPr>
          <w:b/>
          <w:i/>
          <w:sz w:val="32"/>
          <w:szCs w:val="32"/>
        </w:rPr>
      </w:pPr>
      <w:r>
        <w:rPr>
          <w:b/>
          <w:i/>
          <w:sz w:val="32"/>
          <w:szCs w:val="32"/>
        </w:rPr>
        <w:t xml:space="preserve">Student </w:t>
      </w:r>
      <w:r w:rsidR="003C37EB" w:rsidRPr="001C4084">
        <w:rPr>
          <w:b/>
          <w:i/>
          <w:sz w:val="32"/>
          <w:szCs w:val="32"/>
        </w:rPr>
        <w:t>ID</w:t>
      </w:r>
      <w:r>
        <w:rPr>
          <w:b/>
          <w:i/>
          <w:sz w:val="32"/>
          <w:szCs w:val="32"/>
        </w:rPr>
        <w:t xml:space="preserve">: </w:t>
      </w:r>
      <w:r w:rsidRPr="002A1C89">
        <w:rPr>
          <w:b/>
          <w:bCs/>
          <w:i/>
          <w:iCs/>
          <w:sz w:val="32"/>
          <w:szCs w:val="32"/>
        </w:rPr>
        <w:t>2023030</w:t>
      </w:r>
    </w:p>
    <w:p w14:paraId="4306988C" w14:textId="77777777" w:rsidR="003C37EB" w:rsidRPr="003C37EB" w:rsidRDefault="003C37EB" w:rsidP="003C37EB">
      <w:pPr>
        <w:spacing w:line="252" w:lineRule="auto"/>
        <w:rPr>
          <w:b/>
          <w:i/>
          <w:sz w:val="28"/>
        </w:rPr>
      </w:pPr>
      <w:r>
        <w:rPr>
          <w:b/>
          <w:i/>
          <w:sz w:val="28"/>
        </w:rPr>
        <w:br w:type="page"/>
      </w:r>
    </w:p>
    <w:p w14:paraId="6F1713AA" w14:textId="77777777" w:rsidR="00BF2A80" w:rsidRPr="00EB3A26" w:rsidRDefault="00BF2A80" w:rsidP="003C37EB">
      <w:pPr>
        <w:pStyle w:val="Heading1"/>
        <w:rPr>
          <w:rFonts w:ascii="Times New Roman" w:eastAsia="Times New Roman" w:hAnsi="Times New Roman" w:cs="Times New Roman"/>
          <w:sz w:val="24"/>
          <w:szCs w:val="24"/>
        </w:rPr>
      </w:pPr>
      <w:r w:rsidRPr="00EB3A26">
        <w:rPr>
          <w:rFonts w:ascii="Times New Roman" w:hAnsi="Times New Roman" w:cs="Times New Roman"/>
          <w:sz w:val="24"/>
          <w:szCs w:val="24"/>
        </w:rPr>
        <w:lastRenderedPageBreak/>
        <w:t>Introduction</w:t>
      </w:r>
    </w:p>
    <w:p w14:paraId="635A54AC" w14:textId="77777777" w:rsidR="0061366D" w:rsidRPr="00EB3A26" w:rsidRDefault="00BF2A80">
      <w:pPr>
        <w:rPr>
          <w:rFonts w:cs="Times New Roman"/>
          <w:szCs w:val="24"/>
        </w:rPr>
      </w:pPr>
      <w:r w:rsidRPr="00EB3A26">
        <w:rPr>
          <w:rFonts w:cs="Times New Roman"/>
          <w:szCs w:val="24"/>
        </w:rPr>
        <w:t xml:space="preserve">In this report, an overview supported rationally and academically has been provided regarding what’s harmful and beneficial for Aldi’s culture, organizational structure, behavior of employee and performance with regard to policy practice of human resource. Today, in the global business market, one of the most reputable retailers of business is Aldi. It always has had a simple goal: provision of best vision and quality utilizing smart and linear procedures of business. </w:t>
      </w:r>
      <w:r w:rsidR="002C5CF9" w:rsidRPr="00EB3A26">
        <w:rPr>
          <w:rFonts w:cs="Times New Roman"/>
          <w:szCs w:val="24"/>
        </w:rPr>
        <w:t>Alone in the UK, 20,000 people are employed in Aldi and is growing consistently.</w:t>
      </w:r>
    </w:p>
    <w:p w14:paraId="1B6F2453" w14:textId="77777777" w:rsidR="00FC5BA1" w:rsidRPr="00EB3A26" w:rsidRDefault="00FC5BA1" w:rsidP="003C37EB">
      <w:pPr>
        <w:pStyle w:val="Heading1"/>
        <w:numPr>
          <w:ilvl w:val="0"/>
          <w:numId w:val="1"/>
        </w:numPr>
        <w:rPr>
          <w:rFonts w:ascii="Times New Roman" w:hAnsi="Times New Roman" w:cs="Times New Roman"/>
          <w:sz w:val="24"/>
          <w:szCs w:val="24"/>
        </w:rPr>
      </w:pPr>
      <w:r w:rsidRPr="00EB3A26">
        <w:rPr>
          <w:rFonts w:ascii="Times New Roman" w:hAnsi="Times New Roman" w:cs="Times New Roman"/>
          <w:sz w:val="24"/>
          <w:szCs w:val="24"/>
        </w:rPr>
        <w:t xml:space="preserve">How organizational Structure and cultures can influence the organizational performances </w:t>
      </w:r>
    </w:p>
    <w:p w14:paraId="11D155D4" w14:textId="77777777" w:rsidR="00FC5BA1" w:rsidRPr="00EB3A26" w:rsidRDefault="00FC5BA1" w:rsidP="00FC5BA1">
      <w:pPr>
        <w:pStyle w:val="Heading2"/>
        <w:rPr>
          <w:rFonts w:ascii="Times New Roman" w:eastAsia="Times New Roman" w:hAnsi="Times New Roman" w:cs="Times New Roman"/>
          <w:sz w:val="24"/>
          <w:szCs w:val="24"/>
        </w:rPr>
      </w:pPr>
      <w:r w:rsidRPr="00EB3A26">
        <w:rPr>
          <w:rFonts w:ascii="Times New Roman" w:eastAsia="Times New Roman" w:hAnsi="Times New Roman" w:cs="Times New Roman"/>
          <w:sz w:val="24"/>
          <w:szCs w:val="24"/>
        </w:rPr>
        <w:t>Aldi Organizational Structure</w:t>
      </w:r>
    </w:p>
    <w:p w14:paraId="26D6590B" w14:textId="77777777" w:rsidR="00FC5BA1" w:rsidRPr="00EB3A26" w:rsidRDefault="00FC5BA1">
      <w:pPr>
        <w:rPr>
          <w:rFonts w:cs="Times New Roman"/>
          <w:szCs w:val="24"/>
        </w:rPr>
      </w:pPr>
      <w:r w:rsidRPr="00EB3A26">
        <w:rPr>
          <w:rFonts w:cs="Times New Roman"/>
          <w:szCs w:val="24"/>
        </w:rPr>
        <w:t>The system of formal reporting of tasks and associations controlling, coordinating and motivating workers so they strive for the achievement of organizational objectives is defined as organizational structure. Generally, in the form of pyramid, a large structure of organization is depicted.</w:t>
      </w:r>
    </w:p>
    <w:p w14:paraId="0822C93A" w14:textId="77777777" w:rsidR="00493415" w:rsidRPr="00EB3A26" w:rsidRDefault="00493415" w:rsidP="00F17090">
      <w:pPr>
        <w:rPr>
          <w:rFonts w:cs="Times New Roman"/>
          <w:szCs w:val="24"/>
        </w:rPr>
      </w:pPr>
      <w:r w:rsidRPr="00EB3A26">
        <w:rPr>
          <w:rFonts w:cs="Times New Roman"/>
          <w:szCs w:val="24"/>
        </w:rPr>
        <w:t>Rapid and robust expansion is allowed by the organizational structure of Aldi that is crucial for the firm’s success on online services, information technology, and industries of consumer electronics. An organizational or corporate structure of a corporation is composed of services, personnel groups and between these resources and groups, associations</w:t>
      </w:r>
      <w:r w:rsidR="001C26B8" w:rsidRPr="00EB3A26">
        <w:rPr>
          <w:rFonts w:cs="Times New Roman"/>
          <w:szCs w:val="24"/>
        </w:rPr>
        <w:t xml:space="preserve"> (Birinci, Berezina and Cobanoglu, 2018)</w:t>
      </w:r>
      <w:r w:rsidRPr="00EB3A26">
        <w:rPr>
          <w:rFonts w:cs="Times New Roman"/>
          <w:szCs w:val="24"/>
        </w:rPr>
        <w:t xml:space="preserve">. </w:t>
      </w:r>
      <w:r w:rsidR="0033406C" w:rsidRPr="00EB3A26">
        <w:rPr>
          <w:rFonts w:cs="Times New Roman"/>
          <w:szCs w:val="24"/>
        </w:rPr>
        <w:t>For the development and management of the organizational structure, a framework is served by organizational design.</w:t>
      </w:r>
      <w:r w:rsidR="00804621" w:rsidRPr="00EB3A26">
        <w:rPr>
          <w:rFonts w:cs="Times New Roman"/>
          <w:szCs w:val="24"/>
        </w:rPr>
        <w:t>in Aldi’s this business report, policies fostering continued advancement of technology are supported by organizational structure.</w:t>
      </w:r>
    </w:p>
    <w:p w14:paraId="398E5B76" w14:textId="77777777" w:rsidR="0094526F" w:rsidRPr="00EB3A26" w:rsidRDefault="0094526F" w:rsidP="0093329D">
      <w:pPr>
        <w:rPr>
          <w:rFonts w:cs="Times New Roman"/>
          <w:szCs w:val="24"/>
        </w:rPr>
      </w:pPr>
      <w:r w:rsidRPr="00EB3A26">
        <w:rPr>
          <w:rFonts w:cs="Times New Roman"/>
          <w:szCs w:val="24"/>
        </w:rPr>
        <w:t>On geographical basis, without getting much departmentalized, a divisional structure is followed by Aldi. The managers of the division have the entire responsibility to handle the products/services the store provides and run the store considering it as a business of their own</w:t>
      </w:r>
      <w:r w:rsidR="001C26B8" w:rsidRPr="00EB3A26">
        <w:rPr>
          <w:rFonts w:cs="Times New Roman"/>
          <w:szCs w:val="24"/>
        </w:rPr>
        <w:t xml:space="preserve"> (Tien, 2019)</w:t>
      </w:r>
      <w:r w:rsidRPr="00EB3A26">
        <w:rPr>
          <w:rFonts w:cs="Times New Roman"/>
          <w:szCs w:val="24"/>
        </w:rPr>
        <w:t>.</w:t>
      </w:r>
      <w:r w:rsidR="005D591F" w:rsidRPr="00EB3A26">
        <w:rPr>
          <w:rFonts w:cs="Times New Roman"/>
          <w:szCs w:val="24"/>
        </w:rPr>
        <w:t xml:space="preserve"> </w:t>
      </w:r>
    </w:p>
    <w:p w14:paraId="255789D9" w14:textId="77777777" w:rsidR="005D591F" w:rsidRPr="00EB3A26" w:rsidRDefault="005D591F" w:rsidP="005D591F">
      <w:pPr>
        <w:rPr>
          <w:rFonts w:cs="Times New Roman"/>
          <w:szCs w:val="24"/>
        </w:rPr>
      </w:pPr>
      <w:r w:rsidRPr="00EB3A26">
        <w:rPr>
          <w:rFonts w:cs="Times New Roman"/>
          <w:szCs w:val="24"/>
        </w:rPr>
        <w:t xml:space="preserve">Also, it points the following of a decentralized structure by Aldi whereby the decisions can be completely made by the skilled and potential having managers at a lower-level. In the locality, for every 6 to 80 stores in the region, there was a formation of an autonomous corporation since the decentralization in 1961 that occurred with the splitting of Aldi in Aldi Sud and Aldi Nord. </w:t>
      </w:r>
      <w:r w:rsidR="00EA0ABE" w:rsidRPr="00EB3A26">
        <w:rPr>
          <w:rFonts w:cs="Times New Roman"/>
          <w:szCs w:val="24"/>
        </w:rPr>
        <w:t>Resultantly, numerous autonomous corporations were formed that, in a healthy manner, continued to compete with each other for helping the organization’s growth.</w:t>
      </w:r>
    </w:p>
    <w:p w14:paraId="2A50045A" w14:textId="77777777" w:rsidR="00FD14FE" w:rsidRPr="00EB3A26" w:rsidRDefault="00FD14FE" w:rsidP="007136C3">
      <w:pPr>
        <w:rPr>
          <w:rFonts w:cs="Times New Roman"/>
          <w:szCs w:val="24"/>
        </w:rPr>
      </w:pPr>
      <w:r w:rsidRPr="00EB3A26">
        <w:rPr>
          <w:rFonts w:cs="Times New Roman"/>
          <w:szCs w:val="24"/>
        </w:rPr>
        <w:lastRenderedPageBreak/>
        <w:t>In a region that’s geographically dispersed, it’s been proven by an organization like Aldi, the decision has proven to be good taking in account the Aldi’s success and growth since its appearance</w:t>
      </w:r>
      <w:r w:rsidR="00EF1E40" w:rsidRPr="00EB3A26">
        <w:rPr>
          <w:rFonts w:cs="Times New Roman"/>
          <w:szCs w:val="24"/>
        </w:rPr>
        <w:t xml:space="preserve"> (Groysberg et al., 2018)</w:t>
      </w:r>
      <w:r w:rsidRPr="00EB3A26">
        <w:rPr>
          <w:rFonts w:cs="Times New Roman"/>
          <w:szCs w:val="24"/>
        </w:rPr>
        <w:t>. The bureaucracy will be less due to smaller size of the corporations and the handling of almost all the issues can be done at the ground-level by rapid utilization of the knowledge present in the local marketplace.</w:t>
      </w:r>
      <w:r w:rsidR="007136C3" w:rsidRPr="00EB3A26">
        <w:rPr>
          <w:rFonts w:cs="Times New Roman"/>
          <w:szCs w:val="24"/>
        </w:rPr>
        <w:t xml:space="preserve"> The regional managers are involved in the process of decision-making through decentralization and the strategies of the company are also effectively implemented. From Robbins and Coulter (2001), the views have been adapted regarding a decentralized structure</w:t>
      </w:r>
      <w:r w:rsidR="00995383" w:rsidRPr="00EB3A26">
        <w:rPr>
          <w:rFonts w:cs="Times New Roman"/>
          <w:szCs w:val="24"/>
        </w:rPr>
        <w:t>.</w:t>
      </w:r>
    </w:p>
    <w:p w14:paraId="5AC3C537" w14:textId="77777777" w:rsidR="00CF4426" w:rsidRPr="00EB3A26" w:rsidRDefault="00CF4426" w:rsidP="007136C3">
      <w:pPr>
        <w:rPr>
          <w:rFonts w:cs="Times New Roman"/>
          <w:szCs w:val="24"/>
        </w:rPr>
      </w:pPr>
      <w:r w:rsidRPr="00EB3A26">
        <w:rPr>
          <w:rFonts w:cs="Times New Roman"/>
          <w:szCs w:val="24"/>
        </w:rPr>
        <w:t>When defined in context of span of control, the structure of Aldi is flat. A broad range of control is owned by managers hence making a flat structure instead of a hierarchical structure. Individual departments for human resources, public relations, marketing or planning are not there in Aldi. For the goals’ achievement, authority and responsibilities, clear specifications are given by the managers. For the delegation of these points to the underlying staff in a clear way and efficiently, manager is responsible. For the maintenance of culture and exercise of authority, results and performance evaluation and random and regular monitoring is done.</w:t>
      </w:r>
    </w:p>
    <w:p w14:paraId="2371A4A0" w14:textId="77777777" w:rsidR="006473A8" w:rsidRPr="00EB3A26" w:rsidRDefault="00CF24A6" w:rsidP="007136C3">
      <w:pPr>
        <w:rPr>
          <w:rFonts w:cs="Times New Roman"/>
          <w:szCs w:val="24"/>
        </w:rPr>
      </w:pPr>
      <w:r w:rsidRPr="00EB3A26">
        <w:rPr>
          <w:rFonts w:cs="Times New Roman"/>
          <w:szCs w:val="24"/>
        </w:rPr>
        <w:t xml:space="preserve">The management structure of Aldi is flat. The role of teams in organizational structure and in decision-making is emphasized by the flat structure of an organization. The challenged faced during work with other design kinds is helped to be eliminated by a flat structure of an organization. </w:t>
      </w:r>
      <w:r w:rsidR="00EB3A26" w:rsidRPr="00EB3A26">
        <w:rPr>
          <w:rFonts w:cs="Times New Roman"/>
          <w:szCs w:val="24"/>
        </w:rPr>
        <w:t>The</w:t>
      </w:r>
      <w:r w:rsidRPr="00EB3A26">
        <w:rPr>
          <w:rFonts w:cs="Times New Roman"/>
          <w:szCs w:val="24"/>
        </w:rPr>
        <w:t xml:space="preserve"> inability of team coordination, ineffective communication and internal barriers are the faced challenges. Fundamental principles are there in a flat structure of a firm making it perfect foe the workplaces in modern times. The internal procedures can be managed by teams who are given power ensuring the establishment of an experts’ team achieving higher coordination levels</w:t>
      </w:r>
      <w:r w:rsidR="00EF1E40" w:rsidRPr="00EB3A26">
        <w:rPr>
          <w:rFonts w:cs="Times New Roman"/>
          <w:szCs w:val="24"/>
        </w:rPr>
        <w:t xml:space="preserve"> (Sakhartov, 2017)</w:t>
      </w:r>
      <w:r w:rsidRPr="00EB3A26">
        <w:rPr>
          <w:rFonts w:cs="Times New Roman"/>
          <w:szCs w:val="24"/>
        </w:rPr>
        <w:t>.</w:t>
      </w:r>
      <w:r w:rsidR="00434170" w:rsidRPr="00EB3A26">
        <w:rPr>
          <w:rFonts w:cs="Times New Roman"/>
          <w:szCs w:val="24"/>
        </w:rPr>
        <w:t xml:space="preserve"> There is flat flow of information </w:t>
      </w:r>
      <w:r w:rsidR="00D86BD4" w:rsidRPr="00EB3A26">
        <w:rPr>
          <w:rFonts w:cs="Times New Roman"/>
          <w:szCs w:val="24"/>
        </w:rPr>
        <w:t>ensuring that information can be accessed by team’s every member. there has been an elimination of the obstacles in coordination and communication at Aldi by making sure that in management hierarchy, there exist few to none chains. Towards the top leadership, the remaining executive team members possess easy access and also developed intra-communication. The work is easily coordinated by these teams and do not necessarily have to consult the top authorities. Thus, they have become experts making it easier for the company for adapting to the new changes implemented.</w:t>
      </w:r>
    </w:p>
    <w:p w14:paraId="59C55934" w14:textId="77777777" w:rsidR="00D8320B" w:rsidRPr="00EB3A26" w:rsidRDefault="00D8320B" w:rsidP="00D8320B">
      <w:pPr>
        <w:pStyle w:val="Heading2"/>
        <w:rPr>
          <w:rFonts w:ascii="Times New Roman" w:eastAsia="Times New Roman" w:hAnsi="Times New Roman" w:cs="Times New Roman"/>
          <w:color w:val="303030"/>
          <w:sz w:val="24"/>
          <w:szCs w:val="24"/>
        </w:rPr>
      </w:pPr>
      <w:r w:rsidRPr="00EB3A26">
        <w:rPr>
          <w:rFonts w:ascii="Times New Roman" w:eastAsia="Times New Roman" w:hAnsi="Times New Roman" w:cs="Times New Roman"/>
          <w:sz w:val="24"/>
          <w:szCs w:val="24"/>
        </w:rPr>
        <w:lastRenderedPageBreak/>
        <w:t>Aldi Organizational Culture</w:t>
      </w:r>
    </w:p>
    <w:p w14:paraId="02FBF9E2" w14:textId="77777777" w:rsidR="0093329D" w:rsidRPr="00EB3A26" w:rsidRDefault="00304805">
      <w:pPr>
        <w:rPr>
          <w:rFonts w:cs="Times New Roman"/>
          <w:szCs w:val="24"/>
        </w:rPr>
      </w:pPr>
      <w:r w:rsidRPr="00EB3A26">
        <w:rPr>
          <w:rFonts w:cs="Times New Roman"/>
          <w:szCs w:val="24"/>
        </w:rPr>
        <w:t xml:space="preserve">The Aldi’s organizational structure has been successful also by adhering to 7 core values apart from delivering quality products and appropriate </w:t>
      </w:r>
      <w:r w:rsidR="00F17090" w:rsidRPr="00EB3A26">
        <w:rPr>
          <w:rFonts w:cs="Times New Roman"/>
          <w:szCs w:val="24"/>
        </w:rPr>
        <w:t>planning’s</w:t>
      </w:r>
      <w:r w:rsidRPr="00EB3A26">
        <w:rPr>
          <w:rFonts w:cs="Times New Roman"/>
          <w:szCs w:val="24"/>
        </w:rPr>
        <w:t xml:space="preserve">. Focusing the member or customer is the first value. It is attempted that every member served receives a world-class experience from the company. Preference is given to customer satisfaction </w:t>
      </w:r>
      <w:r w:rsidR="00070996" w:rsidRPr="00EB3A26">
        <w:rPr>
          <w:rFonts w:cs="Times New Roman"/>
          <w:szCs w:val="24"/>
        </w:rPr>
        <w:t xml:space="preserve">and apart from listening the customer attentively, every worker is motivated to be appreciative and caring. </w:t>
      </w:r>
      <w:r w:rsidR="001018A8" w:rsidRPr="00EB3A26">
        <w:rPr>
          <w:rFonts w:cs="Times New Roman"/>
          <w:szCs w:val="24"/>
        </w:rPr>
        <w:t>The embracement of the organization’s lifestyle and the products is the second value</w:t>
      </w:r>
      <w:r w:rsidR="00315287" w:rsidRPr="00EB3A26">
        <w:rPr>
          <w:rFonts w:cs="Times New Roman"/>
          <w:szCs w:val="24"/>
        </w:rPr>
        <w:t xml:space="preserve"> (</w:t>
      </w:r>
      <w:r w:rsidR="00315287" w:rsidRPr="00EB3A26">
        <w:rPr>
          <w:rFonts w:cs="Times New Roman"/>
          <w:color w:val="222222"/>
          <w:szCs w:val="24"/>
          <w:shd w:val="clear" w:color="auto" w:fill="FFFFFF"/>
        </w:rPr>
        <w:t>Brandes and Brandes, 2019</w:t>
      </w:r>
      <w:r w:rsidR="00315287" w:rsidRPr="00EB3A26">
        <w:rPr>
          <w:rFonts w:cs="Times New Roman"/>
          <w:szCs w:val="24"/>
        </w:rPr>
        <w:t>)</w:t>
      </w:r>
      <w:r w:rsidR="001018A8" w:rsidRPr="00EB3A26">
        <w:rPr>
          <w:rFonts w:cs="Times New Roman"/>
          <w:szCs w:val="24"/>
        </w:rPr>
        <w:t>. The company has fascinating products and their usage is thus encouraged to be done by the employees, sharing their experience with co-workers and friends</w:t>
      </w:r>
      <w:r w:rsidR="00263222" w:rsidRPr="00EB3A26">
        <w:rPr>
          <w:rFonts w:cs="Times New Roman"/>
          <w:szCs w:val="24"/>
        </w:rPr>
        <w:t xml:space="preserve"> </w:t>
      </w:r>
      <w:r w:rsidR="00EB3A26" w:rsidRPr="00EB3A26">
        <w:rPr>
          <w:rFonts w:cs="Times New Roman"/>
          <w:szCs w:val="24"/>
        </w:rPr>
        <w:t>another</w:t>
      </w:r>
      <w:r w:rsidR="00C27C9A" w:rsidRPr="00EB3A26">
        <w:rPr>
          <w:rFonts w:cs="Times New Roman"/>
          <w:szCs w:val="24"/>
        </w:rPr>
        <w:t xml:space="preserve"> vital value of the organization is a positive attitude entailing to respect others, focus on their positive points and strive for the harmony build-up. It is believed by management that when a workplace is having smiling faces indicates a productive and enjoyable. The challenges are then perceived by the employees having such attitudes as growth opportunities instead of frustration sources. </w:t>
      </w:r>
      <w:r w:rsidR="007B2EA2" w:rsidRPr="00EB3A26">
        <w:rPr>
          <w:rFonts w:cs="Times New Roman"/>
          <w:szCs w:val="24"/>
        </w:rPr>
        <w:t>The fourth value is the personal integrity that aims the creation of an employees’ team that is honest and transparent able to develop trust with clients. The organization warmly welcomes the change. The main policy is bringing innovation, no status quo settlement and strive for excellence.</w:t>
      </w:r>
      <w:r w:rsidR="00EC3FD7" w:rsidRPr="00EB3A26">
        <w:rPr>
          <w:rFonts w:cs="Times New Roman"/>
          <w:szCs w:val="24"/>
        </w:rPr>
        <w:t xml:space="preserve"> Things are sought to be done in a radically different manner and for improved and more significant accomplishments, the change is perceived to be means</w:t>
      </w:r>
      <w:r w:rsidR="00152A2D" w:rsidRPr="00EB3A26">
        <w:rPr>
          <w:rFonts w:cs="Times New Roman"/>
          <w:szCs w:val="24"/>
        </w:rPr>
        <w:t xml:space="preserve"> (</w:t>
      </w:r>
      <w:r w:rsidR="00152A2D" w:rsidRPr="00EB3A26">
        <w:rPr>
          <w:rFonts w:cs="Times New Roman"/>
          <w:color w:val="222222"/>
          <w:szCs w:val="24"/>
          <w:shd w:val="clear" w:color="auto" w:fill="FFFFFF"/>
        </w:rPr>
        <w:t>Simon, 2021</w:t>
      </w:r>
      <w:r w:rsidR="00152A2D" w:rsidRPr="00EB3A26">
        <w:rPr>
          <w:rFonts w:cs="Times New Roman"/>
          <w:szCs w:val="24"/>
        </w:rPr>
        <w:t>)</w:t>
      </w:r>
      <w:r w:rsidR="00EC3FD7" w:rsidRPr="00EB3A26">
        <w:rPr>
          <w:rFonts w:cs="Times New Roman"/>
          <w:szCs w:val="24"/>
        </w:rPr>
        <w:t xml:space="preserve">. Exercise of good </w:t>
      </w:r>
      <w:r w:rsidR="00EB3A26" w:rsidRPr="00EB3A26">
        <w:rPr>
          <w:rFonts w:cs="Times New Roman"/>
          <w:szCs w:val="24"/>
        </w:rPr>
        <w:t>judgment</w:t>
      </w:r>
      <w:r w:rsidR="00EC3FD7" w:rsidRPr="00EB3A26">
        <w:rPr>
          <w:rFonts w:cs="Times New Roman"/>
          <w:szCs w:val="24"/>
        </w:rPr>
        <w:t xml:space="preserve"> is the 6</w:t>
      </w:r>
      <w:r w:rsidR="00EC3FD7" w:rsidRPr="00EB3A26">
        <w:rPr>
          <w:rFonts w:cs="Times New Roman"/>
          <w:szCs w:val="24"/>
          <w:vertAlign w:val="superscript"/>
        </w:rPr>
        <w:t>th</w:t>
      </w:r>
      <w:r w:rsidR="00EC3FD7" w:rsidRPr="00EB3A26">
        <w:rPr>
          <w:rFonts w:cs="Times New Roman"/>
          <w:szCs w:val="24"/>
        </w:rPr>
        <w:t xml:space="preserve"> value. Specifically, in team, there is encouragement of good </w:t>
      </w:r>
      <w:r w:rsidR="00EB3A26" w:rsidRPr="00EB3A26">
        <w:rPr>
          <w:rFonts w:cs="Times New Roman"/>
          <w:szCs w:val="24"/>
        </w:rPr>
        <w:t>judgment</w:t>
      </w:r>
      <w:r w:rsidR="00EC3FD7" w:rsidRPr="00EB3A26">
        <w:rPr>
          <w:rFonts w:cs="Times New Roman"/>
          <w:szCs w:val="24"/>
        </w:rPr>
        <w:t xml:space="preserve"> and critical thinking is urged to be embraced by workers before coming to any </w:t>
      </w:r>
      <w:r w:rsidR="00EB3A26" w:rsidRPr="00EB3A26">
        <w:rPr>
          <w:rFonts w:cs="Times New Roman"/>
          <w:szCs w:val="24"/>
        </w:rPr>
        <w:t>judgment</w:t>
      </w:r>
      <w:r w:rsidR="00EC3FD7" w:rsidRPr="00EB3A26">
        <w:rPr>
          <w:rFonts w:cs="Times New Roman"/>
          <w:szCs w:val="24"/>
        </w:rPr>
        <w:t xml:space="preserve">. Finally, there is always effective communication. </w:t>
      </w:r>
      <w:r w:rsidR="00025F83" w:rsidRPr="00EB3A26">
        <w:rPr>
          <w:rFonts w:cs="Times New Roman"/>
          <w:szCs w:val="24"/>
        </w:rPr>
        <w:t>Harmonious workplaces and seamless procedures of work have been created by adequate, clear and correct data.</w:t>
      </w:r>
      <w:r w:rsidR="00EC3FD7" w:rsidRPr="00EB3A26">
        <w:rPr>
          <w:rFonts w:cs="Times New Roman"/>
          <w:szCs w:val="24"/>
        </w:rPr>
        <w:t xml:space="preserve"> </w:t>
      </w:r>
    </w:p>
    <w:p w14:paraId="17AE0C59" w14:textId="77777777" w:rsidR="00FC5BA1" w:rsidRPr="00EB3A26" w:rsidRDefault="00F34E76" w:rsidP="00493415">
      <w:pPr>
        <w:rPr>
          <w:rFonts w:cs="Times New Roman"/>
          <w:szCs w:val="24"/>
        </w:rPr>
      </w:pPr>
      <w:r w:rsidRPr="00EB3A26">
        <w:rPr>
          <w:rFonts w:cs="Times New Roman"/>
          <w:szCs w:val="24"/>
        </w:rPr>
        <w:t>The culture has been significantly influenced by Aldi’s founders and the business strategy, philosophy and guiding principles of Aldi reflect the cultural values. Moreover, the Aldi model is easier to be understood by the customers, employees and managers that is providing high-quality but affordable priced products.</w:t>
      </w:r>
    </w:p>
    <w:p w14:paraId="0B1C837C" w14:textId="77777777" w:rsidR="009C4E0D" w:rsidRPr="00EB3A26" w:rsidRDefault="00AE2D4D" w:rsidP="00493415">
      <w:pPr>
        <w:rPr>
          <w:rFonts w:cs="Times New Roman"/>
          <w:szCs w:val="24"/>
        </w:rPr>
      </w:pPr>
      <w:r w:rsidRPr="00EB3A26">
        <w:rPr>
          <w:rFonts w:cs="Times New Roman"/>
          <w:szCs w:val="24"/>
        </w:rPr>
        <w:t xml:space="preserve">The avoidance of non-desired cost when possible is the aim of Aldi which is also well-known and at all levels of the company, urge the managers and the employees </w:t>
      </w:r>
      <w:r w:rsidR="007E4BC7" w:rsidRPr="00EB3A26">
        <w:rPr>
          <w:rFonts w:cs="Times New Roman"/>
          <w:szCs w:val="24"/>
        </w:rPr>
        <w:t xml:space="preserve">to remain highly cost-conscious and essentially focusing on the economic efficiency as wastage is not allowed by Aldi. For instance, among all, one rule is the switching off of lights by all employees in offices in case of </w:t>
      </w:r>
      <w:r w:rsidR="007E4BC7" w:rsidRPr="00EB3A26">
        <w:rPr>
          <w:rFonts w:cs="Times New Roman"/>
          <w:szCs w:val="24"/>
        </w:rPr>
        <w:lastRenderedPageBreak/>
        <w:t>having significant daylight from outer space</w:t>
      </w:r>
      <w:r w:rsidR="00152A2D" w:rsidRPr="00EB3A26">
        <w:rPr>
          <w:rFonts w:cs="Times New Roman"/>
          <w:szCs w:val="24"/>
        </w:rPr>
        <w:t xml:space="preserve"> (</w:t>
      </w:r>
      <w:r w:rsidR="00152A2D" w:rsidRPr="00EB3A26">
        <w:rPr>
          <w:rFonts w:cs="Times New Roman"/>
          <w:color w:val="222222"/>
          <w:szCs w:val="24"/>
          <w:shd w:val="clear" w:color="auto" w:fill="FFFFFF"/>
        </w:rPr>
        <w:t>Santamaria, 2020</w:t>
      </w:r>
      <w:r w:rsidR="00152A2D" w:rsidRPr="00EB3A26">
        <w:rPr>
          <w:rFonts w:cs="Times New Roman"/>
          <w:szCs w:val="24"/>
        </w:rPr>
        <w:t>)</w:t>
      </w:r>
      <w:r w:rsidR="007E4BC7" w:rsidRPr="00EB3A26">
        <w:rPr>
          <w:rFonts w:cs="Times New Roman"/>
          <w:szCs w:val="24"/>
        </w:rPr>
        <w:t>. Hence, in value-chain’s all areas, there is extension of cost-watching concept that includes the new technique development for management of warehouse or for the goods’ transport.</w:t>
      </w:r>
    </w:p>
    <w:p w14:paraId="5FECEBA9" w14:textId="77777777" w:rsidR="009734C1" w:rsidRPr="00EB3A26" w:rsidRDefault="0045178C" w:rsidP="00493415">
      <w:pPr>
        <w:rPr>
          <w:rFonts w:cs="Times New Roman"/>
          <w:szCs w:val="24"/>
        </w:rPr>
      </w:pPr>
      <w:r w:rsidRPr="00EB3A26">
        <w:rPr>
          <w:rFonts w:cs="Times New Roman"/>
          <w:szCs w:val="24"/>
        </w:rPr>
        <w:t>The company considers all aspects and for small success achievement, develops pleasure. A strong force accompanies continuous improvement culture for the implementation and development of the solutions. Instead of revelation of detailed analysis, new solutions and ideas will be tried by Aldi, for instance, market analyses are not to be detailed by new products, but in three shops are tested. Their introduction is done in remaining shops in case they get successful and accomplish a pre-determined and fast minimum turnover.</w:t>
      </w:r>
    </w:p>
    <w:p w14:paraId="1F199467" w14:textId="77777777" w:rsidR="00783080" w:rsidRPr="00EB3A26" w:rsidRDefault="00783080" w:rsidP="00493415">
      <w:pPr>
        <w:rPr>
          <w:rFonts w:cs="Times New Roman"/>
          <w:szCs w:val="24"/>
        </w:rPr>
      </w:pPr>
      <w:r w:rsidRPr="00EB3A26">
        <w:rPr>
          <w:rFonts w:cs="Times New Roman"/>
          <w:szCs w:val="24"/>
        </w:rPr>
        <w:t xml:space="preserve">The employment and selection strategy of Aldi strengthens the organizational culture. </w:t>
      </w:r>
      <w:r w:rsidR="00B73688" w:rsidRPr="00EB3A26">
        <w:rPr>
          <w:rFonts w:cs="Times New Roman"/>
          <w:szCs w:val="24"/>
        </w:rPr>
        <w:t>Careful selection, development and enhancement of the management talent is done from within Aldi</w:t>
      </w:r>
      <w:r w:rsidR="00152A2D" w:rsidRPr="00EB3A26">
        <w:rPr>
          <w:rFonts w:cs="Times New Roman"/>
          <w:szCs w:val="24"/>
        </w:rPr>
        <w:t xml:space="preserve"> (</w:t>
      </w:r>
      <w:r w:rsidR="00152A2D" w:rsidRPr="00EB3A26">
        <w:rPr>
          <w:rFonts w:cs="Times New Roman"/>
          <w:color w:val="222222"/>
          <w:szCs w:val="24"/>
          <w:shd w:val="clear" w:color="auto" w:fill="FFFFFF"/>
        </w:rPr>
        <w:t>Muchiri et al., 2019</w:t>
      </w:r>
      <w:r w:rsidR="00152A2D" w:rsidRPr="00EB3A26">
        <w:rPr>
          <w:rFonts w:cs="Times New Roman"/>
          <w:szCs w:val="24"/>
        </w:rPr>
        <w:t>)</w:t>
      </w:r>
      <w:r w:rsidR="00B73688" w:rsidRPr="00EB3A26">
        <w:rPr>
          <w:rFonts w:cs="Times New Roman"/>
          <w:szCs w:val="24"/>
        </w:rPr>
        <w:t>. Furthermore, for capable managers, essential qualities have much focus on efficiency in economy, equality with others, involving modesty, suppliers, and towards press and public, reservation.</w:t>
      </w:r>
    </w:p>
    <w:p w14:paraId="335EFD60" w14:textId="77777777" w:rsidR="009E600C" w:rsidRPr="00EB3A26" w:rsidRDefault="009E600C" w:rsidP="003C37EB">
      <w:pPr>
        <w:pStyle w:val="Heading1"/>
        <w:numPr>
          <w:ilvl w:val="0"/>
          <w:numId w:val="1"/>
        </w:numPr>
        <w:rPr>
          <w:rFonts w:ascii="Times New Roman" w:hAnsi="Times New Roman" w:cs="Times New Roman"/>
          <w:sz w:val="24"/>
          <w:szCs w:val="24"/>
        </w:rPr>
      </w:pPr>
      <w:r w:rsidRPr="00EB3A26">
        <w:rPr>
          <w:rFonts w:ascii="Times New Roman" w:hAnsi="Times New Roman" w:cs="Times New Roman"/>
          <w:sz w:val="24"/>
          <w:szCs w:val="24"/>
        </w:rPr>
        <w:t xml:space="preserve">Based on </w:t>
      </w:r>
      <w:r w:rsidR="00340A92" w:rsidRPr="00EB3A26">
        <w:rPr>
          <w:rFonts w:ascii="Times New Roman" w:hAnsi="Times New Roman" w:cs="Times New Roman"/>
          <w:sz w:val="24"/>
          <w:szCs w:val="24"/>
        </w:rPr>
        <w:t>behavioral</w:t>
      </w:r>
      <w:r w:rsidRPr="00EB3A26">
        <w:rPr>
          <w:rFonts w:ascii="Times New Roman" w:hAnsi="Times New Roman" w:cs="Times New Roman"/>
          <w:sz w:val="24"/>
          <w:szCs w:val="24"/>
        </w:rPr>
        <w:t xml:space="preserve"> approach, how different factors can influence individual </w:t>
      </w:r>
      <w:r w:rsidR="00340A92" w:rsidRPr="00EB3A26">
        <w:rPr>
          <w:rFonts w:ascii="Times New Roman" w:hAnsi="Times New Roman" w:cs="Times New Roman"/>
          <w:sz w:val="24"/>
          <w:szCs w:val="24"/>
        </w:rPr>
        <w:t>behavior</w:t>
      </w:r>
      <w:r w:rsidRPr="00EB3A26">
        <w:rPr>
          <w:rFonts w:ascii="Times New Roman" w:hAnsi="Times New Roman" w:cs="Times New Roman"/>
          <w:sz w:val="24"/>
          <w:szCs w:val="24"/>
        </w:rPr>
        <w:t xml:space="preserve"> at work place </w:t>
      </w:r>
    </w:p>
    <w:p w14:paraId="5E2B0A10" w14:textId="77777777" w:rsidR="009E600C" w:rsidRPr="00EB3A26" w:rsidRDefault="009E600C" w:rsidP="009E600C">
      <w:pPr>
        <w:rPr>
          <w:rFonts w:cs="Times New Roman"/>
          <w:szCs w:val="24"/>
        </w:rPr>
      </w:pPr>
    </w:p>
    <w:p w14:paraId="342DFEE0" w14:textId="77777777" w:rsidR="00402032" w:rsidRPr="00EB3A26" w:rsidRDefault="00402032" w:rsidP="009E600C">
      <w:pPr>
        <w:rPr>
          <w:rFonts w:cs="Times New Roman"/>
          <w:b/>
          <w:szCs w:val="24"/>
          <w:u w:val="single"/>
        </w:rPr>
      </w:pPr>
      <w:r w:rsidRPr="00EB3A26">
        <w:rPr>
          <w:rFonts w:cs="Times New Roman"/>
          <w:szCs w:val="24"/>
        </w:rPr>
        <w:t>Humans have a complicated behavior and depending on situations, reactions are given. If the behavior of people on various situations is understood, then at workplace, people can be managed for the achievement of set organizational goals. The present resources are used by the management in an organization for a given task and individual on five factors, depends the behavior of individual at work that are:</w:t>
      </w:r>
    </w:p>
    <w:p w14:paraId="6397A2E7" w14:textId="77777777" w:rsidR="009E600C" w:rsidRPr="00EB3A26" w:rsidRDefault="00B91F52" w:rsidP="00493415">
      <w:pPr>
        <w:rPr>
          <w:rFonts w:cs="Times New Roman"/>
          <w:szCs w:val="24"/>
        </w:rPr>
      </w:pPr>
      <w:r w:rsidRPr="00EB3A26">
        <w:rPr>
          <w:rFonts w:cs="Times New Roman"/>
          <w:noProof/>
          <w:szCs w:val="24"/>
        </w:rPr>
        <w:lastRenderedPageBreak/>
        <w:drawing>
          <wp:anchor distT="0" distB="0" distL="114300" distR="114300" simplePos="0" relativeHeight="251659264" behindDoc="0" locked="0" layoutInCell="1" allowOverlap="1" wp14:anchorId="3B087C22" wp14:editId="4F8EEDDB">
            <wp:simplePos x="0" y="0"/>
            <wp:positionH relativeFrom="column">
              <wp:posOffset>0</wp:posOffset>
            </wp:positionH>
            <wp:positionV relativeFrom="page">
              <wp:posOffset>7053580</wp:posOffset>
            </wp:positionV>
            <wp:extent cx="3952875" cy="2266950"/>
            <wp:effectExtent l="0" t="57150" r="0" b="57150"/>
            <wp:wrapTopAndBottom/>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p>
    <w:p w14:paraId="4B51555A" w14:textId="77777777" w:rsidR="00D764F7" w:rsidRPr="00EB3A26" w:rsidRDefault="00D764F7" w:rsidP="00D764F7">
      <w:pPr>
        <w:rPr>
          <w:rFonts w:cs="Times New Roman"/>
          <w:b/>
          <w:szCs w:val="24"/>
          <w:u w:val="single"/>
        </w:rPr>
      </w:pPr>
      <w:bookmarkStart w:id="0" w:name="_Toc413449672"/>
      <w:r w:rsidRPr="00EB3A26">
        <w:rPr>
          <w:rFonts w:cs="Times New Roman"/>
          <w:b/>
          <w:szCs w:val="24"/>
          <w:u w:val="single"/>
        </w:rPr>
        <w:t>Demographic Factors:</w:t>
      </w:r>
      <w:bookmarkEnd w:id="0"/>
      <w:r w:rsidRPr="00EB3A26">
        <w:rPr>
          <w:rFonts w:cs="Times New Roman"/>
          <w:b/>
          <w:szCs w:val="24"/>
          <w:u w:val="single"/>
        </w:rPr>
        <w:t xml:space="preserve"> </w:t>
      </w:r>
    </w:p>
    <w:p w14:paraId="0A444AF2" w14:textId="77777777" w:rsidR="00D764F7" w:rsidRPr="00EB3A26" w:rsidRDefault="00D764F7" w:rsidP="00493415">
      <w:pPr>
        <w:rPr>
          <w:rFonts w:cs="Times New Roman"/>
          <w:szCs w:val="24"/>
        </w:rPr>
      </w:pPr>
      <w:r w:rsidRPr="00EB3A26">
        <w:rPr>
          <w:rFonts w:cs="Times New Roman"/>
          <w:szCs w:val="24"/>
        </w:rPr>
        <w:t>Age, gender, training, rationality, financial foundation etc. are the demographic variables. Individuals having significant financial base, decent education, and are youthful etc. are preferred by the organizations as superior to others, they are expected to perform. There is a continuous interest of youthful and elemental experts having significant foundation in academics and strong relational abilities. It is noteworthy to investigate for demographic variables since the selection of the suitable employer is helped for the management for a particular job or a task.</w:t>
      </w:r>
    </w:p>
    <w:p w14:paraId="78FBD2F1" w14:textId="77777777" w:rsidR="007A0F3F" w:rsidRPr="00EB3A26" w:rsidRDefault="001D0089" w:rsidP="00493415">
      <w:pPr>
        <w:rPr>
          <w:rFonts w:cs="Times New Roman"/>
          <w:szCs w:val="24"/>
        </w:rPr>
      </w:pPr>
      <w:r w:rsidRPr="00EB3A26">
        <w:rPr>
          <w:rFonts w:cs="Times New Roman"/>
          <w:szCs w:val="24"/>
        </w:rPr>
        <w:t>For instance, no discrimination for the employees’ requirement is there in ALDI. For the individual employees, no rules exist. International law of labor is followed by Aldi. Additionally, for a specific gender, color, race, etc. no particular rules are there. Hence, various sorts of working people can be found in the Aldi and the sharing of knowledge is done by all as per their potential. In recent times, in the hospitality world, a giant leading firm is Aldi</w:t>
      </w:r>
      <w:r w:rsidR="00152A2D" w:rsidRPr="00EB3A26">
        <w:rPr>
          <w:rFonts w:cs="Times New Roman"/>
          <w:szCs w:val="24"/>
        </w:rPr>
        <w:t xml:space="preserve"> (</w:t>
      </w:r>
      <w:r w:rsidR="00152A2D" w:rsidRPr="00EB3A26">
        <w:rPr>
          <w:rFonts w:cs="Times New Roman"/>
          <w:color w:val="222222"/>
          <w:szCs w:val="24"/>
          <w:shd w:val="clear" w:color="auto" w:fill="FFFFFF"/>
        </w:rPr>
        <w:t>Belwalkar, Vohra and Pandey, 2018</w:t>
      </w:r>
      <w:r w:rsidR="00152A2D" w:rsidRPr="00EB3A26">
        <w:rPr>
          <w:rFonts w:cs="Times New Roman"/>
          <w:szCs w:val="24"/>
        </w:rPr>
        <w:t>).</w:t>
      </w:r>
      <w:r w:rsidRPr="00EB3A26">
        <w:rPr>
          <w:rFonts w:cs="Times New Roman"/>
          <w:szCs w:val="24"/>
        </w:rPr>
        <w:t xml:space="preserve"> Every employee in Aldi is considered as a potential individual for provision of ideas and friendliness of employees makes the international recognition of Aldi and makes it unique around the globe.</w:t>
      </w:r>
    </w:p>
    <w:p w14:paraId="6FD86E1F" w14:textId="77777777" w:rsidR="00602774" w:rsidRPr="00EB3A26" w:rsidRDefault="00602774" w:rsidP="00602774">
      <w:pPr>
        <w:rPr>
          <w:rFonts w:cs="Times New Roman"/>
          <w:b/>
          <w:szCs w:val="24"/>
          <w:u w:val="single"/>
        </w:rPr>
      </w:pPr>
      <w:bookmarkStart w:id="1" w:name="_Toc413449673"/>
      <w:r w:rsidRPr="00EB3A26">
        <w:rPr>
          <w:rFonts w:cs="Times New Roman"/>
          <w:b/>
          <w:szCs w:val="24"/>
          <w:u w:val="single"/>
        </w:rPr>
        <w:t>Ability and Skills Factors:</w:t>
      </w:r>
      <w:bookmarkEnd w:id="1"/>
      <w:r w:rsidRPr="00EB3A26">
        <w:rPr>
          <w:rFonts w:cs="Times New Roman"/>
          <w:b/>
          <w:szCs w:val="24"/>
          <w:u w:val="single"/>
        </w:rPr>
        <w:t xml:space="preserve"> </w:t>
      </w:r>
    </w:p>
    <w:p w14:paraId="5D057DCA" w14:textId="77777777" w:rsidR="00602774" w:rsidRPr="00EB3A26" w:rsidRDefault="00602774" w:rsidP="00493415">
      <w:pPr>
        <w:rPr>
          <w:rFonts w:cs="Times New Roman"/>
          <w:szCs w:val="24"/>
        </w:rPr>
      </w:pPr>
      <w:r w:rsidRPr="00EB3A26">
        <w:rPr>
          <w:rFonts w:cs="Times New Roman"/>
          <w:szCs w:val="24"/>
        </w:rPr>
        <w:t>Capacity is defined as the physical limit of ability of person for doing a task. The capacity for acting in a way permitting the individual for giving a better performance is characterized as ability.</w:t>
      </w:r>
    </w:p>
    <w:p w14:paraId="36B7A931" w14:textId="77777777" w:rsidR="00602774" w:rsidRPr="00EB3A26" w:rsidRDefault="00602774" w:rsidP="00493415">
      <w:pPr>
        <w:rPr>
          <w:rFonts w:cs="Times New Roman"/>
          <w:szCs w:val="24"/>
        </w:rPr>
      </w:pPr>
      <w:r w:rsidRPr="00EB3A26">
        <w:rPr>
          <w:rFonts w:cs="Times New Roman"/>
          <w:szCs w:val="24"/>
        </w:rPr>
        <w:lastRenderedPageBreak/>
        <w:t>For instance, it is known by the management of Aldi regarding the skills and ability of an individual that can assist in the achievement of goals and fulfilling the expectations of customers</w:t>
      </w:r>
      <w:r w:rsidR="00615560" w:rsidRPr="00EB3A26">
        <w:rPr>
          <w:rFonts w:cs="Times New Roman"/>
          <w:szCs w:val="24"/>
        </w:rPr>
        <w:t xml:space="preserve"> (</w:t>
      </w:r>
      <w:r w:rsidR="00615560" w:rsidRPr="00EB3A26">
        <w:rPr>
          <w:rFonts w:cs="Times New Roman"/>
          <w:color w:val="222222"/>
          <w:szCs w:val="24"/>
          <w:shd w:val="clear" w:color="auto" w:fill="FFFFFF"/>
        </w:rPr>
        <w:t>Chung and Yang, 2017</w:t>
      </w:r>
      <w:r w:rsidR="00615560" w:rsidRPr="00EB3A26">
        <w:rPr>
          <w:rFonts w:cs="Times New Roman"/>
          <w:szCs w:val="24"/>
        </w:rPr>
        <w:t>)</w:t>
      </w:r>
      <w:r w:rsidRPr="00EB3A26">
        <w:rPr>
          <w:rFonts w:cs="Times New Roman"/>
          <w:szCs w:val="24"/>
        </w:rPr>
        <w:t xml:space="preserve">. </w:t>
      </w:r>
    </w:p>
    <w:p w14:paraId="3EE28B7A" w14:textId="77777777" w:rsidR="0013719F" w:rsidRPr="00EB3A26" w:rsidRDefault="0013719F" w:rsidP="0013719F">
      <w:pPr>
        <w:rPr>
          <w:rFonts w:cs="Times New Roman"/>
          <w:b/>
          <w:szCs w:val="24"/>
          <w:u w:val="single"/>
        </w:rPr>
      </w:pPr>
      <w:bookmarkStart w:id="2" w:name="_Toc413449674"/>
      <w:r w:rsidRPr="00EB3A26">
        <w:rPr>
          <w:rFonts w:cs="Times New Roman"/>
          <w:b/>
          <w:szCs w:val="24"/>
          <w:u w:val="single"/>
        </w:rPr>
        <w:t>Attitude Factors:</w:t>
      </w:r>
      <w:bookmarkEnd w:id="2"/>
    </w:p>
    <w:p w14:paraId="140D9686" w14:textId="77777777" w:rsidR="00A14BE6" w:rsidRPr="00EB3A26" w:rsidRDefault="00A14BE6" w:rsidP="0013719F">
      <w:pPr>
        <w:rPr>
          <w:rFonts w:cs="Times New Roman"/>
          <w:szCs w:val="24"/>
        </w:rPr>
      </w:pPr>
      <w:r w:rsidRPr="00EB3A26">
        <w:rPr>
          <w:rFonts w:cs="Times New Roman"/>
          <w:szCs w:val="24"/>
        </w:rPr>
        <w:t>As per psychologists, the tendency of giving a favorable or unfavorable response to some persons, situations or objects is called an attitude. An organization can reach the desired heights through a positive attitude.</w:t>
      </w:r>
    </w:p>
    <w:p w14:paraId="685445EE" w14:textId="77777777" w:rsidR="0013719F" w:rsidRPr="00EB3A26" w:rsidRDefault="00926F76" w:rsidP="00493415">
      <w:pPr>
        <w:rPr>
          <w:rFonts w:cs="Times New Roman"/>
          <w:szCs w:val="24"/>
        </w:rPr>
      </w:pPr>
      <w:r w:rsidRPr="00EB3A26">
        <w:rPr>
          <w:rFonts w:cs="Times New Roman"/>
          <w:szCs w:val="24"/>
        </w:rPr>
        <w:t>Likely, for every individual employee, a training session is arranged by Aldi</w:t>
      </w:r>
      <w:r w:rsidR="001854BC" w:rsidRPr="00EB3A26">
        <w:rPr>
          <w:rFonts w:cs="Times New Roman"/>
          <w:szCs w:val="24"/>
        </w:rPr>
        <w:t xml:space="preserve"> (</w:t>
      </w:r>
      <w:r w:rsidR="001854BC" w:rsidRPr="00EB3A26">
        <w:rPr>
          <w:rFonts w:cs="Times New Roman"/>
          <w:color w:val="222222"/>
          <w:szCs w:val="24"/>
          <w:shd w:val="clear" w:color="auto" w:fill="FFFFFF"/>
        </w:rPr>
        <w:t>Rezapouraghdam, Alipour and Arasli, 2019</w:t>
      </w:r>
      <w:r w:rsidR="001854BC" w:rsidRPr="00EB3A26">
        <w:rPr>
          <w:rFonts w:cs="Times New Roman"/>
          <w:szCs w:val="24"/>
        </w:rPr>
        <w:t>)</w:t>
      </w:r>
      <w:r w:rsidRPr="00EB3A26">
        <w:rPr>
          <w:rFonts w:cs="Times New Roman"/>
          <w:szCs w:val="24"/>
        </w:rPr>
        <w:t>. An employee’s negative attitude can be improvised by this training and a positive attitude can be developed in them.</w:t>
      </w:r>
    </w:p>
    <w:p w14:paraId="040B9E98" w14:textId="77777777" w:rsidR="00E5775D" w:rsidRPr="00EB3A26" w:rsidRDefault="00E5775D" w:rsidP="00E5775D">
      <w:pPr>
        <w:rPr>
          <w:rFonts w:cs="Times New Roman"/>
          <w:b/>
          <w:szCs w:val="24"/>
          <w:u w:val="single"/>
        </w:rPr>
      </w:pPr>
      <w:bookmarkStart w:id="3" w:name="_Toc413449675"/>
      <w:r w:rsidRPr="00EB3A26">
        <w:rPr>
          <w:rFonts w:cs="Times New Roman"/>
          <w:b/>
          <w:szCs w:val="24"/>
          <w:u w:val="single"/>
        </w:rPr>
        <w:t>Personality Factors:</w:t>
      </w:r>
      <w:bookmarkEnd w:id="3"/>
    </w:p>
    <w:p w14:paraId="4CCFEC9C" w14:textId="77777777" w:rsidR="000311D2" w:rsidRPr="00EB3A26" w:rsidRDefault="00A46867" w:rsidP="00493415">
      <w:pPr>
        <w:rPr>
          <w:rFonts w:cs="Times New Roman"/>
          <w:szCs w:val="24"/>
        </w:rPr>
      </w:pPr>
      <w:r w:rsidRPr="00EB3A26">
        <w:rPr>
          <w:rFonts w:cs="Times New Roman"/>
          <w:szCs w:val="24"/>
        </w:rPr>
        <w:t xml:space="preserve">In different individuals having various aspects, there is the dependence of personality. </w:t>
      </w:r>
      <w:r w:rsidR="00EB3A26" w:rsidRPr="00EB3A26">
        <w:rPr>
          <w:rFonts w:cs="Times New Roman"/>
          <w:szCs w:val="24"/>
        </w:rPr>
        <w:t>It</w:t>
      </w:r>
      <w:r w:rsidRPr="00EB3A26">
        <w:rPr>
          <w:rFonts w:cs="Times New Roman"/>
          <w:szCs w:val="24"/>
        </w:rPr>
        <w:t xml:space="preserve"> might be geographic, religion, economic, or social aspect.</w:t>
      </w:r>
    </w:p>
    <w:p w14:paraId="5FB4E9C5" w14:textId="77777777" w:rsidR="00E5775D" w:rsidRPr="00EB3A26" w:rsidRDefault="000311D2" w:rsidP="00493415">
      <w:pPr>
        <w:rPr>
          <w:rFonts w:cs="Times New Roman"/>
          <w:szCs w:val="24"/>
        </w:rPr>
      </w:pPr>
      <w:r w:rsidRPr="00EB3A26">
        <w:rPr>
          <w:rFonts w:cs="Times New Roman"/>
          <w:szCs w:val="24"/>
        </w:rPr>
        <w:t>In a workplace, a much personal factor is personality since people are only seen from the outside, and they are measured through their personalities judging the fact that whether or not he/she can fulfil the assigned task. In some instances, a poor personality is owned by a well-groomed individual</w:t>
      </w:r>
      <w:r w:rsidR="00521369" w:rsidRPr="00EB3A26">
        <w:rPr>
          <w:rFonts w:cs="Times New Roman"/>
          <w:szCs w:val="24"/>
        </w:rPr>
        <w:t xml:space="preserve"> (</w:t>
      </w:r>
      <w:r w:rsidR="00521369" w:rsidRPr="00EB3A26">
        <w:rPr>
          <w:rFonts w:cs="Times New Roman"/>
          <w:color w:val="222222"/>
          <w:szCs w:val="24"/>
          <w:shd w:val="clear" w:color="auto" w:fill="FFFFFF"/>
        </w:rPr>
        <w:t>Lehmann-Willenbrock and Allen, 2018</w:t>
      </w:r>
      <w:r w:rsidR="00521369" w:rsidRPr="00EB3A26">
        <w:rPr>
          <w:rFonts w:cs="Times New Roman"/>
          <w:szCs w:val="24"/>
        </w:rPr>
        <w:t>)</w:t>
      </w:r>
      <w:r w:rsidRPr="00EB3A26">
        <w:rPr>
          <w:rFonts w:cs="Times New Roman"/>
          <w:szCs w:val="24"/>
        </w:rPr>
        <w:t>. In the way of a vital job, negative personality can act as a barrier affecting the performance of job.</w:t>
      </w:r>
    </w:p>
    <w:p w14:paraId="3A79273F" w14:textId="77777777" w:rsidR="00D116B5" w:rsidRPr="00EB3A26" w:rsidRDefault="00D116B5" w:rsidP="00D116B5">
      <w:pPr>
        <w:rPr>
          <w:rFonts w:cs="Times New Roman"/>
          <w:b/>
          <w:szCs w:val="24"/>
          <w:u w:val="single"/>
        </w:rPr>
      </w:pPr>
      <w:bookmarkStart w:id="4" w:name="_Toc413449676"/>
      <w:r w:rsidRPr="00EB3A26">
        <w:rPr>
          <w:rFonts w:cs="Times New Roman"/>
          <w:b/>
          <w:szCs w:val="24"/>
          <w:u w:val="single"/>
        </w:rPr>
        <w:t>Perception Factors:</w:t>
      </w:r>
      <w:bookmarkEnd w:id="4"/>
      <w:r w:rsidRPr="00EB3A26">
        <w:rPr>
          <w:rFonts w:cs="Times New Roman"/>
          <w:b/>
          <w:szCs w:val="24"/>
          <w:u w:val="single"/>
        </w:rPr>
        <w:t xml:space="preserve"> </w:t>
      </w:r>
    </w:p>
    <w:p w14:paraId="54E37F51" w14:textId="77777777" w:rsidR="00ED7378" w:rsidRPr="00EB3A26" w:rsidRDefault="00ED7378" w:rsidP="00493415">
      <w:pPr>
        <w:rPr>
          <w:rFonts w:cs="Times New Roman"/>
          <w:szCs w:val="24"/>
        </w:rPr>
      </w:pPr>
      <w:r w:rsidRPr="00EB3A26">
        <w:rPr>
          <w:rFonts w:cs="Times New Roman"/>
          <w:szCs w:val="24"/>
        </w:rPr>
        <w:t>Recognition is the implied cognitive methodology to significantly decipher the boost in ecological environment</w:t>
      </w:r>
      <w:r w:rsidR="0054740F" w:rsidRPr="00EB3A26">
        <w:rPr>
          <w:rFonts w:cs="Times New Roman"/>
          <w:szCs w:val="24"/>
        </w:rPr>
        <w:t xml:space="preserve">. Ecological boosts can be composed and translated by every other individual on his/her reference premise. A single person’s impression to others is influenced by several other factors. </w:t>
      </w:r>
      <w:r w:rsidR="00AE5A87" w:rsidRPr="00EB3A26">
        <w:rPr>
          <w:rFonts w:cs="Times New Roman"/>
          <w:szCs w:val="24"/>
        </w:rPr>
        <w:t>For the directors, a crucial part is assumed by investigating the observations</w:t>
      </w:r>
      <w:r w:rsidR="00521369" w:rsidRPr="00EB3A26">
        <w:rPr>
          <w:rFonts w:cs="Times New Roman"/>
          <w:szCs w:val="24"/>
        </w:rPr>
        <w:t xml:space="preserve"> (</w:t>
      </w:r>
      <w:r w:rsidR="00521369" w:rsidRPr="00EB3A26">
        <w:rPr>
          <w:rFonts w:cs="Times New Roman"/>
          <w:color w:val="222222"/>
          <w:szCs w:val="24"/>
          <w:shd w:val="clear" w:color="auto" w:fill="FFFFFF"/>
        </w:rPr>
        <w:t>Blader, Patil and Packer, 2017</w:t>
      </w:r>
      <w:r w:rsidR="00521369" w:rsidRPr="00EB3A26">
        <w:rPr>
          <w:rFonts w:cs="Times New Roman"/>
          <w:szCs w:val="24"/>
        </w:rPr>
        <w:t>)</w:t>
      </w:r>
      <w:r w:rsidR="00AE5A87" w:rsidRPr="00EB3A26">
        <w:rPr>
          <w:rFonts w:cs="Times New Roman"/>
          <w:szCs w:val="24"/>
        </w:rPr>
        <w:t>. For the troughs, making a workplace a better and great environment is essential having the aim of letting the employees view them most positively. Better performance can be given by the workers based on the positivity of their views.</w:t>
      </w:r>
    </w:p>
    <w:p w14:paraId="369821B0" w14:textId="77777777" w:rsidR="00895A21" w:rsidRPr="00EB3A26" w:rsidRDefault="00895A21" w:rsidP="003C37EB">
      <w:pPr>
        <w:pStyle w:val="Heading1"/>
        <w:rPr>
          <w:rFonts w:ascii="Times New Roman" w:hAnsi="Times New Roman" w:cs="Times New Roman"/>
          <w:sz w:val="24"/>
          <w:szCs w:val="24"/>
        </w:rPr>
      </w:pPr>
      <w:r w:rsidRPr="00EB3A26">
        <w:rPr>
          <w:rFonts w:ascii="Times New Roman" w:hAnsi="Times New Roman" w:cs="Times New Roman"/>
          <w:sz w:val="24"/>
          <w:szCs w:val="24"/>
        </w:rPr>
        <w:lastRenderedPageBreak/>
        <w:t>Conclusion</w:t>
      </w:r>
    </w:p>
    <w:p w14:paraId="05513FEC" w14:textId="77777777" w:rsidR="00895A21" w:rsidRPr="00EB3A26" w:rsidRDefault="00895A21" w:rsidP="00493415">
      <w:pPr>
        <w:rPr>
          <w:rFonts w:cs="Times New Roman"/>
          <w:szCs w:val="24"/>
        </w:rPr>
      </w:pPr>
      <w:r w:rsidRPr="00EB3A26">
        <w:rPr>
          <w:rFonts w:cs="Times New Roman"/>
          <w:szCs w:val="24"/>
        </w:rPr>
        <w:t>Some founding principles are the structure and culture of an organization determining the organization’s sustainability and competitive advantage. The designing of the two with regard to organizational goals determine the competitive leverage over others. The past years for Aldi have shown to provide continuous growth and success. Effective communication, positivity in attitudes and critical thinking skills significantly play role in the success of an organization. The flat organizational structure of Aldi enables it have effective communication and coordination leading to elimination of internal hurdles.</w:t>
      </w:r>
    </w:p>
    <w:p w14:paraId="190DF231" w14:textId="77777777" w:rsidR="003C37EB" w:rsidRDefault="003C37EB" w:rsidP="003C37EB">
      <w:pPr>
        <w:spacing w:line="252" w:lineRule="auto"/>
      </w:pPr>
      <w:r>
        <w:br w:type="page"/>
      </w:r>
    </w:p>
    <w:p w14:paraId="4710F0C8" w14:textId="77777777" w:rsidR="003C37EB" w:rsidRPr="00493415" w:rsidRDefault="00641C18" w:rsidP="003C37EB">
      <w:pPr>
        <w:pStyle w:val="Heading1"/>
      </w:pPr>
      <w:r>
        <w:lastRenderedPageBreak/>
        <w:t>References</w:t>
      </w:r>
    </w:p>
    <w:p w14:paraId="6FF1FE39" w14:textId="77777777" w:rsidR="003C37EB" w:rsidRDefault="003C37EB" w:rsidP="003C37EB">
      <w:pPr>
        <w:ind w:left="720" w:hanging="720"/>
        <w:rPr>
          <w:shd w:val="clear" w:color="auto" w:fill="FFFFFF"/>
        </w:rPr>
      </w:pPr>
      <w:r>
        <w:rPr>
          <w:shd w:val="clear" w:color="auto" w:fill="FFFFFF"/>
        </w:rPr>
        <w:t>Belwalkar, S., Vohra, V. and Pandey, A., 2018. The relationship between workplace spirituality, job satisfaction and organizational citizenship behaviors–an empirical study. </w:t>
      </w:r>
      <w:r>
        <w:rPr>
          <w:i/>
          <w:iCs/>
          <w:shd w:val="clear" w:color="auto" w:fill="FFFFFF"/>
        </w:rPr>
        <w:t>Social Responsibility Journal</w:t>
      </w:r>
      <w:r>
        <w:rPr>
          <w:shd w:val="clear" w:color="auto" w:fill="FFFFFF"/>
        </w:rPr>
        <w:t>.</w:t>
      </w:r>
    </w:p>
    <w:p w14:paraId="31B2BB2E" w14:textId="77777777" w:rsidR="003C37EB" w:rsidRDefault="003C37EB" w:rsidP="003C37EB">
      <w:pPr>
        <w:ind w:left="720" w:hanging="720"/>
        <w:rPr>
          <w:shd w:val="clear" w:color="auto" w:fill="FFFFFF"/>
        </w:rPr>
      </w:pPr>
      <w:r>
        <w:rPr>
          <w:shd w:val="clear" w:color="auto" w:fill="FFFFFF"/>
        </w:rPr>
        <w:t>Birinci, H., Berezina, K. and Cobanoglu, C., 2018. Comparing customer perceptions of hotel and peer-to-peer accommodation advantages and disadvantages. </w:t>
      </w:r>
      <w:r>
        <w:rPr>
          <w:i/>
          <w:iCs/>
          <w:shd w:val="clear" w:color="auto" w:fill="FFFFFF"/>
        </w:rPr>
        <w:t>International Journal of Contemporary Hospitality Management</w:t>
      </w:r>
      <w:r>
        <w:rPr>
          <w:shd w:val="clear" w:color="auto" w:fill="FFFFFF"/>
        </w:rPr>
        <w:t>.</w:t>
      </w:r>
    </w:p>
    <w:p w14:paraId="30C3B1E6" w14:textId="77777777" w:rsidR="003C37EB" w:rsidRDefault="003C37EB" w:rsidP="003C37EB">
      <w:pPr>
        <w:ind w:left="720" w:hanging="720"/>
      </w:pPr>
      <w:r>
        <w:rPr>
          <w:shd w:val="clear" w:color="auto" w:fill="FFFFFF"/>
        </w:rPr>
        <w:t>Blader, S.L., Patil, S. and Packer, D.J., 2017. Organizational identification and workplace behavior: More than meets the eye. </w:t>
      </w:r>
      <w:r>
        <w:rPr>
          <w:i/>
          <w:iCs/>
          <w:shd w:val="clear" w:color="auto" w:fill="FFFFFF"/>
        </w:rPr>
        <w:t>Research in organizational behavior</w:t>
      </w:r>
      <w:r>
        <w:rPr>
          <w:shd w:val="clear" w:color="auto" w:fill="FFFFFF"/>
        </w:rPr>
        <w:t>, </w:t>
      </w:r>
      <w:r>
        <w:rPr>
          <w:i/>
          <w:iCs/>
          <w:shd w:val="clear" w:color="auto" w:fill="FFFFFF"/>
        </w:rPr>
        <w:t>37</w:t>
      </w:r>
      <w:r>
        <w:rPr>
          <w:shd w:val="clear" w:color="auto" w:fill="FFFFFF"/>
        </w:rPr>
        <w:t>, pp.19-34.</w:t>
      </w:r>
    </w:p>
    <w:p w14:paraId="5E8C8464" w14:textId="77777777" w:rsidR="003C37EB" w:rsidRDefault="003C37EB" w:rsidP="003C37EB">
      <w:pPr>
        <w:ind w:left="720" w:hanging="720"/>
        <w:rPr>
          <w:shd w:val="clear" w:color="auto" w:fill="FFFFFF"/>
        </w:rPr>
      </w:pPr>
      <w:r>
        <w:rPr>
          <w:shd w:val="clear" w:color="auto" w:fill="FFFFFF"/>
        </w:rPr>
        <w:t>Brandes, D. and Brandes, N., 2019. </w:t>
      </w:r>
      <w:r>
        <w:rPr>
          <w:i/>
          <w:iCs/>
          <w:shd w:val="clear" w:color="auto" w:fill="FFFFFF"/>
        </w:rPr>
        <w:t>Bare Essentials: The ALDI Story</w:t>
      </w:r>
      <w:r>
        <w:rPr>
          <w:shd w:val="clear" w:color="auto" w:fill="FFFFFF"/>
        </w:rPr>
        <w:t>. Linde Verlag GmbH.</w:t>
      </w:r>
    </w:p>
    <w:p w14:paraId="4FBFE73D" w14:textId="77777777" w:rsidR="003C37EB" w:rsidRDefault="003C37EB" w:rsidP="003C37EB">
      <w:pPr>
        <w:ind w:left="720" w:hanging="720"/>
        <w:rPr>
          <w:shd w:val="clear" w:color="auto" w:fill="FFFFFF"/>
        </w:rPr>
      </w:pPr>
      <w:r>
        <w:rPr>
          <w:shd w:val="clear" w:color="auto" w:fill="FFFFFF"/>
        </w:rPr>
        <w:t>Chung, Y.W. and Yang, J.Y., 2017. The mediating effects of organization-based self-esteem for the relationship between workplace ostracism and workplace behaviors. </w:t>
      </w:r>
      <w:r>
        <w:rPr>
          <w:i/>
          <w:iCs/>
          <w:shd w:val="clear" w:color="auto" w:fill="FFFFFF"/>
        </w:rPr>
        <w:t>Baltic Journal of Management</w:t>
      </w:r>
      <w:r>
        <w:rPr>
          <w:shd w:val="clear" w:color="auto" w:fill="FFFFFF"/>
        </w:rPr>
        <w:t>.</w:t>
      </w:r>
    </w:p>
    <w:p w14:paraId="1016F31E" w14:textId="77777777" w:rsidR="003C37EB" w:rsidRDefault="003C37EB" w:rsidP="003C37EB">
      <w:pPr>
        <w:ind w:left="720" w:hanging="720"/>
        <w:rPr>
          <w:shd w:val="clear" w:color="auto" w:fill="FFFFFF"/>
        </w:rPr>
      </w:pPr>
      <w:r>
        <w:rPr>
          <w:shd w:val="clear" w:color="auto" w:fill="FFFFFF"/>
        </w:rPr>
        <w:t>Groysberg, B., Lee, J., Price, J. and Cheng, J., 2018. The leader’s guide to corporate culture. </w:t>
      </w:r>
      <w:r>
        <w:rPr>
          <w:i/>
          <w:iCs/>
          <w:shd w:val="clear" w:color="auto" w:fill="FFFFFF"/>
        </w:rPr>
        <w:t>Harvard business review</w:t>
      </w:r>
      <w:r>
        <w:rPr>
          <w:shd w:val="clear" w:color="auto" w:fill="FFFFFF"/>
        </w:rPr>
        <w:t>, </w:t>
      </w:r>
      <w:r>
        <w:rPr>
          <w:i/>
          <w:iCs/>
          <w:shd w:val="clear" w:color="auto" w:fill="FFFFFF"/>
        </w:rPr>
        <w:t>96</w:t>
      </w:r>
      <w:r>
        <w:rPr>
          <w:shd w:val="clear" w:color="auto" w:fill="FFFFFF"/>
        </w:rPr>
        <w:t>(1), pp.44-52.</w:t>
      </w:r>
    </w:p>
    <w:p w14:paraId="5B798536" w14:textId="77777777" w:rsidR="003C37EB" w:rsidRDefault="003C37EB" w:rsidP="003C37EB">
      <w:pPr>
        <w:ind w:left="720" w:hanging="720"/>
        <w:rPr>
          <w:shd w:val="clear" w:color="auto" w:fill="FFFFFF"/>
        </w:rPr>
      </w:pPr>
      <w:r>
        <w:rPr>
          <w:shd w:val="clear" w:color="auto" w:fill="FFFFFF"/>
        </w:rPr>
        <w:t>Lehmann-Willenbrock, N. and Allen, J.A., 2018. Modeling temporal interaction dynamics in organizational settings. </w:t>
      </w:r>
      <w:r>
        <w:rPr>
          <w:i/>
          <w:iCs/>
          <w:shd w:val="clear" w:color="auto" w:fill="FFFFFF"/>
        </w:rPr>
        <w:t>Journal of business and psychology</w:t>
      </w:r>
      <w:r>
        <w:rPr>
          <w:shd w:val="clear" w:color="auto" w:fill="FFFFFF"/>
        </w:rPr>
        <w:t>, </w:t>
      </w:r>
      <w:r>
        <w:rPr>
          <w:i/>
          <w:iCs/>
          <w:shd w:val="clear" w:color="auto" w:fill="FFFFFF"/>
        </w:rPr>
        <w:t>33</w:t>
      </w:r>
      <w:r>
        <w:rPr>
          <w:shd w:val="clear" w:color="auto" w:fill="FFFFFF"/>
        </w:rPr>
        <w:t>(3), pp.325-344.</w:t>
      </w:r>
    </w:p>
    <w:p w14:paraId="5FF8551D" w14:textId="77777777" w:rsidR="003C37EB" w:rsidRDefault="003C37EB" w:rsidP="003C37EB">
      <w:pPr>
        <w:ind w:left="720" w:hanging="720"/>
        <w:rPr>
          <w:shd w:val="clear" w:color="auto" w:fill="FFFFFF"/>
        </w:rPr>
      </w:pPr>
      <w:r>
        <w:rPr>
          <w:shd w:val="clear" w:color="auto" w:fill="FFFFFF"/>
        </w:rPr>
        <w:t>Muchiri, M.K., McMurray, A.J., Nkhoma, M. and Pham, H.C., 2019. How transformational and empowering leader behaviors enhance workplace safety: A review and research agenda. </w:t>
      </w:r>
      <w:r>
        <w:rPr>
          <w:i/>
          <w:iCs/>
          <w:shd w:val="clear" w:color="auto" w:fill="FFFFFF"/>
        </w:rPr>
        <w:t>The Journal of Developing Areas</w:t>
      </w:r>
      <w:r>
        <w:rPr>
          <w:shd w:val="clear" w:color="auto" w:fill="FFFFFF"/>
        </w:rPr>
        <w:t>, </w:t>
      </w:r>
      <w:r>
        <w:rPr>
          <w:i/>
          <w:iCs/>
          <w:shd w:val="clear" w:color="auto" w:fill="FFFFFF"/>
        </w:rPr>
        <w:t>53</w:t>
      </w:r>
      <w:r>
        <w:rPr>
          <w:shd w:val="clear" w:color="auto" w:fill="FFFFFF"/>
        </w:rPr>
        <w:t>(1).</w:t>
      </w:r>
    </w:p>
    <w:p w14:paraId="54E613F9" w14:textId="77777777" w:rsidR="003C37EB" w:rsidRDefault="003C37EB" w:rsidP="003C37EB">
      <w:pPr>
        <w:ind w:left="720" w:hanging="720"/>
        <w:rPr>
          <w:shd w:val="clear" w:color="auto" w:fill="FFFFFF"/>
        </w:rPr>
      </w:pPr>
      <w:r>
        <w:rPr>
          <w:shd w:val="clear" w:color="auto" w:fill="FFFFFF"/>
        </w:rPr>
        <w:t>Rezapouraghdam, H., Alipour, H. and Arasli, H., 2019. Workplace spirituality and organization sustainability: a theoretical perspective on hospitality employees’ sustainable behavior. </w:t>
      </w:r>
      <w:r>
        <w:rPr>
          <w:i/>
          <w:iCs/>
          <w:shd w:val="clear" w:color="auto" w:fill="FFFFFF"/>
        </w:rPr>
        <w:t>Environment, Development and Sustainability</w:t>
      </w:r>
      <w:r>
        <w:rPr>
          <w:shd w:val="clear" w:color="auto" w:fill="FFFFFF"/>
        </w:rPr>
        <w:t>, </w:t>
      </w:r>
      <w:r>
        <w:rPr>
          <w:i/>
          <w:iCs/>
          <w:shd w:val="clear" w:color="auto" w:fill="FFFFFF"/>
        </w:rPr>
        <w:t>21</w:t>
      </w:r>
      <w:r>
        <w:rPr>
          <w:shd w:val="clear" w:color="auto" w:fill="FFFFFF"/>
        </w:rPr>
        <w:t>(4), pp.1583-1601.</w:t>
      </w:r>
    </w:p>
    <w:p w14:paraId="19991A84" w14:textId="77777777" w:rsidR="003C37EB" w:rsidRDefault="003C37EB" w:rsidP="003C37EB">
      <w:pPr>
        <w:ind w:left="720" w:hanging="720"/>
        <w:rPr>
          <w:shd w:val="clear" w:color="auto" w:fill="FFFFFF"/>
        </w:rPr>
      </w:pPr>
      <w:r>
        <w:rPr>
          <w:shd w:val="clear" w:color="auto" w:fill="FFFFFF"/>
        </w:rPr>
        <w:t>Sakhartov, A.V., 2017. Economies of scope, resource relatedness, and the dynamics of corporate diversification. </w:t>
      </w:r>
      <w:r>
        <w:rPr>
          <w:i/>
          <w:iCs/>
          <w:shd w:val="clear" w:color="auto" w:fill="FFFFFF"/>
        </w:rPr>
        <w:t>Strategic Management Journal</w:t>
      </w:r>
      <w:r>
        <w:rPr>
          <w:shd w:val="clear" w:color="auto" w:fill="FFFFFF"/>
        </w:rPr>
        <w:t>, </w:t>
      </w:r>
      <w:r>
        <w:rPr>
          <w:i/>
          <w:iCs/>
          <w:shd w:val="clear" w:color="auto" w:fill="FFFFFF"/>
        </w:rPr>
        <w:t>38</w:t>
      </w:r>
      <w:r>
        <w:rPr>
          <w:shd w:val="clear" w:color="auto" w:fill="FFFFFF"/>
        </w:rPr>
        <w:t>(11), pp.2168-2188.</w:t>
      </w:r>
    </w:p>
    <w:p w14:paraId="219AF260" w14:textId="77777777" w:rsidR="003C37EB" w:rsidRDefault="003C37EB" w:rsidP="003C37EB">
      <w:pPr>
        <w:ind w:left="720" w:hanging="720"/>
        <w:rPr>
          <w:shd w:val="clear" w:color="auto" w:fill="FFFFFF"/>
        </w:rPr>
      </w:pPr>
      <w:r>
        <w:rPr>
          <w:shd w:val="clear" w:color="auto" w:fill="FFFFFF"/>
        </w:rPr>
        <w:lastRenderedPageBreak/>
        <w:t>Santamaria, V., 2020. </w:t>
      </w:r>
      <w:r>
        <w:rPr>
          <w:i/>
          <w:iCs/>
          <w:shd w:val="clear" w:color="auto" w:fill="FFFFFF"/>
        </w:rPr>
        <w:t>Multiculturalism in the workplace: the impact of the Individualism and Collectivism on a multinational team in Ireland</w:t>
      </w:r>
      <w:r>
        <w:rPr>
          <w:shd w:val="clear" w:color="auto" w:fill="FFFFFF"/>
        </w:rPr>
        <w:t> (Doctoral dissertation, Dublin, National College of Ireland).</w:t>
      </w:r>
    </w:p>
    <w:p w14:paraId="50511E19" w14:textId="77777777" w:rsidR="003C37EB" w:rsidRDefault="003C37EB" w:rsidP="003C37EB">
      <w:pPr>
        <w:ind w:left="720" w:hanging="720"/>
        <w:rPr>
          <w:shd w:val="clear" w:color="auto" w:fill="FFFFFF"/>
        </w:rPr>
      </w:pPr>
      <w:r>
        <w:rPr>
          <w:shd w:val="clear" w:color="auto" w:fill="FFFFFF"/>
        </w:rPr>
        <w:t>Simon, H., 2021. Profit Driver: Price. In </w:t>
      </w:r>
      <w:r>
        <w:rPr>
          <w:i/>
          <w:iCs/>
          <w:shd w:val="clear" w:color="auto" w:fill="FFFFFF"/>
        </w:rPr>
        <w:t>True Profit!</w:t>
      </w:r>
      <w:r>
        <w:rPr>
          <w:shd w:val="clear" w:color="auto" w:fill="FFFFFF"/>
        </w:rPr>
        <w:t> (pp. 123-150). Copernicus, Cham.</w:t>
      </w:r>
    </w:p>
    <w:p w14:paraId="52FC7B06" w14:textId="77777777" w:rsidR="003C37EB" w:rsidRDefault="003C37EB" w:rsidP="003C37EB">
      <w:pPr>
        <w:ind w:left="720" w:hanging="720"/>
        <w:rPr>
          <w:shd w:val="clear" w:color="auto" w:fill="FFFFFF"/>
        </w:rPr>
      </w:pPr>
      <w:r>
        <w:rPr>
          <w:shd w:val="clear" w:color="auto" w:fill="FFFFFF"/>
        </w:rPr>
        <w:t>Tien, N.H., 2019. International economics, business and management strategy. </w:t>
      </w:r>
      <w:r>
        <w:rPr>
          <w:i/>
          <w:iCs/>
          <w:shd w:val="clear" w:color="auto" w:fill="FFFFFF"/>
        </w:rPr>
        <w:t>Dehli: Academic Publications</w:t>
      </w:r>
      <w:r>
        <w:rPr>
          <w:shd w:val="clear" w:color="auto" w:fill="FFFFFF"/>
        </w:rPr>
        <w:t>.</w:t>
      </w:r>
    </w:p>
    <w:sectPr w:rsidR="003C37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6B7BAA"/>
    <w:multiLevelType w:val="hybridMultilevel"/>
    <w:tmpl w:val="0B1ED2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A80"/>
    <w:rsid w:val="00025F83"/>
    <w:rsid w:val="000311D2"/>
    <w:rsid w:val="00070996"/>
    <w:rsid w:val="001018A8"/>
    <w:rsid w:val="0013719F"/>
    <w:rsid w:val="00152A2D"/>
    <w:rsid w:val="001854BC"/>
    <w:rsid w:val="001C26B8"/>
    <w:rsid w:val="001C4084"/>
    <w:rsid w:val="001D0089"/>
    <w:rsid w:val="00263222"/>
    <w:rsid w:val="002C5CF9"/>
    <w:rsid w:val="002E2C7D"/>
    <w:rsid w:val="00304805"/>
    <w:rsid w:val="00315287"/>
    <w:rsid w:val="0033406C"/>
    <w:rsid w:val="00340A92"/>
    <w:rsid w:val="0034487C"/>
    <w:rsid w:val="003C37EB"/>
    <w:rsid w:val="003E2214"/>
    <w:rsid w:val="00402032"/>
    <w:rsid w:val="00434170"/>
    <w:rsid w:val="0045178C"/>
    <w:rsid w:val="00493415"/>
    <w:rsid w:val="00521369"/>
    <w:rsid w:val="0054740F"/>
    <w:rsid w:val="005D591F"/>
    <w:rsid w:val="00602774"/>
    <w:rsid w:val="0061366D"/>
    <w:rsid w:val="00615560"/>
    <w:rsid w:val="00641C18"/>
    <w:rsid w:val="006473A8"/>
    <w:rsid w:val="007136C3"/>
    <w:rsid w:val="00783080"/>
    <w:rsid w:val="007A0F3F"/>
    <w:rsid w:val="007B2EA2"/>
    <w:rsid w:val="007E4BC7"/>
    <w:rsid w:val="00804621"/>
    <w:rsid w:val="00895A21"/>
    <w:rsid w:val="00926F76"/>
    <w:rsid w:val="0093329D"/>
    <w:rsid w:val="009360F9"/>
    <w:rsid w:val="0094526F"/>
    <w:rsid w:val="009734C1"/>
    <w:rsid w:val="00995383"/>
    <w:rsid w:val="009C4E0D"/>
    <w:rsid w:val="009E600C"/>
    <w:rsid w:val="00A14BE6"/>
    <w:rsid w:val="00A46867"/>
    <w:rsid w:val="00AC724D"/>
    <w:rsid w:val="00AE2D4D"/>
    <w:rsid w:val="00AE5A87"/>
    <w:rsid w:val="00B73688"/>
    <w:rsid w:val="00B91F52"/>
    <w:rsid w:val="00BF2A80"/>
    <w:rsid w:val="00C27C9A"/>
    <w:rsid w:val="00CF24A6"/>
    <w:rsid w:val="00CF4426"/>
    <w:rsid w:val="00D116B5"/>
    <w:rsid w:val="00D764F7"/>
    <w:rsid w:val="00D8320B"/>
    <w:rsid w:val="00D86BD4"/>
    <w:rsid w:val="00E50CCB"/>
    <w:rsid w:val="00E5775D"/>
    <w:rsid w:val="00E653F6"/>
    <w:rsid w:val="00EA0ABE"/>
    <w:rsid w:val="00EB3A26"/>
    <w:rsid w:val="00EC3FD7"/>
    <w:rsid w:val="00ED7378"/>
    <w:rsid w:val="00EF1E40"/>
    <w:rsid w:val="00F17090"/>
    <w:rsid w:val="00F34E76"/>
    <w:rsid w:val="00FC5BA1"/>
    <w:rsid w:val="00FD14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59261"/>
  <w15:chartTrackingRefBased/>
  <w15:docId w15:val="{B516F52F-B672-409D-9CD0-F3A38AF90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7EB"/>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3C37EB"/>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3C37EB"/>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3C37EB"/>
    <w:pPr>
      <w:keepNext/>
      <w:keepLines/>
      <w:spacing w:before="120" w:after="0"/>
      <w:outlineLvl w:val="2"/>
    </w:pPr>
    <w:rPr>
      <w:rFonts w:asciiTheme="majorHAnsi" w:eastAsiaTheme="majorEastAsia" w:hAnsiTheme="majorHAnsi" w:cstheme="majorBidi"/>
      <w:spacing w:val="4"/>
      <w:szCs w:val="24"/>
    </w:rPr>
  </w:style>
  <w:style w:type="paragraph" w:styleId="Heading4">
    <w:name w:val="heading 4"/>
    <w:basedOn w:val="Normal"/>
    <w:next w:val="Normal"/>
    <w:link w:val="Heading4Char"/>
    <w:uiPriority w:val="9"/>
    <w:semiHidden/>
    <w:unhideWhenUsed/>
    <w:qFormat/>
    <w:rsid w:val="003C37EB"/>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3C37EB"/>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3C37EB"/>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3C37EB"/>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3C37EB"/>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3C37EB"/>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7EB"/>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3C37EB"/>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3C37EB"/>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3C37EB"/>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3C37EB"/>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3C37EB"/>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3C37EB"/>
    <w:rPr>
      <w:i/>
      <w:iCs/>
    </w:rPr>
  </w:style>
  <w:style w:type="character" w:customStyle="1" w:styleId="Heading8Char">
    <w:name w:val="Heading 8 Char"/>
    <w:basedOn w:val="DefaultParagraphFont"/>
    <w:link w:val="Heading8"/>
    <w:uiPriority w:val="9"/>
    <w:semiHidden/>
    <w:rsid w:val="003C37EB"/>
    <w:rPr>
      <w:b/>
      <w:bCs/>
    </w:rPr>
  </w:style>
  <w:style w:type="character" w:customStyle="1" w:styleId="Heading9Char">
    <w:name w:val="Heading 9 Char"/>
    <w:basedOn w:val="DefaultParagraphFont"/>
    <w:link w:val="Heading9"/>
    <w:uiPriority w:val="9"/>
    <w:semiHidden/>
    <w:rsid w:val="003C37EB"/>
    <w:rPr>
      <w:i/>
      <w:iCs/>
    </w:rPr>
  </w:style>
  <w:style w:type="paragraph" w:styleId="Caption">
    <w:name w:val="caption"/>
    <w:basedOn w:val="Normal"/>
    <w:next w:val="Normal"/>
    <w:uiPriority w:val="35"/>
    <w:semiHidden/>
    <w:unhideWhenUsed/>
    <w:qFormat/>
    <w:rsid w:val="003C37EB"/>
    <w:rPr>
      <w:b/>
      <w:bCs/>
      <w:sz w:val="18"/>
      <w:szCs w:val="18"/>
    </w:rPr>
  </w:style>
  <w:style w:type="paragraph" w:styleId="Title">
    <w:name w:val="Title"/>
    <w:basedOn w:val="Normal"/>
    <w:next w:val="Normal"/>
    <w:link w:val="TitleChar"/>
    <w:uiPriority w:val="10"/>
    <w:qFormat/>
    <w:rsid w:val="003C37EB"/>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3C37EB"/>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3C37EB"/>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3C37EB"/>
    <w:rPr>
      <w:rFonts w:asciiTheme="majorHAnsi" w:eastAsiaTheme="majorEastAsia" w:hAnsiTheme="majorHAnsi" w:cstheme="majorBidi"/>
      <w:sz w:val="24"/>
      <w:szCs w:val="24"/>
    </w:rPr>
  </w:style>
  <w:style w:type="character" w:styleId="Strong">
    <w:name w:val="Strong"/>
    <w:basedOn w:val="DefaultParagraphFont"/>
    <w:uiPriority w:val="22"/>
    <w:qFormat/>
    <w:rsid w:val="003C37EB"/>
    <w:rPr>
      <w:b/>
      <w:bCs/>
      <w:color w:val="auto"/>
    </w:rPr>
  </w:style>
  <w:style w:type="character" w:styleId="Emphasis">
    <w:name w:val="Emphasis"/>
    <w:basedOn w:val="DefaultParagraphFont"/>
    <w:uiPriority w:val="20"/>
    <w:qFormat/>
    <w:rsid w:val="003C37EB"/>
    <w:rPr>
      <w:i/>
      <w:iCs/>
      <w:color w:val="auto"/>
    </w:rPr>
  </w:style>
  <w:style w:type="paragraph" w:styleId="NoSpacing">
    <w:name w:val="No Spacing"/>
    <w:uiPriority w:val="1"/>
    <w:qFormat/>
    <w:rsid w:val="003C37EB"/>
    <w:pPr>
      <w:spacing w:after="0" w:line="240" w:lineRule="auto"/>
    </w:pPr>
  </w:style>
  <w:style w:type="paragraph" w:styleId="Quote">
    <w:name w:val="Quote"/>
    <w:basedOn w:val="Normal"/>
    <w:next w:val="Normal"/>
    <w:link w:val="QuoteChar"/>
    <w:uiPriority w:val="29"/>
    <w:qFormat/>
    <w:rsid w:val="003C37EB"/>
    <w:pPr>
      <w:spacing w:before="200" w:line="264" w:lineRule="auto"/>
      <w:ind w:left="864" w:right="864"/>
      <w:jc w:val="center"/>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C37EB"/>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3C37EB"/>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3C37EB"/>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3C37EB"/>
    <w:rPr>
      <w:i/>
      <w:iCs/>
      <w:color w:val="auto"/>
    </w:rPr>
  </w:style>
  <w:style w:type="character" w:styleId="IntenseEmphasis">
    <w:name w:val="Intense Emphasis"/>
    <w:basedOn w:val="DefaultParagraphFont"/>
    <w:uiPriority w:val="21"/>
    <w:qFormat/>
    <w:rsid w:val="003C37EB"/>
    <w:rPr>
      <w:b/>
      <w:bCs/>
      <w:i/>
      <w:iCs/>
      <w:color w:val="auto"/>
    </w:rPr>
  </w:style>
  <w:style w:type="character" w:styleId="SubtleReference">
    <w:name w:val="Subtle Reference"/>
    <w:basedOn w:val="DefaultParagraphFont"/>
    <w:uiPriority w:val="31"/>
    <w:qFormat/>
    <w:rsid w:val="003C37EB"/>
    <w:rPr>
      <w:smallCaps/>
      <w:color w:val="auto"/>
      <w:u w:val="single" w:color="7F7F7F" w:themeColor="text1" w:themeTint="80"/>
    </w:rPr>
  </w:style>
  <w:style w:type="character" w:styleId="IntenseReference">
    <w:name w:val="Intense Reference"/>
    <w:basedOn w:val="DefaultParagraphFont"/>
    <w:uiPriority w:val="32"/>
    <w:qFormat/>
    <w:rsid w:val="003C37EB"/>
    <w:rPr>
      <w:b/>
      <w:bCs/>
      <w:smallCaps/>
      <w:color w:val="auto"/>
      <w:u w:val="single"/>
    </w:rPr>
  </w:style>
  <w:style w:type="character" w:styleId="BookTitle">
    <w:name w:val="Book Title"/>
    <w:basedOn w:val="DefaultParagraphFont"/>
    <w:uiPriority w:val="33"/>
    <w:qFormat/>
    <w:rsid w:val="003C37EB"/>
    <w:rPr>
      <w:b/>
      <w:bCs/>
      <w:smallCaps/>
      <w:color w:val="auto"/>
    </w:rPr>
  </w:style>
  <w:style w:type="paragraph" w:styleId="TOCHeading">
    <w:name w:val="TOC Heading"/>
    <w:basedOn w:val="Heading1"/>
    <w:next w:val="Normal"/>
    <w:uiPriority w:val="39"/>
    <w:semiHidden/>
    <w:unhideWhenUsed/>
    <w:qFormat/>
    <w:rsid w:val="003C37E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DA4387-106E-4793-B086-7E24A26618B7}" type="doc">
      <dgm:prSet loTypeId="urn:microsoft.com/office/officeart/2005/8/layout/radial1" loCatId="relationship" qsTypeId="urn:microsoft.com/office/officeart/2005/8/quickstyle/3d1" qsCatId="3D" csTypeId="urn:microsoft.com/office/officeart/2005/8/colors/accent1_2" csCatId="accent1" phldr="1"/>
      <dgm:spPr/>
      <dgm:t>
        <a:bodyPr/>
        <a:lstStyle/>
        <a:p>
          <a:endParaRPr lang="en-US"/>
        </a:p>
      </dgm:t>
    </dgm:pt>
    <dgm:pt modelId="{FB52A641-84A9-4A06-B7B2-6B50BF55C3DF}">
      <dgm:prSet phldrT="[Text]" custT="1">
        <dgm:style>
          <a:lnRef idx="2">
            <a:schemeClr val="accent2">
              <a:shade val="50000"/>
            </a:schemeClr>
          </a:lnRef>
          <a:fillRef idx="1">
            <a:schemeClr val="accent2"/>
          </a:fillRef>
          <a:effectRef idx="0">
            <a:schemeClr val="accent2"/>
          </a:effectRef>
          <a:fontRef idx="minor">
            <a:schemeClr val="lt1"/>
          </a:fontRef>
        </dgm:style>
      </dgm:prSet>
      <dgm:spPr/>
      <dgm:t>
        <a:bodyPr/>
        <a:lstStyle/>
        <a:p>
          <a:r>
            <a:rPr lang="en-US" sz="1200" b="1">
              <a:latin typeface="Times New Roman" panose="02020603050405020304" pitchFamily="18" charset="0"/>
              <a:cs typeface="Times New Roman" panose="02020603050405020304" pitchFamily="18" charset="0"/>
            </a:rPr>
            <a:t>Individual behavior at work</a:t>
          </a:r>
        </a:p>
      </dgm:t>
    </dgm:pt>
    <dgm:pt modelId="{50E32634-D0DA-4981-ADB7-29B6F34B7F30}" type="parTrans" cxnId="{EAF0132A-638F-43FB-8519-41E2316C6DFC}">
      <dgm:prSet/>
      <dgm:spPr/>
      <dgm:t>
        <a:bodyPr/>
        <a:lstStyle/>
        <a:p>
          <a:endParaRPr lang="en-US"/>
        </a:p>
      </dgm:t>
    </dgm:pt>
    <dgm:pt modelId="{6E64FD21-8247-4C56-9C99-F2B7BF36AB82}" type="sibTrans" cxnId="{EAF0132A-638F-43FB-8519-41E2316C6DFC}">
      <dgm:prSet/>
      <dgm:spPr/>
      <dgm:t>
        <a:bodyPr/>
        <a:lstStyle/>
        <a:p>
          <a:endParaRPr lang="en-US"/>
        </a:p>
      </dgm:t>
    </dgm:pt>
    <dgm:pt modelId="{8C152020-D700-4BC3-9F90-459FE9714B69}">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US" sz="1000" b="0" i="0">
              <a:solidFill>
                <a:schemeClr val="tx2">
                  <a:lumMod val="50000"/>
                </a:schemeClr>
              </a:solidFill>
              <a:latin typeface="+mn-lt"/>
            </a:rPr>
            <a:t>Demogr-aphic</a:t>
          </a:r>
          <a:endParaRPr lang="en-US" sz="1000">
            <a:solidFill>
              <a:schemeClr val="tx2">
                <a:lumMod val="50000"/>
              </a:schemeClr>
            </a:solidFill>
            <a:latin typeface="+mn-lt"/>
          </a:endParaRPr>
        </a:p>
      </dgm:t>
    </dgm:pt>
    <dgm:pt modelId="{950BB904-7DF9-478D-8A11-E72A470FF816}" type="parTrans" cxnId="{BBB2FB63-B1D9-464B-B97C-D71A6687A4B3}">
      <dgm:prSet/>
      <dgm:spPr/>
      <dgm:t>
        <a:bodyPr/>
        <a:lstStyle/>
        <a:p>
          <a:endParaRPr lang="en-US"/>
        </a:p>
      </dgm:t>
    </dgm:pt>
    <dgm:pt modelId="{E2410C92-2861-40DD-B51F-DA1BCAA657BC}" type="sibTrans" cxnId="{BBB2FB63-B1D9-464B-B97C-D71A6687A4B3}">
      <dgm:prSet/>
      <dgm:spPr/>
      <dgm:t>
        <a:bodyPr/>
        <a:lstStyle/>
        <a:p>
          <a:endParaRPr lang="en-US"/>
        </a:p>
      </dgm:t>
    </dgm:pt>
    <dgm:pt modelId="{5A3324E1-3DAD-4ADC-87EB-A921740D2FA7}">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US" sz="1000" b="0" i="0">
              <a:solidFill>
                <a:schemeClr val="tx2">
                  <a:lumMod val="50000"/>
                </a:schemeClr>
              </a:solidFill>
              <a:latin typeface="+mn-lt"/>
            </a:rPr>
            <a:t>Abilities and Skills</a:t>
          </a:r>
          <a:endParaRPr lang="en-US" sz="1000">
            <a:solidFill>
              <a:schemeClr val="tx2">
                <a:lumMod val="50000"/>
              </a:schemeClr>
            </a:solidFill>
            <a:latin typeface="+mn-lt"/>
          </a:endParaRPr>
        </a:p>
      </dgm:t>
    </dgm:pt>
    <dgm:pt modelId="{7E7BA962-A4C2-415E-83D0-866E18729844}" type="parTrans" cxnId="{21C889D6-7DDC-40BE-A90F-551F4B862AD5}">
      <dgm:prSet/>
      <dgm:spPr/>
      <dgm:t>
        <a:bodyPr/>
        <a:lstStyle/>
        <a:p>
          <a:endParaRPr lang="en-US"/>
        </a:p>
      </dgm:t>
    </dgm:pt>
    <dgm:pt modelId="{A6245C92-DE44-4CCF-B7FA-66E2BB85D5D8}" type="sibTrans" cxnId="{21C889D6-7DDC-40BE-A90F-551F4B862AD5}">
      <dgm:prSet/>
      <dgm:spPr/>
      <dgm:t>
        <a:bodyPr/>
        <a:lstStyle/>
        <a:p>
          <a:endParaRPr lang="en-US"/>
        </a:p>
      </dgm:t>
    </dgm:pt>
    <dgm:pt modelId="{25D8CE4B-8770-487F-A805-AAB471DDAF5F}">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US" sz="1000" b="0" i="0">
              <a:solidFill>
                <a:schemeClr val="tx2">
                  <a:lumMod val="50000"/>
                </a:schemeClr>
              </a:solidFill>
              <a:latin typeface="+mn-lt"/>
            </a:rPr>
            <a:t>Percept-ion</a:t>
          </a:r>
          <a:endParaRPr lang="en-US" sz="1000">
            <a:solidFill>
              <a:schemeClr val="tx2">
                <a:lumMod val="50000"/>
              </a:schemeClr>
            </a:solidFill>
            <a:latin typeface="+mn-lt"/>
          </a:endParaRPr>
        </a:p>
      </dgm:t>
    </dgm:pt>
    <dgm:pt modelId="{D163453C-5B36-4578-80B1-E3D93F3A4DA8}" type="parTrans" cxnId="{CA0330DF-4058-46AB-A89B-1A0DE6F7E632}">
      <dgm:prSet/>
      <dgm:spPr/>
      <dgm:t>
        <a:bodyPr/>
        <a:lstStyle/>
        <a:p>
          <a:endParaRPr lang="en-US"/>
        </a:p>
      </dgm:t>
    </dgm:pt>
    <dgm:pt modelId="{D56FE4D2-2072-4638-ACD6-619C887E5DD6}" type="sibTrans" cxnId="{CA0330DF-4058-46AB-A89B-1A0DE6F7E632}">
      <dgm:prSet/>
      <dgm:spPr/>
      <dgm:t>
        <a:bodyPr/>
        <a:lstStyle/>
        <a:p>
          <a:endParaRPr lang="en-US"/>
        </a:p>
      </dgm:t>
    </dgm:pt>
    <dgm:pt modelId="{6AC9466A-6883-4C5F-AB30-08333227A7DF}">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US" sz="1000" b="0" i="0">
              <a:solidFill>
                <a:schemeClr val="tx2">
                  <a:lumMod val="50000"/>
                </a:schemeClr>
              </a:solidFill>
              <a:latin typeface="+mn-lt"/>
            </a:rPr>
            <a:t>Attitude</a:t>
          </a:r>
          <a:endParaRPr lang="en-US" sz="1000">
            <a:solidFill>
              <a:schemeClr val="tx2">
                <a:lumMod val="50000"/>
              </a:schemeClr>
            </a:solidFill>
            <a:latin typeface="+mn-lt"/>
          </a:endParaRPr>
        </a:p>
      </dgm:t>
    </dgm:pt>
    <dgm:pt modelId="{D76BEC47-403D-44FA-B161-0F57B8A04C76}" type="parTrans" cxnId="{765C5904-6AFF-4278-BB06-13ECF0B36BE5}">
      <dgm:prSet/>
      <dgm:spPr/>
      <dgm:t>
        <a:bodyPr/>
        <a:lstStyle/>
        <a:p>
          <a:endParaRPr lang="en-US"/>
        </a:p>
      </dgm:t>
    </dgm:pt>
    <dgm:pt modelId="{3B076A7C-EA97-4D2E-A6D9-8770D9485B62}" type="sibTrans" cxnId="{765C5904-6AFF-4278-BB06-13ECF0B36BE5}">
      <dgm:prSet/>
      <dgm:spPr/>
      <dgm:t>
        <a:bodyPr/>
        <a:lstStyle/>
        <a:p>
          <a:endParaRPr lang="en-US"/>
        </a:p>
      </dgm:t>
    </dgm:pt>
    <dgm:pt modelId="{6D927E0D-1A04-4657-B361-DA37BAD336BF}">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en-US" sz="1000" b="0" i="0">
              <a:solidFill>
                <a:schemeClr val="tx2">
                  <a:lumMod val="50000"/>
                </a:schemeClr>
              </a:solidFill>
              <a:latin typeface="+mn-lt"/>
            </a:rPr>
            <a:t>Person-ality</a:t>
          </a:r>
          <a:endParaRPr lang="en-US" sz="1000">
            <a:solidFill>
              <a:schemeClr val="tx2">
                <a:lumMod val="50000"/>
              </a:schemeClr>
            </a:solidFill>
            <a:latin typeface="+mn-lt"/>
          </a:endParaRPr>
        </a:p>
      </dgm:t>
    </dgm:pt>
    <dgm:pt modelId="{741338D0-3922-42D3-ADC4-83D211B486FF}" type="parTrans" cxnId="{DC3DFC76-7EB1-4DB2-A022-BC37FDC94E0A}">
      <dgm:prSet/>
      <dgm:spPr/>
      <dgm:t>
        <a:bodyPr/>
        <a:lstStyle/>
        <a:p>
          <a:endParaRPr lang="en-US"/>
        </a:p>
      </dgm:t>
    </dgm:pt>
    <dgm:pt modelId="{E04E8CCF-BA62-4D75-8147-24250361194A}" type="sibTrans" cxnId="{DC3DFC76-7EB1-4DB2-A022-BC37FDC94E0A}">
      <dgm:prSet/>
      <dgm:spPr/>
      <dgm:t>
        <a:bodyPr/>
        <a:lstStyle/>
        <a:p>
          <a:endParaRPr lang="en-US"/>
        </a:p>
      </dgm:t>
    </dgm:pt>
    <dgm:pt modelId="{92A3499B-B645-4131-A25B-C5F64A6DC91E}" type="pres">
      <dgm:prSet presAssocID="{13DA4387-106E-4793-B086-7E24A26618B7}" presName="cycle" presStyleCnt="0">
        <dgm:presLayoutVars>
          <dgm:chMax val="1"/>
          <dgm:dir/>
          <dgm:animLvl val="ctr"/>
          <dgm:resizeHandles val="exact"/>
        </dgm:presLayoutVars>
      </dgm:prSet>
      <dgm:spPr/>
    </dgm:pt>
    <dgm:pt modelId="{7167BCA4-3F52-4405-B182-7C6353E0A0D7}" type="pres">
      <dgm:prSet presAssocID="{FB52A641-84A9-4A06-B7B2-6B50BF55C3DF}" presName="centerShape" presStyleLbl="node0" presStyleIdx="0" presStyleCnt="1" custScaleX="146966" custScaleY="135588" custLinFactNeighborX="-6110" custLinFactNeighborY="-43700"/>
      <dgm:spPr/>
    </dgm:pt>
    <dgm:pt modelId="{9FD0FFD7-83C2-43EC-A664-5FA51E37FC21}" type="pres">
      <dgm:prSet presAssocID="{950BB904-7DF9-478D-8A11-E72A470FF816}" presName="Name9" presStyleLbl="parChTrans1D2" presStyleIdx="0" presStyleCnt="5"/>
      <dgm:spPr/>
    </dgm:pt>
    <dgm:pt modelId="{C0AA9D8B-85F2-484A-BA21-30427D8C2270}" type="pres">
      <dgm:prSet presAssocID="{950BB904-7DF9-478D-8A11-E72A470FF816}" presName="connTx" presStyleLbl="parChTrans1D2" presStyleIdx="0" presStyleCnt="5"/>
      <dgm:spPr/>
    </dgm:pt>
    <dgm:pt modelId="{BC1D522B-6AC0-41E2-8DEB-9E70A68B73AA}" type="pres">
      <dgm:prSet presAssocID="{8C152020-D700-4BC3-9F90-459FE9714B69}" presName="node" presStyleLbl="node1" presStyleIdx="0" presStyleCnt="5" custRadScaleRad="121509" custRadScaleInc="-357527">
        <dgm:presLayoutVars>
          <dgm:bulletEnabled val="1"/>
        </dgm:presLayoutVars>
      </dgm:prSet>
      <dgm:spPr/>
    </dgm:pt>
    <dgm:pt modelId="{3C430328-8BA3-42FC-96C4-09F88C972FA2}" type="pres">
      <dgm:prSet presAssocID="{7E7BA962-A4C2-415E-83D0-866E18729844}" presName="Name9" presStyleLbl="parChTrans1D2" presStyleIdx="1" presStyleCnt="5"/>
      <dgm:spPr/>
    </dgm:pt>
    <dgm:pt modelId="{5A8CFBC8-DBB5-4464-AE4A-E5E6FC1299A2}" type="pres">
      <dgm:prSet presAssocID="{7E7BA962-A4C2-415E-83D0-866E18729844}" presName="connTx" presStyleLbl="parChTrans1D2" presStyleIdx="1" presStyleCnt="5"/>
      <dgm:spPr/>
    </dgm:pt>
    <dgm:pt modelId="{8952D0C6-B6D9-4F38-888C-CC82E4CE5452}" type="pres">
      <dgm:prSet presAssocID="{5A3324E1-3DAD-4ADC-87EB-A921740D2FA7}" presName="node" presStyleLbl="node1" presStyleIdx="1" presStyleCnt="5" custRadScaleRad="150505" custRadScaleInc="46867">
        <dgm:presLayoutVars>
          <dgm:bulletEnabled val="1"/>
        </dgm:presLayoutVars>
      </dgm:prSet>
      <dgm:spPr/>
    </dgm:pt>
    <dgm:pt modelId="{D140B07D-552A-4C6E-8538-E9D0BE3BE97E}" type="pres">
      <dgm:prSet presAssocID="{D163453C-5B36-4578-80B1-E3D93F3A4DA8}" presName="Name9" presStyleLbl="parChTrans1D2" presStyleIdx="2" presStyleCnt="5"/>
      <dgm:spPr/>
    </dgm:pt>
    <dgm:pt modelId="{1DC43330-E288-4101-86C6-942AA79DA81A}" type="pres">
      <dgm:prSet presAssocID="{D163453C-5B36-4578-80B1-E3D93F3A4DA8}" presName="connTx" presStyleLbl="parChTrans1D2" presStyleIdx="2" presStyleCnt="5"/>
      <dgm:spPr/>
    </dgm:pt>
    <dgm:pt modelId="{9105A4A8-5796-4652-9349-6E3091D775F6}" type="pres">
      <dgm:prSet presAssocID="{25D8CE4B-8770-487F-A805-AAB471DDAF5F}" presName="node" presStyleLbl="node1" presStyleIdx="2" presStyleCnt="5" custRadScaleRad="109207" custRadScaleInc="-37893">
        <dgm:presLayoutVars>
          <dgm:bulletEnabled val="1"/>
        </dgm:presLayoutVars>
      </dgm:prSet>
      <dgm:spPr/>
    </dgm:pt>
    <dgm:pt modelId="{98B8DAF5-3D9B-47EC-B3E3-E0E000D9B54A}" type="pres">
      <dgm:prSet presAssocID="{D76BEC47-403D-44FA-B161-0F57B8A04C76}" presName="Name9" presStyleLbl="parChTrans1D2" presStyleIdx="3" presStyleCnt="5"/>
      <dgm:spPr/>
    </dgm:pt>
    <dgm:pt modelId="{20B9CEF4-E882-4CF9-B0A6-3767660AC400}" type="pres">
      <dgm:prSet presAssocID="{D76BEC47-403D-44FA-B161-0F57B8A04C76}" presName="connTx" presStyleLbl="parChTrans1D2" presStyleIdx="3" presStyleCnt="5"/>
      <dgm:spPr/>
    </dgm:pt>
    <dgm:pt modelId="{ADF01ED1-45E8-42D1-BE2F-C08E8DA0D559}" type="pres">
      <dgm:prSet presAssocID="{6AC9466A-6883-4C5F-AB30-08333227A7DF}" presName="node" presStyleLbl="node1" presStyleIdx="3" presStyleCnt="5" custRadScaleRad="82152" custRadScaleInc="-86989">
        <dgm:presLayoutVars>
          <dgm:bulletEnabled val="1"/>
        </dgm:presLayoutVars>
      </dgm:prSet>
      <dgm:spPr/>
    </dgm:pt>
    <dgm:pt modelId="{86364C46-AFFF-4903-909B-6BA3241DA17F}" type="pres">
      <dgm:prSet presAssocID="{741338D0-3922-42D3-ADC4-83D211B486FF}" presName="Name9" presStyleLbl="parChTrans1D2" presStyleIdx="4" presStyleCnt="5"/>
      <dgm:spPr/>
    </dgm:pt>
    <dgm:pt modelId="{7EC59233-C362-40A6-AEED-548AC813A82E}" type="pres">
      <dgm:prSet presAssocID="{741338D0-3922-42D3-ADC4-83D211B486FF}" presName="connTx" presStyleLbl="parChTrans1D2" presStyleIdx="4" presStyleCnt="5"/>
      <dgm:spPr/>
    </dgm:pt>
    <dgm:pt modelId="{4D00201D-86E2-43FE-B37D-C4838C96B725}" type="pres">
      <dgm:prSet presAssocID="{6D927E0D-1A04-4657-B361-DA37BAD336BF}" presName="node" presStyleLbl="node1" presStyleIdx="4" presStyleCnt="5" custRadScaleRad="173502" custRadScaleInc="-59254">
        <dgm:presLayoutVars>
          <dgm:bulletEnabled val="1"/>
        </dgm:presLayoutVars>
      </dgm:prSet>
      <dgm:spPr/>
    </dgm:pt>
  </dgm:ptLst>
  <dgm:cxnLst>
    <dgm:cxn modelId="{765C5904-6AFF-4278-BB06-13ECF0B36BE5}" srcId="{FB52A641-84A9-4A06-B7B2-6B50BF55C3DF}" destId="{6AC9466A-6883-4C5F-AB30-08333227A7DF}" srcOrd="3" destOrd="0" parTransId="{D76BEC47-403D-44FA-B161-0F57B8A04C76}" sibTransId="{3B076A7C-EA97-4D2E-A6D9-8770D9485B62}"/>
    <dgm:cxn modelId="{B5065108-6F21-4554-A988-F5D96C214250}" type="presOf" srcId="{D76BEC47-403D-44FA-B161-0F57B8A04C76}" destId="{98B8DAF5-3D9B-47EC-B3E3-E0E000D9B54A}" srcOrd="0" destOrd="0" presId="urn:microsoft.com/office/officeart/2005/8/layout/radial1"/>
    <dgm:cxn modelId="{0263DA0C-0595-40E0-9230-5DD56EFDDE46}" type="presOf" srcId="{5A3324E1-3DAD-4ADC-87EB-A921740D2FA7}" destId="{8952D0C6-B6D9-4F38-888C-CC82E4CE5452}" srcOrd="0" destOrd="0" presId="urn:microsoft.com/office/officeart/2005/8/layout/radial1"/>
    <dgm:cxn modelId="{EAF0132A-638F-43FB-8519-41E2316C6DFC}" srcId="{13DA4387-106E-4793-B086-7E24A26618B7}" destId="{FB52A641-84A9-4A06-B7B2-6B50BF55C3DF}" srcOrd="0" destOrd="0" parTransId="{50E32634-D0DA-4981-ADB7-29B6F34B7F30}" sibTransId="{6E64FD21-8247-4C56-9C99-F2B7BF36AB82}"/>
    <dgm:cxn modelId="{93039F2F-8986-4CEC-B2B4-B09917F0B4CC}" type="presOf" srcId="{13DA4387-106E-4793-B086-7E24A26618B7}" destId="{92A3499B-B645-4131-A25B-C5F64A6DC91E}" srcOrd="0" destOrd="0" presId="urn:microsoft.com/office/officeart/2005/8/layout/radial1"/>
    <dgm:cxn modelId="{F7D7CE35-282B-4F24-8934-B31D35A45FDD}" type="presOf" srcId="{950BB904-7DF9-478D-8A11-E72A470FF816}" destId="{C0AA9D8B-85F2-484A-BA21-30427D8C2270}" srcOrd="1" destOrd="0" presId="urn:microsoft.com/office/officeart/2005/8/layout/radial1"/>
    <dgm:cxn modelId="{855CAE61-9B76-4FAC-B1AF-0CB3BA836D2B}" type="presOf" srcId="{741338D0-3922-42D3-ADC4-83D211B486FF}" destId="{86364C46-AFFF-4903-909B-6BA3241DA17F}" srcOrd="0" destOrd="0" presId="urn:microsoft.com/office/officeart/2005/8/layout/radial1"/>
    <dgm:cxn modelId="{BBB2FB63-B1D9-464B-B97C-D71A6687A4B3}" srcId="{FB52A641-84A9-4A06-B7B2-6B50BF55C3DF}" destId="{8C152020-D700-4BC3-9F90-459FE9714B69}" srcOrd="0" destOrd="0" parTransId="{950BB904-7DF9-478D-8A11-E72A470FF816}" sibTransId="{E2410C92-2861-40DD-B51F-DA1BCAA657BC}"/>
    <dgm:cxn modelId="{A1329C4A-A55C-448E-BAEE-60F4EFBA235F}" type="presOf" srcId="{6D927E0D-1A04-4657-B361-DA37BAD336BF}" destId="{4D00201D-86E2-43FE-B37D-C4838C96B725}" srcOrd="0" destOrd="0" presId="urn:microsoft.com/office/officeart/2005/8/layout/radial1"/>
    <dgm:cxn modelId="{DC3DFC76-7EB1-4DB2-A022-BC37FDC94E0A}" srcId="{FB52A641-84A9-4A06-B7B2-6B50BF55C3DF}" destId="{6D927E0D-1A04-4657-B361-DA37BAD336BF}" srcOrd="4" destOrd="0" parTransId="{741338D0-3922-42D3-ADC4-83D211B486FF}" sibTransId="{E04E8CCF-BA62-4D75-8147-24250361194A}"/>
    <dgm:cxn modelId="{2BFC3C8D-60F2-4299-BED4-BDFB052299DB}" type="presOf" srcId="{D163453C-5B36-4578-80B1-E3D93F3A4DA8}" destId="{1DC43330-E288-4101-86C6-942AA79DA81A}" srcOrd="1" destOrd="0" presId="urn:microsoft.com/office/officeart/2005/8/layout/radial1"/>
    <dgm:cxn modelId="{EFFB3490-1F45-4CA4-9C9F-E510FE0A3A96}" type="presOf" srcId="{25D8CE4B-8770-487F-A805-AAB471DDAF5F}" destId="{9105A4A8-5796-4652-9349-6E3091D775F6}" srcOrd="0" destOrd="0" presId="urn:microsoft.com/office/officeart/2005/8/layout/radial1"/>
    <dgm:cxn modelId="{45F0C391-5496-44DF-82CB-AD61D7E2D0A4}" type="presOf" srcId="{741338D0-3922-42D3-ADC4-83D211B486FF}" destId="{7EC59233-C362-40A6-AEED-548AC813A82E}" srcOrd="1" destOrd="0" presId="urn:microsoft.com/office/officeart/2005/8/layout/radial1"/>
    <dgm:cxn modelId="{3B74F395-7EF2-4B50-9DCF-C2F6BD9803E7}" type="presOf" srcId="{7E7BA962-A4C2-415E-83D0-866E18729844}" destId="{3C430328-8BA3-42FC-96C4-09F88C972FA2}" srcOrd="0" destOrd="0" presId="urn:microsoft.com/office/officeart/2005/8/layout/radial1"/>
    <dgm:cxn modelId="{73B889A5-6FC1-4E91-9413-95551CBCD467}" type="presOf" srcId="{950BB904-7DF9-478D-8A11-E72A470FF816}" destId="{9FD0FFD7-83C2-43EC-A664-5FA51E37FC21}" srcOrd="0" destOrd="0" presId="urn:microsoft.com/office/officeart/2005/8/layout/radial1"/>
    <dgm:cxn modelId="{64410DD5-2C2A-4B26-A72F-30C2F8E571E0}" type="presOf" srcId="{6AC9466A-6883-4C5F-AB30-08333227A7DF}" destId="{ADF01ED1-45E8-42D1-BE2F-C08E8DA0D559}" srcOrd="0" destOrd="0" presId="urn:microsoft.com/office/officeart/2005/8/layout/radial1"/>
    <dgm:cxn modelId="{21C889D6-7DDC-40BE-A90F-551F4B862AD5}" srcId="{FB52A641-84A9-4A06-B7B2-6B50BF55C3DF}" destId="{5A3324E1-3DAD-4ADC-87EB-A921740D2FA7}" srcOrd="1" destOrd="0" parTransId="{7E7BA962-A4C2-415E-83D0-866E18729844}" sibTransId="{A6245C92-DE44-4CCF-B7FA-66E2BB85D5D8}"/>
    <dgm:cxn modelId="{0558FBD8-1BDF-47BC-9DE6-BC91A167EE83}" type="presOf" srcId="{FB52A641-84A9-4A06-B7B2-6B50BF55C3DF}" destId="{7167BCA4-3F52-4405-B182-7C6353E0A0D7}" srcOrd="0" destOrd="0" presId="urn:microsoft.com/office/officeart/2005/8/layout/radial1"/>
    <dgm:cxn modelId="{B6F850DB-EC07-444A-840F-13FABF228382}" type="presOf" srcId="{7E7BA962-A4C2-415E-83D0-866E18729844}" destId="{5A8CFBC8-DBB5-4464-AE4A-E5E6FC1299A2}" srcOrd="1" destOrd="0" presId="urn:microsoft.com/office/officeart/2005/8/layout/radial1"/>
    <dgm:cxn modelId="{CA0330DF-4058-46AB-A89B-1A0DE6F7E632}" srcId="{FB52A641-84A9-4A06-B7B2-6B50BF55C3DF}" destId="{25D8CE4B-8770-487F-A805-AAB471DDAF5F}" srcOrd="2" destOrd="0" parTransId="{D163453C-5B36-4578-80B1-E3D93F3A4DA8}" sibTransId="{D56FE4D2-2072-4638-ACD6-619C887E5DD6}"/>
    <dgm:cxn modelId="{8FBF84E1-AFC6-4197-974B-15FB807CD8A1}" type="presOf" srcId="{8C152020-D700-4BC3-9F90-459FE9714B69}" destId="{BC1D522B-6AC0-41E2-8DEB-9E70A68B73AA}" srcOrd="0" destOrd="0" presId="urn:microsoft.com/office/officeart/2005/8/layout/radial1"/>
    <dgm:cxn modelId="{FFA385E6-0EE5-4886-BD4D-94C3BD2908F4}" type="presOf" srcId="{D163453C-5B36-4578-80B1-E3D93F3A4DA8}" destId="{D140B07D-552A-4C6E-8538-E9D0BE3BE97E}" srcOrd="0" destOrd="0" presId="urn:microsoft.com/office/officeart/2005/8/layout/radial1"/>
    <dgm:cxn modelId="{C06E8EE6-9281-4575-9351-52F849E87D76}" type="presOf" srcId="{D76BEC47-403D-44FA-B161-0F57B8A04C76}" destId="{20B9CEF4-E882-4CF9-B0A6-3767660AC400}" srcOrd="1" destOrd="0" presId="urn:microsoft.com/office/officeart/2005/8/layout/radial1"/>
    <dgm:cxn modelId="{22C83B6A-C595-4284-9388-62A4EB7AC5A0}" type="presParOf" srcId="{92A3499B-B645-4131-A25B-C5F64A6DC91E}" destId="{7167BCA4-3F52-4405-B182-7C6353E0A0D7}" srcOrd="0" destOrd="0" presId="urn:microsoft.com/office/officeart/2005/8/layout/radial1"/>
    <dgm:cxn modelId="{299A10D0-FC6F-4FAC-966F-9CC04E558635}" type="presParOf" srcId="{92A3499B-B645-4131-A25B-C5F64A6DC91E}" destId="{9FD0FFD7-83C2-43EC-A664-5FA51E37FC21}" srcOrd="1" destOrd="0" presId="urn:microsoft.com/office/officeart/2005/8/layout/radial1"/>
    <dgm:cxn modelId="{329D9C64-BA96-4031-B5E8-D66459568962}" type="presParOf" srcId="{9FD0FFD7-83C2-43EC-A664-5FA51E37FC21}" destId="{C0AA9D8B-85F2-484A-BA21-30427D8C2270}" srcOrd="0" destOrd="0" presId="urn:microsoft.com/office/officeart/2005/8/layout/radial1"/>
    <dgm:cxn modelId="{840807A1-70E8-4058-9F79-215C0BD7A1ED}" type="presParOf" srcId="{92A3499B-B645-4131-A25B-C5F64A6DC91E}" destId="{BC1D522B-6AC0-41E2-8DEB-9E70A68B73AA}" srcOrd="2" destOrd="0" presId="urn:microsoft.com/office/officeart/2005/8/layout/radial1"/>
    <dgm:cxn modelId="{D8109D60-7A24-45E3-9975-B0D55F5570E1}" type="presParOf" srcId="{92A3499B-B645-4131-A25B-C5F64A6DC91E}" destId="{3C430328-8BA3-42FC-96C4-09F88C972FA2}" srcOrd="3" destOrd="0" presId="urn:microsoft.com/office/officeart/2005/8/layout/radial1"/>
    <dgm:cxn modelId="{6077D5C4-0AC8-47BF-A2E7-B89668C0D653}" type="presParOf" srcId="{3C430328-8BA3-42FC-96C4-09F88C972FA2}" destId="{5A8CFBC8-DBB5-4464-AE4A-E5E6FC1299A2}" srcOrd="0" destOrd="0" presId="urn:microsoft.com/office/officeart/2005/8/layout/radial1"/>
    <dgm:cxn modelId="{16A28D04-7CF6-4A7E-B15B-255AA663DDD8}" type="presParOf" srcId="{92A3499B-B645-4131-A25B-C5F64A6DC91E}" destId="{8952D0C6-B6D9-4F38-888C-CC82E4CE5452}" srcOrd="4" destOrd="0" presId="urn:microsoft.com/office/officeart/2005/8/layout/radial1"/>
    <dgm:cxn modelId="{0E0C77A4-56D3-466E-88DE-67E047C705BC}" type="presParOf" srcId="{92A3499B-B645-4131-A25B-C5F64A6DC91E}" destId="{D140B07D-552A-4C6E-8538-E9D0BE3BE97E}" srcOrd="5" destOrd="0" presId="urn:microsoft.com/office/officeart/2005/8/layout/radial1"/>
    <dgm:cxn modelId="{C136FC86-1EE2-45E2-8CEC-8397288AF2BA}" type="presParOf" srcId="{D140B07D-552A-4C6E-8538-E9D0BE3BE97E}" destId="{1DC43330-E288-4101-86C6-942AA79DA81A}" srcOrd="0" destOrd="0" presId="urn:microsoft.com/office/officeart/2005/8/layout/radial1"/>
    <dgm:cxn modelId="{5144569B-4502-4324-BF53-02C3F7A2F0FE}" type="presParOf" srcId="{92A3499B-B645-4131-A25B-C5F64A6DC91E}" destId="{9105A4A8-5796-4652-9349-6E3091D775F6}" srcOrd="6" destOrd="0" presId="urn:microsoft.com/office/officeart/2005/8/layout/radial1"/>
    <dgm:cxn modelId="{62E343E8-17C0-4D6F-9500-97D6499D4AF2}" type="presParOf" srcId="{92A3499B-B645-4131-A25B-C5F64A6DC91E}" destId="{98B8DAF5-3D9B-47EC-B3E3-E0E000D9B54A}" srcOrd="7" destOrd="0" presId="urn:microsoft.com/office/officeart/2005/8/layout/radial1"/>
    <dgm:cxn modelId="{4A1454E3-D9FD-487C-B9C4-02D4E73249FD}" type="presParOf" srcId="{98B8DAF5-3D9B-47EC-B3E3-E0E000D9B54A}" destId="{20B9CEF4-E882-4CF9-B0A6-3767660AC400}" srcOrd="0" destOrd="0" presId="urn:microsoft.com/office/officeart/2005/8/layout/radial1"/>
    <dgm:cxn modelId="{2DE7EF6D-8790-4880-933B-B8976F379547}" type="presParOf" srcId="{92A3499B-B645-4131-A25B-C5F64A6DC91E}" destId="{ADF01ED1-45E8-42D1-BE2F-C08E8DA0D559}" srcOrd="8" destOrd="0" presId="urn:microsoft.com/office/officeart/2005/8/layout/radial1"/>
    <dgm:cxn modelId="{F3F1D6A2-A558-41C5-981B-E184C2FD6136}" type="presParOf" srcId="{92A3499B-B645-4131-A25B-C5F64A6DC91E}" destId="{86364C46-AFFF-4903-909B-6BA3241DA17F}" srcOrd="9" destOrd="0" presId="urn:microsoft.com/office/officeart/2005/8/layout/radial1"/>
    <dgm:cxn modelId="{7085F797-C5A8-48CA-AD7D-3788F9CA6522}" type="presParOf" srcId="{86364C46-AFFF-4903-909B-6BA3241DA17F}" destId="{7EC59233-C362-40A6-AEED-548AC813A82E}" srcOrd="0" destOrd="0" presId="urn:microsoft.com/office/officeart/2005/8/layout/radial1"/>
    <dgm:cxn modelId="{270604CA-2E94-4AA9-8F3E-39DA790A06AC}" type="presParOf" srcId="{92A3499B-B645-4131-A25B-C5F64A6DC91E}" destId="{4D00201D-86E2-43FE-B37D-C4838C96B725}" srcOrd="10" destOrd="0" presId="urn:microsoft.com/office/officeart/2005/8/layout/radial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67BCA4-3F52-4405-B182-7C6353E0A0D7}">
      <dsp:nvSpPr>
        <dsp:cNvPr id="0" name=""/>
        <dsp:cNvSpPr/>
      </dsp:nvSpPr>
      <dsp:spPr>
        <a:xfrm>
          <a:off x="1377316" y="3"/>
          <a:ext cx="985057" cy="908795"/>
        </a:xfrm>
        <a:prstGeom prst="ellipse">
          <a:avLst/>
        </a:prstGeom>
        <a:solidFill>
          <a:schemeClr val="accent2"/>
        </a:solidFill>
        <a:ln w="12700" cap="flat" cmpd="sng" algn="ctr">
          <a:solidFill>
            <a:schemeClr val="accent2">
              <a:shade val="50000"/>
            </a:schemeClr>
          </a:solidFill>
          <a:prstDash val="solid"/>
          <a:miter lim="800000"/>
        </a:ln>
        <a:effectLst/>
        <a:scene3d>
          <a:camera prst="orthographicFront"/>
          <a:lightRig rig="flat" dir="t"/>
        </a:scene3d>
        <a:sp3d/>
      </dsp:spPr>
      <dsp:style>
        <a:lnRef idx="2">
          <a:schemeClr val="accent2">
            <a:shade val="50000"/>
          </a:schemeClr>
        </a:lnRef>
        <a:fillRef idx="1">
          <a:schemeClr val="accent2"/>
        </a:fillRef>
        <a:effectRef idx="0">
          <a:schemeClr val="accent2"/>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Individual behavior at work</a:t>
          </a:r>
        </a:p>
      </dsp:txBody>
      <dsp:txXfrm>
        <a:off x="1521574" y="133093"/>
        <a:ext cx="696541" cy="642615"/>
      </dsp:txXfrm>
    </dsp:sp>
    <dsp:sp modelId="{9FD0FFD7-83C2-43EC-A664-5FA51E37FC21}">
      <dsp:nvSpPr>
        <dsp:cNvPr id="0" name=""/>
        <dsp:cNvSpPr/>
      </dsp:nvSpPr>
      <dsp:spPr>
        <a:xfrm rot="7009054">
          <a:off x="1080927" y="1208102"/>
          <a:ext cx="800382" cy="30521"/>
        </a:xfrm>
        <a:custGeom>
          <a:avLst/>
          <a:gdLst/>
          <a:ahLst/>
          <a:cxnLst/>
          <a:rect l="0" t="0" r="0" b="0"/>
          <a:pathLst>
            <a:path>
              <a:moveTo>
                <a:pt x="0" y="15260"/>
              </a:moveTo>
              <a:lnTo>
                <a:pt x="800382" y="1526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461109" y="1203353"/>
        <a:ext cx="40019" cy="40019"/>
      </dsp:txXfrm>
    </dsp:sp>
    <dsp:sp modelId="{BC1D522B-6AC0-41E2-8DEB-9E70A68B73AA}">
      <dsp:nvSpPr>
        <dsp:cNvPr id="0" name=""/>
        <dsp:cNvSpPr/>
      </dsp:nvSpPr>
      <dsp:spPr>
        <a:xfrm>
          <a:off x="814246" y="1544469"/>
          <a:ext cx="670262" cy="670262"/>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a:scene3d>
          <a:camera prst="orthographicFront"/>
          <a:lightRig rig="flat" dir="t"/>
        </a:scene3d>
        <a:sp3d/>
      </dsp:spPr>
      <dsp:style>
        <a:lnRef idx="1">
          <a:schemeClr val="accent6"/>
        </a:lnRef>
        <a:fillRef idx="2">
          <a:schemeClr val="accent6"/>
        </a:fillRef>
        <a:effectRef idx="1">
          <a:schemeClr val="accent6"/>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i="0" kern="1200">
              <a:solidFill>
                <a:schemeClr val="tx2">
                  <a:lumMod val="50000"/>
                </a:schemeClr>
              </a:solidFill>
              <a:latin typeface="+mn-lt"/>
            </a:rPr>
            <a:t>Demogr-aphic</a:t>
          </a:r>
          <a:endParaRPr lang="en-US" sz="1000" kern="1200">
            <a:solidFill>
              <a:schemeClr val="tx2">
                <a:lumMod val="50000"/>
              </a:schemeClr>
            </a:solidFill>
            <a:latin typeface="+mn-lt"/>
          </a:endParaRPr>
        </a:p>
      </dsp:txBody>
      <dsp:txXfrm>
        <a:off x="912404" y="1642627"/>
        <a:ext cx="473946" cy="473946"/>
      </dsp:txXfrm>
    </dsp:sp>
    <dsp:sp modelId="{3C430328-8BA3-42FC-96C4-09F88C972FA2}">
      <dsp:nvSpPr>
        <dsp:cNvPr id="0" name=""/>
        <dsp:cNvSpPr/>
      </dsp:nvSpPr>
      <dsp:spPr>
        <a:xfrm rot="1645731">
          <a:off x="2255264" y="841608"/>
          <a:ext cx="780128" cy="30521"/>
        </a:xfrm>
        <a:custGeom>
          <a:avLst/>
          <a:gdLst/>
          <a:ahLst/>
          <a:cxnLst/>
          <a:rect l="0" t="0" r="0" b="0"/>
          <a:pathLst>
            <a:path>
              <a:moveTo>
                <a:pt x="0" y="15260"/>
              </a:moveTo>
              <a:lnTo>
                <a:pt x="780128" y="1526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625825" y="837366"/>
        <a:ext cx="39006" cy="39006"/>
      </dsp:txXfrm>
    </dsp:sp>
    <dsp:sp modelId="{8952D0C6-B6D9-4F38-888C-CC82E4CE5452}">
      <dsp:nvSpPr>
        <dsp:cNvPr id="0" name=""/>
        <dsp:cNvSpPr/>
      </dsp:nvSpPr>
      <dsp:spPr>
        <a:xfrm>
          <a:off x="2953869" y="855797"/>
          <a:ext cx="670262" cy="670262"/>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a:scene3d>
          <a:camera prst="orthographicFront"/>
          <a:lightRig rig="flat" dir="t"/>
        </a:scene3d>
        <a:sp3d/>
      </dsp:spPr>
      <dsp:style>
        <a:lnRef idx="1">
          <a:schemeClr val="accent6"/>
        </a:lnRef>
        <a:fillRef idx="2">
          <a:schemeClr val="accent6"/>
        </a:fillRef>
        <a:effectRef idx="1">
          <a:schemeClr val="accent6"/>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i="0" kern="1200">
              <a:solidFill>
                <a:schemeClr val="tx2">
                  <a:lumMod val="50000"/>
                </a:schemeClr>
              </a:solidFill>
              <a:latin typeface="+mn-lt"/>
            </a:rPr>
            <a:t>Abilities and Skills</a:t>
          </a:r>
          <a:endParaRPr lang="en-US" sz="1000" kern="1200">
            <a:solidFill>
              <a:schemeClr val="tx2">
                <a:lumMod val="50000"/>
              </a:schemeClr>
            </a:solidFill>
            <a:latin typeface="+mn-lt"/>
          </a:endParaRPr>
        </a:p>
      </dsp:txBody>
      <dsp:txXfrm>
        <a:off x="3052027" y="953955"/>
        <a:ext cx="473946" cy="473946"/>
      </dsp:txXfrm>
    </dsp:sp>
    <dsp:sp modelId="{D140B07D-552A-4C6E-8538-E9D0BE3BE97E}">
      <dsp:nvSpPr>
        <dsp:cNvPr id="0" name=""/>
        <dsp:cNvSpPr/>
      </dsp:nvSpPr>
      <dsp:spPr>
        <a:xfrm rot="3533154">
          <a:off x="1913224" y="1183796"/>
          <a:ext cx="812152" cy="30521"/>
        </a:xfrm>
        <a:custGeom>
          <a:avLst/>
          <a:gdLst/>
          <a:ahLst/>
          <a:cxnLst/>
          <a:rect l="0" t="0" r="0" b="0"/>
          <a:pathLst>
            <a:path>
              <a:moveTo>
                <a:pt x="0" y="15260"/>
              </a:moveTo>
              <a:lnTo>
                <a:pt x="812152" y="1526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298996" y="1178753"/>
        <a:ext cx="40607" cy="40607"/>
      </dsp:txXfrm>
    </dsp:sp>
    <dsp:sp modelId="{9105A4A8-5796-4652-9349-6E3091D775F6}">
      <dsp:nvSpPr>
        <dsp:cNvPr id="0" name=""/>
        <dsp:cNvSpPr/>
      </dsp:nvSpPr>
      <dsp:spPr>
        <a:xfrm>
          <a:off x="2367183" y="1498502"/>
          <a:ext cx="670262" cy="670262"/>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a:scene3d>
          <a:camera prst="orthographicFront"/>
          <a:lightRig rig="flat" dir="t"/>
        </a:scene3d>
        <a:sp3d/>
      </dsp:spPr>
      <dsp:style>
        <a:lnRef idx="1">
          <a:schemeClr val="accent6"/>
        </a:lnRef>
        <a:fillRef idx="2">
          <a:schemeClr val="accent6"/>
        </a:fillRef>
        <a:effectRef idx="1">
          <a:schemeClr val="accent6"/>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i="0" kern="1200">
              <a:solidFill>
                <a:schemeClr val="tx2">
                  <a:lumMod val="50000"/>
                </a:schemeClr>
              </a:solidFill>
              <a:latin typeface="+mn-lt"/>
            </a:rPr>
            <a:t>Percept-ion</a:t>
          </a:r>
          <a:endParaRPr lang="en-US" sz="1000" kern="1200">
            <a:solidFill>
              <a:schemeClr val="tx2">
                <a:lumMod val="50000"/>
              </a:schemeClr>
            </a:solidFill>
            <a:latin typeface="+mn-lt"/>
          </a:endParaRPr>
        </a:p>
      </dsp:txBody>
      <dsp:txXfrm>
        <a:off x="2465341" y="1596660"/>
        <a:ext cx="473946" cy="473946"/>
      </dsp:txXfrm>
    </dsp:sp>
    <dsp:sp modelId="{98B8DAF5-3D9B-47EC-B3E3-E0E000D9B54A}">
      <dsp:nvSpPr>
        <dsp:cNvPr id="0" name=""/>
        <dsp:cNvSpPr/>
      </dsp:nvSpPr>
      <dsp:spPr>
        <a:xfrm rot="5288110">
          <a:off x="1551932" y="1237043"/>
          <a:ext cx="687784" cy="30521"/>
        </a:xfrm>
        <a:custGeom>
          <a:avLst/>
          <a:gdLst/>
          <a:ahLst/>
          <a:cxnLst/>
          <a:rect l="0" t="0" r="0" b="0"/>
          <a:pathLst>
            <a:path>
              <a:moveTo>
                <a:pt x="0" y="15260"/>
              </a:moveTo>
              <a:lnTo>
                <a:pt x="687784" y="1526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878629" y="1235109"/>
        <a:ext cx="34389" cy="34389"/>
      </dsp:txXfrm>
    </dsp:sp>
    <dsp:sp modelId="{ADF01ED1-45E8-42D1-BE2F-C08E8DA0D559}">
      <dsp:nvSpPr>
        <dsp:cNvPr id="0" name=""/>
        <dsp:cNvSpPr/>
      </dsp:nvSpPr>
      <dsp:spPr>
        <a:xfrm>
          <a:off x="1582789" y="1595836"/>
          <a:ext cx="670262" cy="670262"/>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a:scene3d>
          <a:camera prst="orthographicFront"/>
          <a:lightRig rig="flat" dir="t"/>
        </a:scene3d>
        <a:sp3d/>
      </dsp:spPr>
      <dsp:style>
        <a:lnRef idx="1">
          <a:schemeClr val="accent6"/>
        </a:lnRef>
        <a:fillRef idx="2">
          <a:schemeClr val="accent6"/>
        </a:fillRef>
        <a:effectRef idx="1">
          <a:schemeClr val="accent6"/>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i="0" kern="1200">
              <a:solidFill>
                <a:schemeClr val="tx2">
                  <a:lumMod val="50000"/>
                </a:schemeClr>
              </a:solidFill>
              <a:latin typeface="+mn-lt"/>
            </a:rPr>
            <a:t>Attitude</a:t>
          </a:r>
          <a:endParaRPr lang="en-US" sz="1000" kern="1200">
            <a:solidFill>
              <a:schemeClr val="tx2">
                <a:lumMod val="50000"/>
              </a:schemeClr>
            </a:solidFill>
            <a:latin typeface="+mn-lt"/>
          </a:endParaRPr>
        </a:p>
      </dsp:txBody>
      <dsp:txXfrm>
        <a:off x="1680947" y="1693994"/>
        <a:ext cx="473946" cy="473946"/>
      </dsp:txXfrm>
    </dsp:sp>
    <dsp:sp modelId="{86364C46-AFFF-4903-909B-6BA3241DA17F}">
      <dsp:nvSpPr>
        <dsp:cNvPr id="0" name=""/>
        <dsp:cNvSpPr/>
      </dsp:nvSpPr>
      <dsp:spPr>
        <a:xfrm rot="8928246">
          <a:off x="692594" y="902170"/>
          <a:ext cx="825147" cy="30521"/>
        </a:xfrm>
        <a:custGeom>
          <a:avLst/>
          <a:gdLst/>
          <a:ahLst/>
          <a:cxnLst/>
          <a:rect l="0" t="0" r="0" b="0"/>
          <a:pathLst>
            <a:path>
              <a:moveTo>
                <a:pt x="0" y="15260"/>
              </a:moveTo>
              <a:lnTo>
                <a:pt x="825147" y="15260"/>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084539" y="896803"/>
        <a:ext cx="41257" cy="41257"/>
      </dsp:txXfrm>
    </dsp:sp>
    <dsp:sp modelId="{4D00201D-86E2-43FE-B37D-C4838C96B725}">
      <dsp:nvSpPr>
        <dsp:cNvPr id="0" name=""/>
        <dsp:cNvSpPr/>
      </dsp:nvSpPr>
      <dsp:spPr>
        <a:xfrm>
          <a:off x="130449" y="969585"/>
          <a:ext cx="670262" cy="670262"/>
        </a:xfrm>
        <a:prstGeom prst="ellipse">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a:scene3d>
          <a:camera prst="orthographicFront"/>
          <a:lightRig rig="flat" dir="t"/>
        </a:scene3d>
        <a:sp3d/>
      </dsp:spPr>
      <dsp:style>
        <a:lnRef idx="1">
          <a:schemeClr val="accent6"/>
        </a:lnRef>
        <a:fillRef idx="2">
          <a:schemeClr val="accent6"/>
        </a:fillRef>
        <a:effectRef idx="1">
          <a:schemeClr val="accent6"/>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i="0" kern="1200">
              <a:solidFill>
                <a:schemeClr val="tx2">
                  <a:lumMod val="50000"/>
                </a:schemeClr>
              </a:solidFill>
              <a:latin typeface="+mn-lt"/>
            </a:rPr>
            <a:t>Person-ality</a:t>
          </a:r>
          <a:endParaRPr lang="en-US" sz="1000" kern="1200">
            <a:solidFill>
              <a:schemeClr val="tx2">
                <a:lumMod val="50000"/>
              </a:schemeClr>
            </a:solidFill>
            <a:latin typeface="+mn-lt"/>
          </a:endParaRPr>
        </a:p>
      </dsp:txBody>
      <dsp:txXfrm>
        <a:off x="228607" y="1067743"/>
        <a:ext cx="473946" cy="473946"/>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35F63-EC74-4476-A517-B54BB3D3B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10</Pages>
  <Words>2353</Words>
  <Characters>13576</Characters>
  <Application>Microsoft Office Word</Application>
  <DocSecurity>0</DocSecurity>
  <Lines>208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Svetoslav Stoianov (2023030)</cp:lastModifiedBy>
  <cp:revision>66</cp:revision>
  <dcterms:created xsi:type="dcterms:W3CDTF">2021-08-21T05:00:00Z</dcterms:created>
  <dcterms:modified xsi:type="dcterms:W3CDTF">2021-09-06T18:01:00Z</dcterms:modified>
</cp:coreProperties>
</file>