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2F31" w:rsidRDefault="002D2F31">
      <w:pPr>
        <w:spacing w:line="360" w:lineRule="auto"/>
        <w:jc w:val="center"/>
        <w:rPr>
          <w:rFonts w:cs="Times New Roman"/>
          <w:b/>
          <w:bCs/>
          <w:sz w:val="32"/>
          <w:szCs w:val="32"/>
        </w:rPr>
      </w:pPr>
    </w:p>
    <w:p w:rsidR="002D2F31" w:rsidRDefault="002D2F31">
      <w:pPr>
        <w:spacing w:line="360" w:lineRule="auto"/>
        <w:jc w:val="center"/>
        <w:rPr>
          <w:rFonts w:cs="Times New Roman"/>
          <w:b/>
          <w:bCs/>
          <w:sz w:val="32"/>
          <w:szCs w:val="32"/>
        </w:rPr>
      </w:pPr>
    </w:p>
    <w:p w:rsidR="002D2F31" w:rsidRDefault="002D2F31">
      <w:pPr>
        <w:spacing w:line="360" w:lineRule="auto"/>
        <w:jc w:val="center"/>
        <w:rPr>
          <w:rFonts w:cs="Times New Roman"/>
          <w:b/>
          <w:bCs/>
          <w:sz w:val="32"/>
          <w:szCs w:val="32"/>
        </w:rPr>
      </w:pPr>
    </w:p>
    <w:p w:rsidR="002D2F31" w:rsidRDefault="002D2F31">
      <w:pPr>
        <w:spacing w:line="360" w:lineRule="auto"/>
        <w:jc w:val="center"/>
        <w:rPr>
          <w:rFonts w:cs="Times New Roman"/>
          <w:b/>
          <w:bCs/>
          <w:sz w:val="32"/>
          <w:szCs w:val="32"/>
        </w:rPr>
      </w:pPr>
    </w:p>
    <w:p w:rsidR="002D2F31" w:rsidRDefault="00060E76">
      <w:pPr>
        <w:spacing w:line="360" w:lineRule="auto"/>
        <w:jc w:val="center"/>
        <w:rPr>
          <w:rFonts w:cs="Times New Roman"/>
          <w:b/>
          <w:bCs/>
          <w:sz w:val="32"/>
          <w:szCs w:val="32"/>
        </w:rPr>
      </w:pPr>
      <w:r>
        <w:rPr>
          <w:rFonts w:cs="Times New Roman"/>
          <w:b/>
          <w:bCs/>
          <w:sz w:val="32"/>
          <w:szCs w:val="32"/>
        </w:rPr>
        <w:t>Report</w:t>
      </w:r>
    </w:p>
    <w:p w:rsidR="002D2F31" w:rsidRDefault="00651951">
      <w:pPr>
        <w:spacing w:line="360" w:lineRule="auto"/>
        <w:jc w:val="center"/>
        <w:rPr>
          <w:rFonts w:cs="Times New Roman"/>
          <w:b/>
          <w:bCs/>
          <w:szCs w:val="24"/>
        </w:rPr>
      </w:pPr>
      <w:bookmarkStart w:id="0" w:name="_GoBack"/>
      <w:bookmarkEnd w:id="0"/>
      <w:r>
        <w:rPr>
          <w:rFonts w:cs="Times New Roman"/>
          <w:b/>
          <w:bCs/>
          <w:szCs w:val="24"/>
        </w:rPr>
        <w:t xml:space="preserve">Parveen </w:t>
      </w:r>
    </w:p>
    <w:p w:rsidR="002D2F31" w:rsidRDefault="002D2F31" w:rsidP="00651951">
      <w:pPr>
        <w:spacing w:line="360" w:lineRule="auto"/>
        <w:rPr>
          <w:rFonts w:cs="Times New Roman"/>
          <w:b/>
          <w:bCs/>
          <w:szCs w:val="24"/>
        </w:rPr>
      </w:pPr>
    </w:p>
    <w:p w:rsidR="002D2F31" w:rsidRDefault="00060E76">
      <w:pPr>
        <w:rPr>
          <w:rFonts w:cs="Times New Roman"/>
          <w:b/>
          <w:bCs/>
          <w:szCs w:val="24"/>
        </w:rPr>
      </w:pPr>
      <w:r>
        <w:rPr>
          <w:rFonts w:cs="Times New Roman"/>
          <w:b/>
          <w:bCs/>
          <w:szCs w:val="24"/>
        </w:rPr>
        <w:br w:type="page"/>
      </w:r>
    </w:p>
    <w:sdt>
      <w:sdtPr>
        <w:rPr>
          <w:rFonts w:ascii="SimSun" w:eastAsia="SimSun" w:hAnsi="SimSun"/>
          <w:sz w:val="21"/>
        </w:rPr>
        <w:id w:val="147471326"/>
        <w15:color w:val="DBDBDB"/>
        <w:docPartObj>
          <w:docPartGallery w:val="Table of Contents"/>
          <w:docPartUnique/>
        </w:docPartObj>
      </w:sdtPr>
      <w:sdtEndPr/>
      <w:sdtContent>
        <w:p w:rsidR="002D2F31" w:rsidRDefault="00060E76">
          <w:pPr>
            <w:jc w:val="center"/>
          </w:pPr>
          <w:r>
            <w:rPr>
              <w:rFonts w:eastAsia="SimSun" w:cs="Times New Roman"/>
              <w:b/>
              <w:bCs/>
              <w:szCs w:val="22"/>
            </w:rPr>
            <w:t>Content</w:t>
          </w:r>
        </w:p>
        <w:p w:rsidR="002D2F31" w:rsidRDefault="00060E76">
          <w:pPr>
            <w:pStyle w:val="TOC1"/>
            <w:tabs>
              <w:tab w:val="right" w:leader="dot" w:pos="8306"/>
            </w:tabs>
            <w:spacing w:line="360" w:lineRule="auto"/>
          </w:pPr>
          <w:r>
            <w:rPr>
              <w:szCs w:val="24"/>
            </w:rPr>
            <w:fldChar w:fldCharType="begin"/>
          </w:r>
          <w:r>
            <w:rPr>
              <w:szCs w:val="24"/>
            </w:rPr>
            <w:instrText xml:space="preserve">TOC \o "1-3" \h \u </w:instrText>
          </w:r>
          <w:r>
            <w:rPr>
              <w:szCs w:val="24"/>
            </w:rPr>
            <w:fldChar w:fldCharType="separate"/>
          </w:r>
          <w:hyperlink w:anchor="_Toc11945" w:history="1">
            <w:r>
              <w:rPr>
                <w:rFonts w:cs="Times New Roman"/>
              </w:rPr>
              <w:t>Introduction</w:t>
            </w:r>
            <w:r>
              <w:tab/>
            </w:r>
            <w:r>
              <w:fldChar w:fldCharType="begin"/>
            </w:r>
            <w:r>
              <w:instrText xml:space="preserve"> PAGEREF _Toc11945 \h </w:instrText>
            </w:r>
            <w:r>
              <w:fldChar w:fldCharType="separate"/>
            </w:r>
            <w:r>
              <w:t>3</w:t>
            </w:r>
            <w:r>
              <w:fldChar w:fldCharType="end"/>
            </w:r>
          </w:hyperlink>
        </w:p>
        <w:p w:rsidR="002D2F31" w:rsidRDefault="00C17217">
          <w:pPr>
            <w:pStyle w:val="TOC1"/>
            <w:tabs>
              <w:tab w:val="right" w:leader="dot" w:pos="8306"/>
            </w:tabs>
            <w:spacing w:line="360" w:lineRule="auto"/>
          </w:pPr>
          <w:hyperlink w:anchor="_Toc31926" w:history="1">
            <w:r w:rsidR="00060E76">
              <w:rPr>
                <w:rFonts w:cs="Times New Roman"/>
              </w:rPr>
              <w:t>Implementation Plan Objective 1: Education and Career Opportunities for Women</w:t>
            </w:r>
            <w:r w:rsidR="00060E76">
              <w:tab/>
            </w:r>
            <w:r w:rsidR="00060E76">
              <w:fldChar w:fldCharType="begin"/>
            </w:r>
            <w:r w:rsidR="00060E76">
              <w:instrText xml:space="preserve"> PAGEREF _Toc31926 \h </w:instrText>
            </w:r>
            <w:r w:rsidR="00060E76">
              <w:fldChar w:fldCharType="separate"/>
            </w:r>
            <w:r w:rsidR="00060E76">
              <w:t>3</w:t>
            </w:r>
            <w:r w:rsidR="00060E76">
              <w:fldChar w:fldCharType="end"/>
            </w:r>
          </w:hyperlink>
        </w:p>
        <w:p w:rsidR="002D2F31" w:rsidRDefault="00C17217">
          <w:pPr>
            <w:pStyle w:val="TOC2"/>
            <w:tabs>
              <w:tab w:val="right" w:leader="dot" w:pos="8306"/>
            </w:tabs>
            <w:spacing w:line="360" w:lineRule="auto"/>
            <w:ind w:left="480"/>
          </w:pPr>
          <w:hyperlink w:anchor="_Toc4724" w:history="1">
            <w:r w:rsidR="00060E76">
              <w:rPr>
                <w:rFonts w:cs="Times New Roman"/>
              </w:rPr>
              <w:t>Recommendations for Development</w:t>
            </w:r>
            <w:r w:rsidR="00060E76">
              <w:tab/>
            </w:r>
            <w:r w:rsidR="00060E76">
              <w:fldChar w:fldCharType="begin"/>
            </w:r>
            <w:r w:rsidR="00060E76">
              <w:instrText xml:space="preserve"> PAGEREF _Toc4724 \h </w:instrText>
            </w:r>
            <w:r w:rsidR="00060E76">
              <w:fldChar w:fldCharType="separate"/>
            </w:r>
            <w:r w:rsidR="00060E76">
              <w:t>4</w:t>
            </w:r>
            <w:r w:rsidR="00060E76">
              <w:fldChar w:fldCharType="end"/>
            </w:r>
          </w:hyperlink>
        </w:p>
        <w:p w:rsidR="002D2F31" w:rsidRDefault="00C17217">
          <w:pPr>
            <w:pStyle w:val="TOC3"/>
            <w:tabs>
              <w:tab w:val="right" w:leader="dot" w:pos="8306"/>
            </w:tabs>
            <w:spacing w:line="360" w:lineRule="auto"/>
            <w:ind w:left="960"/>
          </w:pPr>
          <w:hyperlink w:anchor="_Toc11584" w:history="1">
            <w:r w:rsidR="00060E76">
              <w:rPr>
                <w:rFonts w:cs="Times New Roman"/>
                <w:bCs/>
                <w:szCs w:val="24"/>
              </w:rPr>
              <w:t>Educational Curriculum Enhancement</w:t>
            </w:r>
            <w:r w:rsidR="00060E76">
              <w:tab/>
            </w:r>
            <w:r w:rsidR="00060E76">
              <w:fldChar w:fldCharType="begin"/>
            </w:r>
            <w:r w:rsidR="00060E76">
              <w:instrText xml:space="preserve"> PAGEREF _Toc11584 \h </w:instrText>
            </w:r>
            <w:r w:rsidR="00060E76">
              <w:fldChar w:fldCharType="separate"/>
            </w:r>
            <w:r w:rsidR="00060E76">
              <w:t>4</w:t>
            </w:r>
            <w:r w:rsidR="00060E76">
              <w:fldChar w:fldCharType="end"/>
            </w:r>
          </w:hyperlink>
        </w:p>
        <w:p w:rsidR="002D2F31" w:rsidRDefault="00C17217">
          <w:pPr>
            <w:pStyle w:val="TOC3"/>
            <w:tabs>
              <w:tab w:val="right" w:leader="dot" w:pos="8306"/>
            </w:tabs>
            <w:spacing w:line="360" w:lineRule="auto"/>
            <w:ind w:left="960"/>
          </w:pPr>
          <w:hyperlink w:anchor="_Toc30135" w:history="1">
            <w:r w:rsidR="00060E76">
              <w:rPr>
                <w:rFonts w:cs="Times New Roman"/>
                <w:highlight w:val="yellow"/>
              </w:rPr>
              <w:t>Mentorship Development Programs</w:t>
            </w:r>
            <w:r w:rsidR="00060E76">
              <w:tab/>
            </w:r>
            <w:r w:rsidR="00060E76">
              <w:fldChar w:fldCharType="begin"/>
            </w:r>
            <w:r w:rsidR="00060E76">
              <w:instrText xml:space="preserve"> PAGEREF _Toc30135 \h </w:instrText>
            </w:r>
            <w:r w:rsidR="00060E76">
              <w:fldChar w:fldCharType="separate"/>
            </w:r>
            <w:r w:rsidR="00060E76">
              <w:t>4</w:t>
            </w:r>
            <w:r w:rsidR="00060E76">
              <w:fldChar w:fldCharType="end"/>
            </w:r>
          </w:hyperlink>
        </w:p>
        <w:p w:rsidR="002D2F31" w:rsidRDefault="00C17217">
          <w:pPr>
            <w:pStyle w:val="TOC3"/>
            <w:tabs>
              <w:tab w:val="right" w:leader="dot" w:pos="8306"/>
            </w:tabs>
            <w:spacing w:line="360" w:lineRule="auto"/>
            <w:ind w:left="960"/>
          </w:pPr>
          <w:hyperlink w:anchor="_Toc2797" w:history="1">
            <w:r w:rsidR="00060E76">
              <w:rPr>
                <w:rFonts w:cs="Times New Roman"/>
                <w:highlight w:val="yellow"/>
              </w:rPr>
              <w:t>Leadership Workshops</w:t>
            </w:r>
            <w:r w:rsidR="00060E76">
              <w:tab/>
            </w:r>
            <w:r w:rsidR="00060E76">
              <w:fldChar w:fldCharType="begin"/>
            </w:r>
            <w:r w:rsidR="00060E76">
              <w:instrText xml:space="preserve"> PAGEREF _Toc2797 \h </w:instrText>
            </w:r>
            <w:r w:rsidR="00060E76">
              <w:fldChar w:fldCharType="separate"/>
            </w:r>
            <w:r w:rsidR="00060E76">
              <w:t>5</w:t>
            </w:r>
            <w:r w:rsidR="00060E76">
              <w:fldChar w:fldCharType="end"/>
            </w:r>
          </w:hyperlink>
        </w:p>
        <w:p w:rsidR="002D2F31" w:rsidRDefault="00C17217">
          <w:pPr>
            <w:pStyle w:val="TOC1"/>
            <w:tabs>
              <w:tab w:val="right" w:leader="dot" w:pos="8306"/>
            </w:tabs>
            <w:spacing w:line="360" w:lineRule="auto"/>
          </w:pPr>
          <w:hyperlink w:anchor="_Toc5100" w:history="1">
            <w:r w:rsidR="00060E76">
              <w:rPr>
                <w:rFonts w:cs="Times New Roman"/>
              </w:rPr>
              <w:t>Implementation Plan Objective 2: Overcoming Assumptions Regarding Women's Aspirations</w:t>
            </w:r>
            <w:r w:rsidR="00060E76">
              <w:tab/>
            </w:r>
            <w:r w:rsidR="00060E76">
              <w:fldChar w:fldCharType="begin"/>
            </w:r>
            <w:r w:rsidR="00060E76">
              <w:instrText xml:space="preserve"> PAGEREF _Toc5100 \h </w:instrText>
            </w:r>
            <w:r w:rsidR="00060E76">
              <w:fldChar w:fldCharType="separate"/>
            </w:r>
            <w:r w:rsidR="00060E76">
              <w:t>5</w:t>
            </w:r>
            <w:r w:rsidR="00060E76">
              <w:fldChar w:fldCharType="end"/>
            </w:r>
          </w:hyperlink>
        </w:p>
        <w:p w:rsidR="002D2F31" w:rsidRDefault="00C17217">
          <w:pPr>
            <w:pStyle w:val="TOC2"/>
            <w:tabs>
              <w:tab w:val="right" w:leader="dot" w:pos="8306"/>
            </w:tabs>
            <w:spacing w:line="360" w:lineRule="auto"/>
            <w:ind w:left="480"/>
          </w:pPr>
          <w:hyperlink w:anchor="_Toc8636" w:history="1">
            <w:r w:rsidR="00060E76">
              <w:rPr>
                <w:rFonts w:cs="Times New Roman"/>
              </w:rPr>
              <w:t>Recommendations for Overcoming Assumptions</w:t>
            </w:r>
            <w:r w:rsidR="00060E76">
              <w:tab/>
            </w:r>
            <w:r w:rsidR="00060E76">
              <w:fldChar w:fldCharType="begin"/>
            </w:r>
            <w:r w:rsidR="00060E76">
              <w:instrText xml:space="preserve"> PAGEREF _Toc8636 \h </w:instrText>
            </w:r>
            <w:r w:rsidR="00060E76">
              <w:fldChar w:fldCharType="separate"/>
            </w:r>
            <w:r w:rsidR="00060E76">
              <w:t>7</w:t>
            </w:r>
            <w:r w:rsidR="00060E76">
              <w:fldChar w:fldCharType="end"/>
            </w:r>
          </w:hyperlink>
        </w:p>
        <w:p w:rsidR="002D2F31" w:rsidRDefault="00C17217">
          <w:pPr>
            <w:pStyle w:val="TOC1"/>
            <w:tabs>
              <w:tab w:val="right" w:leader="dot" w:pos="8306"/>
            </w:tabs>
            <w:spacing w:line="360" w:lineRule="auto"/>
          </w:pPr>
          <w:hyperlink w:anchor="_Toc13780" w:history="1">
            <w:r w:rsidR="00060E76">
              <w:rPr>
                <w:rFonts w:cs="Times New Roman"/>
              </w:rPr>
              <w:t>Implementation Plan Objective 3: Addressing Key Organisational Dynamics</w:t>
            </w:r>
            <w:r w:rsidR="00060E76">
              <w:tab/>
            </w:r>
            <w:r w:rsidR="00060E76">
              <w:fldChar w:fldCharType="begin"/>
            </w:r>
            <w:r w:rsidR="00060E76">
              <w:instrText xml:space="preserve"> PAGEREF _Toc13780 \h </w:instrText>
            </w:r>
            <w:r w:rsidR="00060E76">
              <w:fldChar w:fldCharType="separate"/>
            </w:r>
            <w:r w:rsidR="00060E76">
              <w:t>8</w:t>
            </w:r>
            <w:r w:rsidR="00060E76">
              <w:fldChar w:fldCharType="end"/>
            </w:r>
          </w:hyperlink>
        </w:p>
        <w:p w:rsidR="002D2F31" w:rsidRDefault="00C17217">
          <w:pPr>
            <w:pStyle w:val="TOC2"/>
            <w:tabs>
              <w:tab w:val="right" w:leader="dot" w:pos="8306"/>
            </w:tabs>
            <w:spacing w:line="360" w:lineRule="auto"/>
            <w:ind w:left="480"/>
          </w:pPr>
          <w:hyperlink w:anchor="_Toc22820" w:history="1">
            <w:r w:rsidR="00060E76">
              <w:rPr>
                <w:rFonts w:cs="Times New Roman"/>
              </w:rPr>
              <w:t>Recommendations</w:t>
            </w:r>
            <w:r w:rsidR="00060E76">
              <w:tab/>
            </w:r>
            <w:r w:rsidR="00060E76">
              <w:fldChar w:fldCharType="begin"/>
            </w:r>
            <w:r w:rsidR="00060E76">
              <w:instrText xml:space="preserve"> PAGEREF _Toc22820 \h </w:instrText>
            </w:r>
            <w:r w:rsidR="00060E76">
              <w:fldChar w:fldCharType="separate"/>
            </w:r>
            <w:r w:rsidR="00060E76">
              <w:t>9</w:t>
            </w:r>
            <w:r w:rsidR="00060E76">
              <w:fldChar w:fldCharType="end"/>
            </w:r>
          </w:hyperlink>
        </w:p>
        <w:p w:rsidR="002D2F31" w:rsidRDefault="00C17217">
          <w:pPr>
            <w:pStyle w:val="TOC1"/>
            <w:tabs>
              <w:tab w:val="right" w:leader="dot" w:pos="8306"/>
            </w:tabs>
            <w:spacing w:line="360" w:lineRule="auto"/>
          </w:pPr>
          <w:hyperlink w:anchor="_Toc18396" w:history="1">
            <w:r w:rsidR="00060E76">
              <w:rPr>
                <w:rFonts w:cs="Times New Roman"/>
              </w:rPr>
              <w:t>Conclusion</w:t>
            </w:r>
            <w:r w:rsidR="00060E76">
              <w:tab/>
            </w:r>
            <w:r w:rsidR="00060E76">
              <w:fldChar w:fldCharType="begin"/>
            </w:r>
            <w:r w:rsidR="00060E76">
              <w:instrText xml:space="preserve"> PAGEREF _Toc18396 \h </w:instrText>
            </w:r>
            <w:r w:rsidR="00060E76">
              <w:fldChar w:fldCharType="separate"/>
            </w:r>
            <w:r w:rsidR="00060E76">
              <w:t>10</w:t>
            </w:r>
            <w:r w:rsidR="00060E76">
              <w:fldChar w:fldCharType="end"/>
            </w:r>
          </w:hyperlink>
        </w:p>
        <w:p w:rsidR="002D2F31" w:rsidRDefault="00C17217">
          <w:pPr>
            <w:pStyle w:val="TOC1"/>
            <w:tabs>
              <w:tab w:val="right" w:leader="dot" w:pos="8306"/>
            </w:tabs>
            <w:spacing w:line="360" w:lineRule="auto"/>
          </w:pPr>
          <w:hyperlink w:anchor="_Toc19301" w:history="1">
            <w:r w:rsidR="00060E76">
              <w:rPr>
                <w:rFonts w:cs="Times New Roman"/>
              </w:rPr>
              <w:t>References</w:t>
            </w:r>
            <w:r w:rsidR="00060E76">
              <w:tab/>
            </w:r>
            <w:r w:rsidR="00060E76">
              <w:fldChar w:fldCharType="begin"/>
            </w:r>
            <w:r w:rsidR="00060E76">
              <w:instrText xml:space="preserve"> PAGEREF _Toc19301 \h </w:instrText>
            </w:r>
            <w:r w:rsidR="00060E76">
              <w:fldChar w:fldCharType="separate"/>
            </w:r>
            <w:r w:rsidR="00060E76">
              <w:t>11</w:t>
            </w:r>
            <w:r w:rsidR="00060E76">
              <w:fldChar w:fldCharType="end"/>
            </w:r>
          </w:hyperlink>
        </w:p>
        <w:p w:rsidR="002D2F31" w:rsidRDefault="00060E76">
          <w:pPr>
            <w:spacing w:line="360" w:lineRule="auto"/>
          </w:pPr>
          <w:r>
            <w:rPr>
              <w:szCs w:val="24"/>
            </w:rPr>
            <w:fldChar w:fldCharType="end"/>
          </w:r>
        </w:p>
      </w:sdtContent>
    </w:sdt>
    <w:p w:rsidR="002D2F31" w:rsidRDefault="00060E76">
      <w:pPr>
        <w:spacing w:line="360" w:lineRule="auto"/>
        <w:jc w:val="center"/>
        <w:rPr>
          <w:rFonts w:cs="Times New Roman"/>
        </w:rPr>
      </w:pPr>
      <w:r>
        <w:rPr>
          <w:rFonts w:cs="Times New Roman"/>
        </w:rPr>
        <w:br w:type="page"/>
      </w:r>
    </w:p>
    <w:p w:rsidR="002D2F31" w:rsidRDefault="00060E76">
      <w:pPr>
        <w:pStyle w:val="Heading1"/>
        <w:spacing w:line="360" w:lineRule="auto"/>
        <w:rPr>
          <w:rFonts w:ascii="Times New Roman" w:hAnsi="Times New Roman" w:cs="Times New Roman"/>
        </w:rPr>
      </w:pPr>
      <w:bookmarkStart w:id="1" w:name="_Toc11945"/>
      <w:r>
        <w:rPr>
          <w:rFonts w:ascii="Times New Roman" w:hAnsi="Times New Roman" w:cs="Times New Roman"/>
        </w:rPr>
        <w:lastRenderedPageBreak/>
        <w:t>Introduction</w:t>
      </w:r>
      <w:bookmarkEnd w:id="1"/>
      <w:r>
        <w:rPr>
          <w:rFonts w:ascii="Times New Roman" w:hAnsi="Times New Roman" w:cs="Times New Roman"/>
        </w:rPr>
        <w:t xml:space="preserve"> </w:t>
      </w:r>
    </w:p>
    <w:p w:rsidR="002D2F31" w:rsidRDefault="00060E76">
      <w:pPr>
        <w:pStyle w:val="NormalWeb"/>
        <w:spacing w:line="360" w:lineRule="auto"/>
        <w:ind w:firstLine="720"/>
        <w:jc w:val="both"/>
        <w:rPr>
          <w:rStyle w:val="Strong"/>
        </w:rPr>
      </w:pPr>
      <w:r>
        <w:rPr>
          <w:rStyle w:val="Strong"/>
          <w:b w:val="0"/>
          <w:bCs w:val="0"/>
        </w:rPr>
        <w:t>This implementation plan aims to address crucial organizational dynamics in order to promote a more inclusive and varied leadership structure within the mechanical engineering sector. Based upon current management theories, the strategy encompasses many key areas such as self-awareness, communication, political strategies, gender bias, power dynamics, workplace inclusivity, and corporate culture. The purpose of identifying these essential components is to develop a holistic approach that effectively addresses obstacles and promotes an inclusive atmosphere conducive to the advancement of individuals, regardless of their gender, into positions of leadership. The report offers specific suggestions for cultivating a working environment that emphasises diversity, fairness, and equitable leadership, while also highlighting the complex challenges confronting the business.</w:t>
      </w:r>
    </w:p>
    <w:p w:rsidR="002D2F31" w:rsidRDefault="00060E76">
      <w:pPr>
        <w:pStyle w:val="Heading1"/>
        <w:spacing w:line="360" w:lineRule="auto"/>
        <w:rPr>
          <w:rFonts w:ascii="Times New Roman" w:hAnsi="Times New Roman" w:cs="Times New Roman"/>
        </w:rPr>
      </w:pPr>
      <w:bookmarkStart w:id="2" w:name="_Toc31926"/>
      <w:r>
        <w:rPr>
          <w:rFonts w:ascii="Times New Roman" w:hAnsi="Times New Roman" w:cs="Times New Roman"/>
        </w:rPr>
        <w:t>Implementation Plan Objective 1: Education and Career Opportunities for Women</w:t>
      </w:r>
      <w:bookmarkEnd w:id="2"/>
    </w:p>
    <w:p w:rsidR="002D2F31" w:rsidRDefault="00060E76">
      <w:pPr>
        <w:spacing w:line="360" w:lineRule="auto"/>
        <w:ind w:firstLine="720"/>
        <w:rPr>
          <w:rStyle w:val="Strong"/>
          <w:rFonts w:eastAsia="SimSun" w:cs="Times New Roman"/>
          <w:b w:val="0"/>
          <w:bCs w:val="0"/>
          <w:szCs w:val="24"/>
        </w:rPr>
      </w:pPr>
      <w:r>
        <w:rPr>
          <w:rStyle w:val="Strong"/>
          <w:rFonts w:eastAsia="SimSun" w:cs="Times New Roman"/>
          <w:b w:val="0"/>
          <w:bCs w:val="0"/>
          <w:szCs w:val="24"/>
        </w:rPr>
        <w:t xml:space="preserve">The impact of education on women's career opportunities is significant. It helps alter their career. An extensive review shows that educational institutions shape the talents, credentials, and perspective of future leaders (Kearney and Lincoln, 2016). To promote diverse and inclusive leadership, the educational environment must be assessed and enhanced. While progress has been made, certain organisational systems may perpetuate gender gaps in the workplace (Casad et al., 2021). Diversity-focused leadership approaches are becoming more valued in business. </w:t>
      </w:r>
    </w:p>
    <w:p w:rsidR="002D2F31" w:rsidRDefault="002D2F31">
      <w:pPr>
        <w:spacing w:line="360" w:lineRule="auto"/>
        <w:ind w:firstLineChars="250" w:firstLine="600"/>
        <w:rPr>
          <w:rStyle w:val="Strong"/>
          <w:rFonts w:eastAsia="SimSun" w:cs="Times New Roman"/>
          <w:b w:val="0"/>
          <w:bCs w:val="0"/>
          <w:szCs w:val="24"/>
        </w:rPr>
      </w:pPr>
    </w:p>
    <w:p w:rsidR="002D2F31" w:rsidRPr="00602116" w:rsidRDefault="00060E76" w:rsidP="00602116">
      <w:pPr>
        <w:spacing w:line="360" w:lineRule="auto"/>
        <w:ind w:firstLine="720"/>
        <w:rPr>
          <w:rStyle w:val="Strong"/>
          <w:rFonts w:eastAsia="SimSun" w:cs="Times New Roman"/>
          <w:b w:val="0"/>
          <w:bCs w:val="0"/>
          <w:szCs w:val="24"/>
        </w:rPr>
      </w:pPr>
      <w:r>
        <w:rPr>
          <w:rStyle w:val="Strong"/>
          <w:rFonts w:eastAsia="SimSun" w:cs="Times New Roman"/>
          <w:b w:val="0"/>
          <w:bCs w:val="0"/>
          <w:szCs w:val="24"/>
        </w:rPr>
        <w:t xml:space="preserve">However, institutional barriers may prevent women from ascending the corporate ladder. Recruitment and promotion procedures may be unjust and prejudiced (Bhopal and Henderson, 2021). The problem must be addressed with a comprehensive plan that includes two critical elements. First and foremost, corporate prejudices must be addressed. Various workplace inclusion and fairness methods may accomplish this. Second, partnering with educational facilities is crucial to guarantee that curricula and training programmes promote gender equality and a more varied workforce. Coleman (2020) states that public perception greatly affects women's </w:t>
      </w:r>
      <w:r>
        <w:rPr>
          <w:rStyle w:val="Strong"/>
          <w:rFonts w:eastAsia="SimSun" w:cs="Times New Roman"/>
          <w:b w:val="0"/>
          <w:bCs w:val="0"/>
          <w:szCs w:val="24"/>
        </w:rPr>
        <w:lastRenderedPageBreak/>
        <w:t xml:space="preserve">career chances. Norms and preconceptions may impact how women are seen in the workplace. This review emphasises the need to address these viewpoints and showcase exceptional female leaders as examples of excellence. </w:t>
      </w:r>
    </w:p>
    <w:p w:rsidR="002D2F31" w:rsidRDefault="00060E76">
      <w:pPr>
        <w:pStyle w:val="Heading2"/>
        <w:spacing w:line="360" w:lineRule="auto"/>
        <w:rPr>
          <w:rFonts w:ascii="Times New Roman" w:hAnsi="Times New Roman" w:cs="Times New Roman"/>
        </w:rPr>
      </w:pPr>
      <w:bookmarkStart w:id="3" w:name="_Toc4724"/>
      <w:r>
        <w:rPr>
          <w:rFonts w:ascii="Times New Roman" w:hAnsi="Times New Roman" w:cs="Times New Roman"/>
        </w:rPr>
        <w:t>Recommendations for Development</w:t>
      </w:r>
      <w:bookmarkEnd w:id="3"/>
    </w:p>
    <w:p w:rsidR="002D2F31" w:rsidRDefault="00060E76">
      <w:pPr>
        <w:pStyle w:val="Heading3"/>
        <w:spacing w:line="360" w:lineRule="auto"/>
        <w:rPr>
          <w:rFonts w:ascii="Times New Roman" w:hAnsi="Times New Roman" w:cs="Times New Roman"/>
          <w:iCs/>
          <w:szCs w:val="24"/>
        </w:rPr>
      </w:pPr>
      <w:bookmarkStart w:id="4" w:name="_Toc11584"/>
      <w:r>
        <w:rPr>
          <w:rFonts w:ascii="Times New Roman" w:hAnsi="Times New Roman" w:cs="Times New Roman"/>
          <w:iCs/>
          <w:szCs w:val="24"/>
        </w:rPr>
        <w:t>Educational Curriculum Enhancement</w:t>
      </w:r>
      <w:bookmarkEnd w:id="4"/>
    </w:p>
    <w:p w:rsidR="002D2F31" w:rsidRDefault="00060E76">
      <w:pPr>
        <w:numPr>
          <w:ilvl w:val="0"/>
          <w:numId w:val="11"/>
        </w:numPr>
        <w:spacing w:line="360" w:lineRule="auto"/>
        <w:rPr>
          <w:rFonts w:cs="Times New Roman"/>
          <w:szCs w:val="24"/>
          <w:highlight w:val="yellow"/>
        </w:rPr>
      </w:pPr>
      <w:r>
        <w:rPr>
          <w:rFonts w:cs="Times New Roman"/>
          <w:szCs w:val="24"/>
          <w:highlight w:val="yellow"/>
        </w:rPr>
        <w:t xml:space="preserve">Developing association with educational platforms that would focus on enhancing curriculum in relation to gender inclusiveness. </w:t>
      </w:r>
    </w:p>
    <w:p w:rsidR="002D2F31" w:rsidRDefault="00060E76">
      <w:pPr>
        <w:numPr>
          <w:ilvl w:val="0"/>
          <w:numId w:val="11"/>
        </w:numPr>
        <w:spacing w:line="360" w:lineRule="auto"/>
        <w:rPr>
          <w:rFonts w:cs="Times New Roman"/>
          <w:szCs w:val="24"/>
          <w:highlight w:val="yellow"/>
        </w:rPr>
      </w:pPr>
      <w:r>
        <w:rPr>
          <w:rFonts w:cs="Times New Roman"/>
          <w:szCs w:val="24"/>
          <w:highlight w:val="yellow"/>
        </w:rPr>
        <w:t xml:space="preserve">Providing real-life experiences and stories of women leaders in the field of mechanical engineering. </w:t>
      </w:r>
    </w:p>
    <w:p w:rsidR="002D2F31" w:rsidRDefault="002D2F31"/>
    <w:p w:rsidR="002D2F31" w:rsidRDefault="00060E76">
      <w:pPr>
        <w:pStyle w:val="NormalWeb"/>
        <w:spacing w:line="360" w:lineRule="auto"/>
        <w:jc w:val="both"/>
        <w:rPr>
          <w:rStyle w:val="Heading3Char"/>
          <w:rFonts w:ascii="Times New Roman" w:hAnsi="Times New Roman"/>
          <w:highlight w:val="yellow"/>
        </w:rPr>
      </w:pPr>
      <w:bookmarkStart w:id="5" w:name="_Toc30135"/>
      <w:r>
        <w:rPr>
          <w:rStyle w:val="Heading3Char"/>
          <w:rFonts w:ascii="Times New Roman" w:hAnsi="Times New Roman"/>
          <w:highlight w:val="yellow"/>
        </w:rPr>
        <w:t>Mentorship Development Programs</w:t>
      </w:r>
    </w:p>
    <w:bookmarkEnd w:id="5"/>
    <w:p w:rsidR="002D2F31" w:rsidRDefault="00060E76">
      <w:pPr>
        <w:numPr>
          <w:ilvl w:val="0"/>
          <w:numId w:val="11"/>
        </w:numPr>
        <w:spacing w:line="360" w:lineRule="auto"/>
        <w:rPr>
          <w:highlight w:val="yellow"/>
        </w:rPr>
      </w:pPr>
      <w:r>
        <w:rPr>
          <w:highlight w:val="yellow"/>
        </w:rPr>
        <w:t xml:space="preserve">Mentorship development programs should be given the utmost importance. Such significant programs will assist in the succession of women leaders in the chosen sector. </w:t>
      </w:r>
    </w:p>
    <w:p w:rsidR="002D2F31" w:rsidRDefault="00060E76">
      <w:pPr>
        <w:numPr>
          <w:ilvl w:val="0"/>
          <w:numId w:val="11"/>
        </w:numPr>
        <w:spacing w:line="360" w:lineRule="auto"/>
        <w:rPr>
          <w:rStyle w:val="Heading3Char"/>
          <w:rFonts w:ascii="Times New Roman" w:hAnsi="Times New Roman" w:cs="Times New Roman"/>
          <w:highlight w:val="yellow"/>
        </w:rPr>
      </w:pPr>
      <w:r>
        <w:rPr>
          <w:highlight w:val="yellow"/>
        </w:rPr>
        <w:t xml:space="preserve">Besides, financial aspects should be covered for women who are more likely to show commitment towards their career in the profession of mechanical engineering. </w:t>
      </w:r>
    </w:p>
    <w:p w:rsidR="002D2F31" w:rsidRDefault="00060E76">
      <w:pPr>
        <w:numPr>
          <w:ilvl w:val="0"/>
          <w:numId w:val="11"/>
        </w:numPr>
        <w:spacing w:line="360" w:lineRule="auto"/>
        <w:rPr>
          <w:rStyle w:val="Heading3Char"/>
          <w:rFonts w:ascii="Times New Roman" w:hAnsi="Times New Roman" w:cs="Times New Roman"/>
          <w:highlight w:val="yellow"/>
        </w:rPr>
      </w:pPr>
      <w:r>
        <w:rPr>
          <w:highlight w:val="yellow"/>
        </w:rPr>
        <w:t xml:space="preserve">Mentoring programs that promote the development of strong association between women leader and shareholders along with other company’s professionals should be implemented. In this way, women would be able to remain motivated at work. </w:t>
      </w:r>
    </w:p>
    <w:p w:rsidR="002D2F31" w:rsidRDefault="00060E76">
      <w:pPr>
        <w:pStyle w:val="NormalWeb"/>
        <w:spacing w:line="360" w:lineRule="auto"/>
        <w:jc w:val="both"/>
        <w:rPr>
          <w:rStyle w:val="Strong"/>
          <w:i/>
          <w:iCs/>
          <w:highlight w:val="yellow"/>
        </w:rPr>
      </w:pPr>
      <w:r>
        <w:rPr>
          <w:rStyle w:val="Strong"/>
          <w:i/>
          <w:iCs/>
          <w:highlight w:val="yellow"/>
        </w:rPr>
        <w:t>Organisational Diversity &amp; Inclusion Training</w:t>
      </w:r>
    </w:p>
    <w:p w:rsidR="002D2F31" w:rsidRDefault="00060E76">
      <w:pPr>
        <w:numPr>
          <w:ilvl w:val="0"/>
          <w:numId w:val="11"/>
        </w:numPr>
        <w:spacing w:line="360" w:lineRule="auto"/>
      </w:pPr>
      <w:r>
        <w:t xml:space="preserve">Professionals within the mechanical engineering sector must take into consideration the importance of inclusion and diversity at workplace. Therefore, they should work on introducing such training sessions for workforce. </w:t>
      </w:r>
    </w:p>
    <w:p w:rsidR="002D2F31" w:rsidRDefault="00060E76">
      <w:pPr>
        <w:numPr>
          <w:ilvl w:val="0"/>
          <w:numId w:val="11"/>
        </w:numPr>
        <w:spacing w:line="360" w:lineRule="auto"/>
      </w:pPr>
      <w:r>
        <w:t xml:space="preserve">Moreover, talent management should be considered that would further assist in the recruitment of women leaders thus, mitigating challenges linked with gender discrimination. </w:t>
      </w:r>
    </w:p>
    <w:p w:rsidR="002D2F31" w:rsidRDefault="00060E76">
      <w:pPr>
        <w:pStyle w:val="Heading3"/>
        <w:spacing w:line="360" w:lineRule="auto"/>
        <w:rPr>
          <w:rFonts w:ascii="Times New Roman" w:hAnsi="Times New Roman" w:cs="Times New Roman"/>
          <w:highlight w:val="yellow"/>
        </w:rPr>
      </w:pPr>
      <w:bookmarkStart w:id="6" w:name="_Toc2797"/>
      <w:r>
        <w:rPr>
          <w:rFonts w:ascii="Times New Roman" w:hAnsi="Times New Roman" w:cs="Times New Roman"/>
          <w:highlight w:val="yellow"/>
        </w:rPr>
        <w:lastRenderedPageBreak/>
        <w:t>Leadership Workshops</w:t>
      </w:r>
      <w:bookmarkEnd w:id="6"/>
    </w:p>
    <w:p w:rsidR="002D2F31" w:rsidRDefault="00060E76">
      <w:pPr>
        <w:numPr>
          <w:ilvl w:val="0"/>
          <w:numId w:val="11"/>
        </w:numPr>
        <w:tabs>
          <w:tab w:val="clear" w:pos="425"/>
        </w:tabs>
        <w:spacing w:line="360" w:lineRule="auto"/>
        <w:rPr>
          <w:highlight w:val="yellow"/>
        </w:rPr>
      </w:pPr>
      <w:r>
        <w:rPr>
          <w:highlight w:val="yellow"/>
        </w:rPr>
        <w:t>Propose the implementation of workshops aimed at showcasing the accomplishments of women occupying positions of leadership.</w:t>
      </w:r>
    </w:p>
    <w:p w:rsidR="002D2F31" w:rsidRDefault="00060E76">
      <w:pPr>
        <w:numPr>
          <w:ilvl w:val="0"/>
          <w:numId w:val="11"/>
        </w:numPr>
        <w:tabs>
          <w:tab w:val="clear" w:pos="425"/>
        </w:tabs>
        <w:spacing w:line="360" w:lineRule="auto"/>
        <w:rPr>
          <w:highlight w:val="yellow"/>
        </w:rPr>
      </w:pPr>
      <w:r>
        <w:rPr>
          <w:highlight w:val="yellow"/>
        </w:rPr>
        <w:t>Demonstrate the industry's dedication to promoting leadership in diverse organisational culture across a range of media channels and platforms.</w:t>
      </w:r>
    </w:p>
    <w:p w:rsidR="002D2F31" w:rsidRDefault="00060E76">
      <w:pPr>
        <w:pStyle w:val="Heading1"/>
        <w:spacing w:line="360" w:lineRule="auto"/>
        <w:rPr>
          <w:rFonts w:ascii="Times New Roman" w:hAnsi="Times New Roman" w:cs="Times New Roman"/>
          <w:sz w:val="24"/>
          <w:szCs w:val="24"/>
        </w:rPr>
      </w:pPr>
      <w:bookmarkStart w:id="7" w:name="_Toc5100"/>
      <w:r>
        <w:rPr>
          <w:rFonts w:ascii="Times New Roman" w:hAnsi="Times New Roman" w:cs="Times New Roman"/>
        </w:rPr>
        <w:t>Implementation Plan Objective 2: Overcoming Assumptions Regarding Women's Aspirations</w:t>
      </w:r>
      <w:bookmarkEnd w:id="7"/>
    </w:p>
    <w:p w:rsidR="002D2F31" w:rsidRDefault="00060E76">
      <w:pPr>
        <w:spacing w:line="360" w:lineRule="auto"/>
        <w:ind w:firstLine="720"/>
        <w:rPr>
          <w:rFonts w:cs="Times New Roman"/>
          <w:szCs w:val="24"/>
        </w:rPr>
      </w:pPr>
      <w:r>
        <w:rPr>
          <w:szCs w:val="24"/>
          <w:highlight w:val="yellow"/>
        </w:rPr>
        <w:t xml:space="preserve">The sector of mechanical engineering must take into account strategies to deal with issues along with traditional beliefs of individuals in this industry against the aspirations of women to succeed. It is therefore, important to develop a structure that would promote women leadership and this can be possible by giving importance to the notion of inclusiveness and diversity. An in-depth analysis has been carried out, as a result it was observed that biased beliefs and perspectives might lead to suppression of women progress in the chosen field. With the help of contemporary leadership and management theories such notions and beliefs can be challenged and thus, a culture can be developed in an organisation that would support women aspirations. Notwithstanding the fact, King (2020) highlighted about the substantial effects of such beliefs and notions of gender gap at workplace that have significantly given rise to a society creating barriers for women in several sectors. </w:t>
      </w:r>
      <w:r>
        <w:rPr>
          <w:szCs w:val="24"/>
        </w:rPr>
        <w:t>It is commonly observed that women tend to exhibit comparatively lower levels of ambition, commitment towards leadership roles, and a greater inclination towards prioritising familial responsibilities over their professional pursuits.</w:t>
      </w:r>
      <w:r>
        <w:rPr>
          <w:rFonts w:cs="Times New Roman"/>
          <w:szCs w:val="24"/>
        </w:rPr>
        <w:t xml:space="preserve"> Upon doing a thorough analysis, it becomes evident that these preconceptions play a significant role in perpetuating a gendered glass barrier, hence impeding women's ability to attain leadership positions (Ballakrishnen, Fielding-Singh and Magliozzi, 2019).</w:t>
      </w:r>
    </w:p>
    <w:p w:rsidR="002D2F31" w:rsidRDefault="002D2F31">
      <w:pPr>
        <w:spacing w:line="360" w:lineRule="auto"/>
        <w:rPr>
          <w:rFonts w:cs="Times New Roman"/>
          <w:szCs w:val="24"/>
        </w:rPr>
      </w:pPr>
    </w:p>
    <w:p w:rsidR="002D2F31" w:rsidRDefault="00060E76">
      <w:pPr>
        <w:spacing w:line="360" w:lineRule="auto"/>
        <w:ind w:firstLine="720"/>
        <w:rPr>
          <w:rFonts w:cs="Times New Roman"/>
          <w:szCs w:val="24"/>
        </w:rPr>
      </w:pPr>
      <w:r>
        <w:rPr>
          <w:rFonts w:cs="Times New Roman"/>
          <w:szCs w:val="24"/>
        </w:rPr>
        <w:t xml:space="preserve">Contemporary management theories provide useful conceptual frameworks for businesses to effectively cultivate inclusion and challenge prevailing preconceptions. </w:t>
      </w:r>
      <w:r>
        <w:rPr>
          <w:rFonts w:cs="Times New Roman"/>
          <w:szCs w:val="24"/>
          <w:highlight w:val="yellow"/>
        </w:rPr>
        <w:t>Transformational leadership is a widely accepted theoretical framework that promotes leaders to surpass traditional modes of thinking and motivate the development of shared ideas that embrace and value diversity (Schultheiss, 2021)</w:t>
      </w:r>
      <w:r>
        <w:rPr>
          <w:rFonts w:cs="Times New Roman"/>
          <w:szCs w:val="24"/>
        </w:rPr>
        <w:t xml:space="preserve">. An example of this </w:t>
      </w:r>
      <w:r>
        <w:rPr>
          <w:rFonts w:cs="Times New Roman"/>
          <w:szCs w:val="24"/>
        </w:rPr>
        <w:lastRenderedPageBreak/>
        <w:t>would be a Chief Executive Officer (CEO) who actively promotes and supports gender diversity within the company. By doing so, they can create an inclusive and supportive work environment where every employee feels acknowledged and valued for their contributions (Velasco and Sansone, 2019). This strategy beyond simple representation by advocating for leaders to serve as role models, actively exhibiting their dedication to diversity. An example of demonstrating a dedication to supporting women's ambitions is the implementation of mentoring initiatives overseen by executives (Scott and Klein, 2022).</w:t>
      </w:r>
    </w:p>
    <w:p w:rsidR="002D2F31" w:rsidRDefault="002D2F31">
      <w:pPr>
        <w:spacing w:line="360" w:lineRule="auto"/>
        <w:rPr>
          <w:rFonts w:cs="Times New Roman"/>
          <w:szCs w:val="24"/>
        </w:rPr>
      </w:pPr>
    </w:p>
    <w:p w:rsidR="002D2F31" w:rsidRDefault="00060E76">
      <w:pPr>
        <w:spacing w:line="360" w:lineRule="auto"/>
        <w:ind w:firstLine="720"/>
        <w:rPr>
          <w:rFonts w:cs="Times New Roman"/>
          <w:szCs w:val="24"/>
        </w:rPr>
      </w:pPr>
      <w:r>
        <w:rPr>
          <w:rFonts w:cs="Times New Roman"/>
          <w:szCs w:val="24"/>
          <w:highlight w:val="yellow"/>
        </w:rPr>
        <w:t xml:space="preserve">Inclusive leadership serves as a complementary approach to transformational leadership by placing emphasis on the significance of incorporating other viewpoints. It is recommended that leaders proactively solicit advice from all workers, acknowledging and appreciating their distinct contributions (Meng and Neill, 2021). </w:t>
      </w:r>
      <w:r>
        <w:rPr>
          <w:rFonts w:cs="Times New Roman"/>
          <w:szCs w:val="24"/>
        </w:rPr>
        <w:t>A company that embodies inclusive leadership may implement platforms for open discourse, so guaranteeing that the perspectives of women are not only acknowledged but also included into the decision-making procedures. This strategy promotes an inclusive workplace that respects individuals' objectives, irrespective of their gender (Kuknor and Bhattacharya, 2022).</w:t>
      </w:r>
    </w:p>
    <w:p w:rsidR="002D2F31" w:rsidRDefault="002D2F31">
      <w:pPr>
        <w:spacing w:line="360" w:lineRule="auto"/>
        <w:rPr>
          <w:rFonts w:cs="Times New Roman"/>
          <w:szCs w:val="24"/>
        </w:rPr>
      </w:pPr>
    </w:p>
    <w:p w:rsidR="002D2F31" w:rsidRDefault="00060E76">
      <w:pPr>
        <w:spacing w:line="360" w:lineRule="auto"/>
        <w:ind w:firstLine="720"/>
        <w:rPr>
          <w:rFonts w:cs="Times New Roman"/>
          <w:szCs w:val="24"/>
          <w:highlight w:val="yellow"/>
        </w:rPr>
      </w:pPr>
      <w:r>
        <w:rPr>
          <w:szCs w:val="24"/>
          <w:highlight w:val="yellow"/>
        </w:rPr>
        <w:t xml:space="preserve">The third important strategy to implement is Talent Management. Effective approaches are required to manage the recruitment and development of female talent in the field of mechanical engineering. This approach should include outreach efforts, unbiased job descriptions, and mentoring. Initially, it is necessary to actively search for highly skilled women in the field of mechanical engineering. Participating in employment fairs, conferences, and other outreach programmes Collaborating with educational institutions, offering comprehensive job descriptions, and establishing connections with mentors are crucial for cultivating a diverse and extensive pool of talent </w:t>
      </w:r>
      <w:r>
        <w:rPr>
          <w:rFonts w:cs="Times New Roman"/>
          <w:szCs w:val="24"/>
          <w:highlight w:val="yellow"/>
        </w:rPr>
        <w:t>(Vivek and Chandrakumar, 2023)</w:t>
      </w:r>
      <w:r>
        <w:rPr>
          <w:szCs w:val="24"/>
          <w:highlight w:val="yellow"/>
        </w:rPr>
        <w:t xml:space="preserve">. Implementing such strategies enhances the recruitment process and generates a staff that is both diverse and inclusive. In order to enhance worker retention, a comprehensive and diverse strategy is required. Establish an environment that encourages support and inclusivity in the workplace, implement flexible work arrangements tailored to individual needs, and ensure many possibilities for professional growth and development </w:t>
      </w:r>
      <w:r>
        <w:rPr>
          <w:rFonts w:cs="Times New Roman"/>
          <w:szCs w:val="24"/>
          <w:highlight w:val="yellow"/>
        </w:rPr>
        <w:t xml:space="preserve">(Onyeador, Hudson, and Lewis, 2021). </w:t>
      </w:r>
    </w:p>
    <w:p w:rsidR="002D2F31" w:rsidRDefault="002D2F31">
      <w:pPr>
        <w:spacing w:line="360" w:lineRule="auto"/>
        <w:rPr>
          <w:rFonts w:cs="Times New Roman"/>
          <w:szCs w:val="24"/>
        </w:rPr>
      </w:pPr>
    </w:p>
    <w:p w:rsidR="002D2F31" w:rsidRDefault="00060E76">
      <w:pPr>
        <w:pStyle w:val="Heading2"/>
        <w:spacing w:line="360" w:lineRule="auto"/>
        <w:rPr>
          <w:rFonts w:ascii="Times New Roman" w:hAnsi="Times New Roman" w:cs="Times New Roman"/>
          <w:sz w:val="24"/>
          <w:szCs w:val="24"/>
        </w:rPr>
      </w:pPr>
      <w:bookmarkStart w:id="8" w:name="_Toc8636"/>
      <w:r>
        <w:rPr>
          <w:rFonts w:ascii="Times New Roman" w:hAnsi="Times New Roman" w:cs="Times New Roman"/>
        </w:rPr>
        <w:lastRenderedPageBreak/>
        <w:t>Recommendations for Overcoming Assumptions</w:t>
      </w:r>
      <w:bookmarkEnd w:id="8"/>
    </w:p>
    <w:p w:rsidR="002D2F31" w:rsidRDefault="00060E76">
      <w:pPr>
        <w:spacing w:line="360" w:lineRule="auto"/>
        <w:ind w:firstLine="720"/>
        <w:rPr>
          <w:szCs w:val="24"/>
          <w:highlight w:val="yellow"/>
        </w:rPr>
      </w:pPr>
      <w:r>
        <w:rPr>
          <w:rFonts w:cs="Times New Roman"/>
          <w:szCs w:val="24"/>
        </w:rPr>
        <w:t xml:space="preserve">The implementation of a comprehensive plan aims at challenging preconceptions and promoting diversity within the industry encompasses a range of essential actions. Initially, it is essential to take initiatives that highlight accomplished female leaders. </w:t>
      </w:r>
      <w:r>
        <w:rPr>
          <w:rFonts w:cs="Times New Roman"/>
          <w:szCs w:val="24"/>
          <w:highlight w:val="yellow"/>
        </w:rPr>
        <w:t xml:space="preserve">Through leadership workshops that require communication channels, narrative highlighting the achievements of women in leadership positions will be disseminated, so actively confronting conventional conceptions about women's professional ambitions (Eckhardt et al., 2021). Concurrently, the implementation of mentorship development program will facilitate the establishment of connections between aspiring women leaders and experienced professionals. </w:t>
      </w:r>
      <w:r>
        <w:rPr>
          <w:szCs w:val="24"/>
          <w:highlight w:val="yellow"/>
        </w:rPr>
        <w:t>These efforts aim to establish significant connections that examine preconceived notions and improve professional prospects. The implementation plan places significant focus on maintaining an appropriate balance between work and personal life. In order to challenge preconceived notions about the work ethic of women, it supports for the implementation of flexible schedules at work (Lewis and Humbert, 2010). The strategy also aims to provide a constructive and dynamic work environment for all workers. Conducting needs assessments is essential for fulfilling the specific needs and goals of women in the engineering sector (Kimball, Reichard, &amp; Chan, 2021). Access to training and mentoring should be readily accessible. In order to guarantee unbiased performance evaluations, a methodology based on data analysis will be used. This plan will proactively evaluate and rectify any inconsistencies linked to assumptions in promotion and career progression.</w:t>
      </w:r>
    </w:p>
    <w:p w:rsidR="002D2F31" w:rsidRDefault="002D2F31">
      <w:pPr>
        <w:spacing w:line="360" w:lineRule="auto"/>
        <w:ind w:firstLine="720"/>
        <w:rPr>
          <w:szCs w:val="24"/>
          <w:highlight w:val="yellow"/>
        </w:rPr>
      </w:pPr>
    </w:p>
    <w:p w:rsidR="002D2F31" w:rsidRDefault="002D2F31">
      <w:pPr>
        <w:spacing w:line="360" w:lineRule="auto"/>
        <w:ind w:firstLine="720"/>
        <w:rPr>
          <w:szCs w:val="24"/>
          <w:highlight w:val="yellow"/>
        </w:rPr>
      </w:pPr>
    </w:p>
    <w:p w:rsidR="002D2F31" w:rsidRDefault="002D2F31">
      <w:pPr>
        <w:spacing w:line="360" w:lineRule="auto"/>
        <w:ind w:firstLine="720"/>
        <w:rPr>
          <w:rFonts w:cs="Times New Roman"/>
          <w:szCs w:val="24"/>
          <w:highlight w:val="yellow"/>
        </w:rPr>
      </w:pPr>
    </w:p>
    <w:p w:rsidR="002D2F31" w:rsidRDefault="002D2F31">
      <w:pPr>
        <w:spacing w:line="360" w:lineRule="auto"/>
        <w:rPr>
          <w:rFonts w:cs="Times New Roman"/>
          <w:szCs w:val="24"/>
        </w:rPr>
      </w:pPr>
    </w:p>
    <w:p w:rsidR="002D2F31" w:rsidRDefault="00060E76">
      <w:pPr>
        <w:spacing w:line="360" w:lineRule="auto"/>
        <w:rPr>
          <w:rFonts w:cs="Times New Roman"/>
          <w:szCs w:val="24"/>
        </w:rPr>
      </w:pPr>
      <w:r>
        <w:rPr>
          <w:rFonts w:cs="Times New Roman"/>
          <w:szCs w:val="24"/>
        </w:rPr>
        <w:br w:type="page"/>
      </w:r>
    </w:p>
    <w:p w:rsidR="002D2F31" w:rsidRDefault="00060E76">
      <w:pPr>
        <w:pStyle w:val="Heading1"/>
        <w:spacing w:line="360" w:lineRule="auto"/>
        <w:rPr>
          <w:rFonts w:ascii="Times New Roman" w:hAnsi="Times New Roman" w:cs="Times New Roman"/>
        </w:rPr>
      </w:pPr>
      <w:bookmarkStart w:id="9" w:name="_Toc13780"/>
      <w:r>
        <w:rPr>
          <w:rFonts w:ascii="Times New Roman" w:hAnsi="Times New Roman" w:cs="Times New Roman"/>
        </w:rPr>
        <w:lastRenderedPageBreak/>
        <w:t>Implementation Plan Objective 3: Addressing Key Organisational Dynamics</w:t>
      </w:r>
      <w:bookmarkEnd w:id="9"/>
    </w:p>
    <w:p w:rsidR="002D2F31" w:rsidRDefault="00060E76" w:rsidP="00602116">
      <w:pPr>
        <w:spacing w:line="360" w:lineRule="auto"/>
        <w:ind w:firstLine="720"/>
        <w:rPr>
          <w:szCs w:val="24"/>
        </w:rPr>
      </w:pPr>
      <w:r>
        <w:rPr>
          <w:szCs w:val="24"/>
        </w:rPr>
        <w:t>Examining company's basic dynamics is necessary to create a more inclusive and varied leadership framework in the chosen sector. The main goals of this project are to improve interpersonal communication, navigate complex political strategies, address gender bias, involve relevant parties, promote organisational inclusivity, and build a strong and mutually beneficial corporate culture. These traits are considered in the implementation plan to create a supportive and equal workplace. Self-awareness strengthens leadership effectiveness, according to Lau et al. (2023). Participating in modern management workshops and conferences might increase leaders' emotional intelligence and self-awareness.</w:t>
      </w:r>
    </w:p>
    <w:p w:rsidR="002D2F31" w:rsidRDefault="00060E76" w:rsidP="00602116">
      <w:pPr>
        <w:spacing w:line="360" w:lineRule="auto"/>
        <w:ind w:firstLine="720"/>
        <w:rPr>
          <w:rFonts w:cs="Times New Roman"/>
          <w:szCs w:val="24"/>
        </w:rPr>
      </w:pPr>
      <w:r>
        <w:rPr>
          <w:szCs w:val="24"/>
        </w:rPr>
        <w:t xml:space="preserve">Communication is crucial to creating a diverse and inclusive workplace. Communication training that promotes empathy, active listening, and inclusive as well as clear communication is essential while implementing a strategy (Stahl and Maznevski, 2021). Leaders must be able to express a clear vision that aligns with the company's commitment to accepting all people. </w:t>
      </w:r>
      <w:r>
        <w:rPr>
          <w:rFonts w:cs="Times New Roman"/>
          <w:szCs w:val="24"/>
        </w:rPr>
        <w:t>Additionally, they should encourage open and constructive discussions to resolve any issues that may arise. The ability to effectively navigate the dynamics of the workplace is an essential competency for leaders who want to enact meaningful and transformative change within their respective contexts (Simmons and Yawson, 2022). Contemporary management theories encourage for the use of ethical and transparent political practices. It is essential for leaders to actively promote inclusion and diversity within political domains by aligning themselves with influential figures and strategically using networks to advance the cause of gender equality.</w:t>
      </w:r>
    </w:p>
    <w:p w:rsidR="002D2F31" w:rsidRDefault="00060E76" w:rsidP="00602116">
      <w:pPr>
        <w:spacing w:line="360" w:lineRule="auto"/>
        <w:ind w:firstLine="720"/>
        <w:rPr>
          <w:rFonts w:cs="Times New Roman"/>
          <w:szCs w:val="24"/>
        </w:rPr>
      </w:pPr>
      <w:r>
        <w:rPr>
          <w:rFonts w:cs="Times New Roman"/>
          <w:szCs w:val="24"/>
          <w:highlight w:val="yellow"/>
        </w:rPr>
        <w:t>Addressing gender discrimination necessitates the implementation of a comprehensive strategy such as, visibility and recognition programs.</w:t>
      </w:r>
      <w:r>
        <w:rPr>
          <w:rFonts w:cs="Times New Roman"/>
          <w:szCs w:val="24"/>
        </w:rPr>
        <w:t xml:space="preserve"> The implementation of rules that expressly prohibit discrimination is of utmost importance (Clavero and Galligan, 2021). Moreover, it is essential for awareness initiatives to actively confront and combat prevailing prejudices and unconscious biases. Leadership may also assume a crucial function by actively advocating for and embodying a company culture that demonstrates absence of tolerance for biases. The presence of power conflicts inside businesses might hinder the advancement of </w:t>
      </w:r>
      <w:r>
        <w:rPr>
          <w:rFonts w:cs="Times New Roman"/>
          <w:szCs w:val="24"/>
        </w:rPr>
        <w:lastRenderedPageBreak/>
        <w:t>diversity and inclusion initiatives (Seijts and Milani, 2022). The implementation of collaborative leadership models and the promotion of shared leadership principles have the potential to alleviate power disputes. Promoting a cultural environment that places significance on soliciting feedback from all members of a company, regardless of their hierarchical position, has the potential to upset conventional power relations (Abalkhail, 2020). The development of workplace diversity requires deliberate actions in the areas of recruiting, retention, and advancement. Leaders have the capacity to commence mentoring initiatives, provide diversity and inclusion training, and develop affinity groups in order to offer assistance to minority persons (Davenport et al., 2022).</w:t>
      </w:r>
    </w:p>
    <w:p w:rsidR="002D2F31" w:rsidRDefault="00060E76">
      <w:pPr>
        <w:pStyle w:val="Heading2"/>
        <w:spacing w:line="360" w:lineRule="auto"/>
        <w:rPr>
          <w:rFonts w:ascii="Times New Roman" w:hAnsi="Times New Roman" w:cs="Times New Roman"/>
        </w:rPr>
      </w:pPr>
      <w:bookmarkStart w:id="10" w:name="_Toc22820"/>
      <w:r>
        <w:rPr>
          <w:rFonts w:ascii="Times New Roman" w:hAnsi="Times New Roman" w:cs="Times New Roman"/>
        </w:rPr>
        <w:t>Recommendations</w:t>
      </w:r>
      <w:bookmarkEnd w:id="10"/>
    </w:p>
    <w:p w:rsidR="002D2F31" w:rsidRDefault="00060E76" w:rsidP="00602116">
      <w:pPr>
        <w:spacing w:line="360" w:lineRule="auto"/>
        <w:ind w:firstLine="720"/>
        <w:rPr>
          <w:rFonts w:cs="Times New Roman"/>
          <w:szCs w:val="24"/>
        </w:rPr>
      </w:pPr>
      <w:r>
        <w:rPr>
          <w:rFonts w:cs="Times New Roman"/>
          <w:szCs w:val="24"/>
        </w:rPr>
        <w:t>The overall idea will emphasise inclusive language and active listening to enhance stakeholder engagement. Creating an inclusive atmosphere that recognises and respects many viewpoints ensures that every voice is heard and respected. Executives need sophisticated political strategy training to navigate commercial politics while maintaining high ethical standards. In this programme, leaders will learn how clear communication promotes diversity and how to fight for inclusive ideas in political conversations.</w:t>
      </w:r>
    </w:p>
    <w:p w:rsidR="002D2F31" w:rsidRPr="00602116" w:rsidRDefault="00060E76" w:rsidP="00602116">
      <w:pPr>
        <w:spacing w:line="360" w:lineRule="auto"/>
        <w:ind w:firstLine="720"/>
        <w:rPr>
          <w:rFonts w:cs="Times New Roman"/>
          <w:szCs w:val="24"/>
        </w:rPr>
      </w:pPr>
      <w:r>
        <w:rPr>
          <w:rFonts w:cs="Times New Roman"/>
          <w:szCs w:val="24"/>
          <w:highlight w:val="yellow"/>
        </w:rPr>
        <w:t xml:space="preserve">The proposed strategy encourages explicit and concrete steps to minimise prejudice against women and promote visibility and recognition. Furthermore, visibility and recognition programme should be given importance that would include the recognition of women’s position and performance in company. </w:t>
      </w:r>
      <w:r>
        <w:rPr>
          <w:rFonts w:cs="Times New Roman"/>
          <w:szCs w:val="24"/>
        </w:rPr>
        <w:t>Diversity councils and other cultural transformation initiatives would respect and highlight diversity, encourage equality along with acknowledgment, and encourage inclusivity. This implementation technique aims to permanently transform leadership to include inclusive ideals, based on contemporary management theories.</w:t>
      </w:r>
    </w:p>
    <w:p w:rsidR="002D2F31" w:rsidRDefault="00060E76">
      <w:pPr>
        <w:pStyle w:val="Heading1"/>
        <w:spacing w:line="360" w:lineRule="auto"/>
        <w:rPr>
          <w:rFonts w:ascii="Times New Roman" w:hAnsi="Times New Roman" w:cs="Times New Roman"/>
        </w:rPr>
      </w:pPr>
      <w:bookmarkStart w:id="11" w:name="_Toc18396"/>
      <w:r>
        <w:rPr>
          <w:rFonts w:ascii="Times New Roman" w:hAnsi="Times New Roman" w:cs="Times New Roman"/>
        </w:rPr>
        <w:t>Conclusion</w:t>
      </w:r>
      <w:bookmarkEnd w:id="11"/>
    </w:p>
    <w:p w:rsidR="002D2F31" w:rsidRDefault="00060E76">
      <w:pPr>
        <w:spacing w:line="360" w:lineRule="auto"/>
        <w:ind w:firstLine="720"/>
        <w:rPr>
          <w:rFonts w:cs="Times New Roman"/>
          <w:szCs w:val="24"/>
        </w:rPr>
      </w:pPr>
      <w:r>
        <w:rPr>
          <w:rFonts w:cs="Times New Roman"/>
          <w:szCs w:val="24"/>
        </w:rPr>
        <w:t xml:space="preserve">Essentially, this implementation strategy encourages leadership in the selected business that is inclusive and diverse. Modern management theories are provided to address engineering firm issues. The objective is to change people's ideas in order to </w:t>
      </w:r>
      <w:r>
        <w:rPr>
          <w:rFonts w:cs="Times New Roman"/>
          <w:szCs w:val="24"/>
        </w:rPr>
        <w:lastRenderedPageBreak/>
        <w:t xml:space="preserve">support gender equality, challenge stereotypes, and value other viewpoints. Leaders may reject gender discrimination and discuss politics in an ethical manner. This may be accomplished by establishing an environment of gratitude, communicating effectively, and offering specialised training programmes to address this challenging problem. </w:t>
      </w:r>
    </w:p>
    <w:p w:rsidR="002D2F31" w:rsidRDefault="002D2F31"/>
    <w:p w:rsidR="002D2F31" w:rsidRDefault="002D2F31"/>
    <w:p w:rsidR="002D2F31" w:rsidRDefault="002D2F31"/>
    <w:p w:rsidR="002D2F31" w:rsidRDefault="002D2F31"/>
    <w:p w:rsidR="002D2F31" w:rsidRDefault="00060E76">
      <w:pPr>
        <w:spacing w:line="360" w:lineRule="auto"/>
        <w:rPr>
          <w:rFonts w:cs="Times New Roman"/>
          <w:szCs w:val="24"/>
        </w:rPr>
      </w:pPr>
      <w:r>
        <w:rPr>
          <w:rFonts w:cs="Times New Roman"/>
          <w:szCs w:val="24"/>
        </w:rPr>
        <w:br w:type="page"/>
      </w:r>
    </w:p>
    <w:p w:rsidR="002D2F31" w:rsidRDefault="00060E76">
      <w:pPr>
        <w:pStyle w:val="Heading1"/>
        <w:spacing w:line="360" w:lineRule="auto"/>
        <w:rPr>
          <w:rFonts w:ascii="Times New Roman" w:hAnsi="Times New Roman" w:cs="Times New Roman"/>
        </w:rPr>
      </w:pPr>
      <w:bookmarkStart w:id="12" w:name="_Toc19301"/>
      <w:r>
        <w:rPr>
          <w:rFonts w:ascii="Times New Roman" w:hAnsi="Times New Roman" w:cs="Times New Roman"/>
        </w:rPr>
        <w:lastRenderedPageBreak/>
        <w:t>References</w:t>
      </w:r>
      <w:bookmarkEnd w:id="12"/>
    </w:p>
    <w:p w:rsidR="002D2F31" w:rsidRDefault="00060E76">
      <w:pPr>
        <w:spacing w:line="360" w:lineRule="auto"/>
        <w:ind w:left="600" w:hangingChars="250" w:hanging="600"/>
        <w:rPr>
          <w:rFonts w:cs="Times New Roman"/>
          <w:szCs w:val="24"/>
        </w:rPr>
      </w:pPr>
      <w:r>
        <w:rPr>
          <w:rFonts w:cs="Times New Roman"/>
          <w:szCs w:val="24"/>
        </w:rPr>
        <w:t xml:space="preserve">Abalkhail, J.M. (2020) ‘Women managing women: hierarchical relationships and career impact’, </w:t>
      </w:r>
      <w:r>
        <w:rPr>
          <w:rFonts w:cs="Times New Roman"/>
          <w:i/>
          <w:iCs/>
          <w:szCs w:val="24"/>
        </w:rPr>
        <w:t xml:space="preserve">Career Development International, </w:t>
      </w:r>
      <w:r>
        <w:rPr>
          <w:rFonts w:cs="Times New Roman"/>
          <w:szCs w:val="24"/>
        </w:rPr>
        <w:t>25(4), pp.389-413.</w:t>
      </w:r>
    </w:p>
    <w:p w:rsidR="002D2F31" w:rsidRDefault="00060E76">
      <w:pPr>
        <w:spacing w:line="360" w:lineRule="auto"/>
        <w:ind w:left="600" w:hangingChars="250" w:hanging="600"/>
        <w:rPr>
          <w:rFonts w:cs="Times New Roman"/>
          <w:szCs w:val="24"/>
        </w:rPr>
      </w:pPr>
      <w:r>
        <w:rPr>
          <w:rFonts w:cs="Times New Roman"/>
          <w:szCs w:val="24"/>
        </w:rPr>
        <w:t xml:space="preserve">Ballakrishnen, S., Fielding-Singh, P. and Magliozzi, D. (2019) ‘Intentional invisibility: Professional women and the navigation of workplace constraints’, </w:t>
      </w:r>
      <w:r>
        <w:rPr>
          <w:rFonts w:cs="Times New Roman"/>
          <w:i/>
          <w:iCs/>
          <w:szCs w:val="24"/>
        </w:rPr>
        <w:t>Sociological Perspectives</w:t>
      </w:r>
      <w:r>
        <w:rPr>
          <w:rFonts w:cs="Times New Roman"/>
          <w:szCs w:val="24"/>
        </w:rPr>
        <w:t>, 62(1), pp.23-41.</w:t>
      </w:r>
    </w:p>
    <w:p w:rsidR="002D2F31" w:rsidRDefault="00060E76">
      <w:pPr>
        <w:spacing w:line="360" w:lineRule="auto"/>
        <w:ind w:left="600" w:hangingChars="250" w:hanging="600"/>
        <w:rPr>
          <w:rFonts w:cs="Times New Roman"/>
          <w:szCs w:val="24"/>
        </w:rPr>
      </w:pPr>
      <w:r>
        <w:rPr>
          <w:rFonts w:cs="Times New Roman"/>
          <w:szCs w:val="24"/>
        </w:rPr>
        <w:t xml:space="preserve">Bhopal, K. and Henderson, H. (2021) ‘Competing inequalities: gender versus race in higher education institutions in the UK’, </w:t>
      </w:r>
      <w:r>
        <w:rPr>
          <w:rFonts w:cs="Times New Roman"/>
          <w:i/>
          <w:iCs/>
          <w:szCs w:val="24"/>
        </w:rPr>
        <w:t xml:space="preserve">Educational Review, </w:t>
      </w:r>
      <w:r>
        <w:rPr>
          <w:rFonts w:cs="Times New Roman"/>
          <w:szCs w:val="24"/>
        </w:rPr>
        <w:t>73(2), pp.153-169.</w:t>
      </w:r>
    </w:p>
    <w:p w:rsidR="002D2F31" w:rsidRDefault="00060E76">
      <w:pPr>
        <w:spacing w:line="360" w:lineRule="auto"/>
        <w:ind w:left="600" w:hangingChars="250" w:hanging="600"/>
        <w:rPr>
          <w:rFonts w:cs="Times New Roman"/>
          <w:szCs w:val="24"/>
        </w:rPr>
      </w:pPr>
      <w:r>
        <w:rPr>
          <w:rFonts w:cs="Times New Roman"/>
          <w:szCs w:val="24"/>
        </w:rPr>
        <w:t xml:space="preserve">Casad, B.J., Franks, J.E., Garasky, C.E., Kittleman, M.M., Roesler, A.C., Hall, D.Y. and Petzel, Z.W. (2021) ‘Gender inequality in academia: Problems and solutions for women faculty in STEM’, </w:t>
      </w:r>
      <w:r>
        <w:rPr>
          <w:rFonts w:cs="Times New Roman"/>
          <w:i/>
          <w:iCs/>
          <w:szCs w:val="24"/>
        </w:rPr>
        <w:t>Journal of neuroscience research</w:t>
      </w:r>
      <w:r>
        <w:rPr>
          <w:rFonts w:cs="Times New Roman"/>
          <w:szCs w:val="24"/>
        </w:rPr>
        <w:t>, 99(1), pp.13-23.</w:t>
      </w:r>
    </w:p>
    <w:p w:rsidR="002D2F31" w:rsidRDefault="00060E76">
      <w:pPr>
        <w:spacing w:line="360" w:lineRule="auto"/>
        <w:ind w:left="600" w:hangingChars="250" w:hanging="600"/>
        <w:rPr>
          <w:rFonts w:cs="Times New Roman"/>
          <w:szCs w:val="24"/>
        </w:rPr>
      </w:pPr>
      <w:r>
        <w:rPr>
          <w:rFonts w:cs="Times New Roman"/>
          <w:szCs w:val="24"/>
        </w:rPr>
        <w:t xml:space="preserve">Clavero, S. and Galligan, Y. (2021) ‘Delivering gender justice in academia through gender equality plans? Normative and practical challenges’, </w:t>
      </w:r>
      <w:r>
        <w:rPr>
          <w:rFonts w:cs="Times New Roman"/>
          <w:i/>
          <w:iCs/>
          <w:szCs w:val="24"/>
        </w:rPr>
        <w:t>Gender, Work &amp; Organization</w:t>
      </w:r>
      <w:r>
        <w:rPr>
          <w:rFonts w:cs="Times New Roman"/>
          <w:szCs w:val="24"/>
        </w:rPr>
        <w:t>, 28(3), pp.1115-1132.</w:t>
      </w:r>
    </w:p>
    <w:p w:rsidR="002D2F31" w:rsidRDefault="00060E76">
      <w:pPr>
        <w:spacing w:line="360" w:lineRule="auto"/>
        <w:ind w:left="600" w:hangingChars="250" w:hanging="600"/>
        <w:rPr>
          <w:rFonts w:cs="Times New Roman"/>
          <w:szCs w:val="24"/>
        </w:rPr>
      </w:pPr>
      <w:r>
        <w:rPr>
          <w:rFonts w:cs="Times New Roman"/>
          <w:szCs w:val="24"/>
        </w:rPr>
        <w:t xml:space="preserve">Coleman, M. (2020) ‘Women leaders in the workplace: perceptions of career barriers, facilitators and change’, </w:t>
      </w:r>
      <w:r>
        <w:rPr>
          <w:rFonts w:cs="Times New Roman"/>
          <w:i/>
          <w:iCs/>
          <w:szCs w:val="24"/>
        </w:rPr>
        <w:t xml:space="preserve">Irish Educational Studies, </w:t>
      </w:r>
      <w:r>
        <w:rPr>
          <w:rFonts w:cs="Times New Roman"/>
          <w:szCs w:val="24"/>
        </w:rPr>
        <w:t>39(2), pp.233-253.</w:t>
      </w:r>
    </w:p>
    <w:p w:rsidR="002D2F31" w:rsidRDefault="00060E76">
      <w:pPr>
        <w:spacing w:line="360" w:lineRule="auto"/>
        <w:ind w:left="600" w:hangingChars="250" w:hanging="600"/>
        <w:rPr>
          <w:rFonts w:cs="Times New Roman"/>
          <w:szCs w:val="24"/>
        </w:rPr>
      </w:pPr>
      <w:r>
        <w:rPr>
          <w:rFonts w:cs="Times New Roman"/>
          <w:szCs w:val="24"/>
        </w:rPr>
        <w:t xml:space="preserve">Davenport, D., Natesan, S., Caldwell, M.T., Gallegos, M., Landry, A., Parsons, M. and Gottlieb, M. (2022) ‘Faculty recruitment, retention, and representation in leadership: an evidence-based guide to best practices for diversity, equity, and inclusion from the Council of Residency Directors in Emergency Medicine’, </w:t>
      </w:r>
      <w:r>
        <w:rPr>
          <w:rFonts w:cs="Times New Roman"/>
          <w:i/>
          <w:iCs/>
          <w:szCs w:val="24"/>
        </w:rPr>
        <w:t>Western Journal of Emergency Medicine</w:t>
      </w:r>
      <w:r>
        <w:rPr>
          <w:rFonts w:cs="Times New Roman"/>
          <w:szCs w:val="24"/>
        </w:rPr>
        <w:t>, 23(1), p.62.</w:t>
      </w:r>
    </w:p>
    <w:p w:rsidR="002D2F31" w:rsidRDefault="00060E76">
      <w:pPr>
        <w:spacing w:line="360" w:lineRule="auto"/>
        <w:ind w:left="600" w:hangingChars="250" w:hanging="600"/>
        <w:rPr>
          <w:rFonts w:cs="Times New Roman"/>
          <w:szCs w:val="24"/>
        </w:rPr>
      </w:pPr>
      <w:r>
        <w:rPr>
          <w:rFonts w:cs="Times New Roman"/>
          <w:szCs w:val="24"/>
        </w:rPr>
        <w:t xml:space="preserve">Eckhardt, J., Kaletka, C., Pelka, B., Unterfrauner, E., Voigt, C. and Zirngiebl, M. (2021) ‘Gender in the making: An empirical approach to understand gender relations in the maker movement’, </w:t>
      </w:r>
      <w:r>
        <w:rPr>
          <w:rFonts w:cs="Times New Roman"/>
          <w:i/>
          <w:iCs/>
          <w:szCs w:val="24"/>
        </w:rPr>
        <w:t xml:space="preserve">International Journal of Human-Computer Studies, </w:t>
      </w:r>
      <w:r>
        <w:rPr>
          <w:rFonts w:cs="Times New Roman"/>
          <w:szCs w:val="24"/>
        </w:rPr>
        <w:t>145, p.102548.</w:t>
      </w:r>
    </w:p>
    <w:p w:rsidR="002D2F31" w:rsidRDefault="00060E76">
      <w:pPr>
        <w:spacing w:line="360" w:lineRule="auto"/>
        <w:ind w:left="600" w:hangingChars="250" w:hanging="600"/>
        <w:rPr>
          <w:rFonts w:cs="Times New Roman"/>
          <w:szCs w:val="24"/>
        </w:rPr>
      </w:pPr>
      <w:r>
        <w:rPr>
          <w:rFonts w:cs="Times New Roman"/>
          <w:szCs w:val="24"/>
        </w:rPr>
        <w:t xml:space="preserve">Kearney, M.L. and Lincoln, D. (2016) ‘Gender research: women, the academy and the workplace’, </w:t>
      </w:r>
      <w:r>
        <w:rPr>
          <w:rFonts w:cs="Times New Roman"/>
          <w:i/>
          <w:iCs/>
          <w:szCs w:val="24"/>
        </w:rPr>
        <w:t>Studies in Higher Education</w:t>
      </w:r>
      <w:r>
        <w:rPr>
          <w:rFonts w:cs="Times New Roman"/>
          <w:szCs w:val="24"/>
        </w:rPr>
        <w:t>, 41(5), pp.799-800.</w:t>
      </w:r>
    </w:p>
    <w:p w:rsidR="002D2F31" w:rsidRDefault="00060E76">
      <w:pPr>
        <w:spacing w:line="360" w:lineRule="auto"/>
        <w:ind w:left="600" w:hangingChars="250" w:hanging="600"/>
        <w:rPr>
          <w:rFonts w:cs="Times New Roman"/>
          <w:szCs w:val="24"/>
        </w:rPr>
      </w:pPr>
      <w:r>
        <w:rPr>
          <w:rFonts w:cs="Times New Roman"/>
          <w:szCs w:val="24"/>
        </w:rPr>
        <w:t xml:space="preserve">Kimball, T.D., Reichard, R.J. and Chan, E.L. (2021) ‘Women's Leader Development Programs: Current Landscape and Recommendations for Future Programs’, </w:t>
      </w:r>
      <w:r>
        <w:rPr>
          <w:rFonts w:cs="Times New Roman"/>
          <w:i/>
          <w:iCs/>
          <w:szCs w:val="24"/>
        </w:rPr>
        <w:t>The Journal of Business Diversity</w:t>
      </w:r>
      <w:r>
        <w:rPr>
          <w:rFonts w:cs="Times New Roman"/>
          <w:szCs w:val="24"/>
        </w:rPr>
        <w:t>, 21(4), pp.1-19.</w:t>
      </w:r>
    </w:p>
    <w:p w:rsidR="002D2F31" w:rsidRDefault="00060E76">
      <w:pPr>
        <w:spacing w:line="360" w:lineRule="auto"/>
        <w:ind w:left="600" w:hangingChars="250" w:hanging="600"/>
        <w:rPr>
          <w:rFonts w:cs="Times New Roman"/>
          <w:szCs w:val="24"/>
        </w:rPr>
      </w:pPr>
      <w:r>
        <w:rPr>
          <w:rFonts w:cs="Times New Roman"/>
          <w:szCs w:val="24"/>
        </w:rPr>
        <w:lastRenderedPageBreak/>
        <w:t xml:space="preserve">King, M.P. (2020) </w:t>
      </w:r>
      <w:r>
        <w:rPr>
          <w:rFonts w:cs="Times New Roman"/>
          <w:i/>
          <w:iCs/>
          <w:szCs w:val="24"/>
        </w:rPr>
        <w:t xml:space="preserve">The Fix: Overcome the Invisible Barriers that are Holding Women Back at Work. </w:t>
      </w:r>
      <w:r>
        <w:rPr>
          <w:rFonts w:cs="Times New Roman"/>
          <w:szCs w:val="24"/>
        </w:rPr>
        <w:t>Atria Books.</w:t>
      </w:r>
    </w:p>
    <w:p w:rsidR="002D2F31" w:rsidRDefault="00060E76">
      <w:pPr>
        <w:spacing w:line="360" w:lineRule="auto"/>
        <w:ind w:left="600" w:hangingChars="250" w:hanging="600"/>
        <w:rPr>
          <w:rFonts w:cs="Times New Roman"/>
          <w:szCs w:val="24"/>
        </w:rPr>
      </w:pPr>
      <w:r>
        <w:rPr>
          <w:rFonts w:cs="Times New Roman"/>
          <w:szCs w:val="24"/>
        </w:rPr>
        <w:t xml:space="preserve">Kuknor, S.C. and Bhattacharya, S. (2022) ‘Inclusive leadership: new age leadership to foster organizational inclusion’, </w:t>
      </w:r>
      <w:r>
        <w:rPr>
          <w:rFonts w:cs="Times New Roman"/>
          <w:i/>
          <w:iCs/>
          <w:szCs w:val="24"/>
        </w:rPr>
        <w:t>European Journal of Training and Development</w:t>
      </w:r>
      <w:r>
        <w:rPr>
          <w:rFonts w:cs="Times New Roman"/>
          <w:szCs w:val="24"/>
        </w:rPr>
        <w:t>, 46(9), pp.771-797.</w:t>
      </w:r>
    </w:p>
    <w:p w:rsidR="002D2F31" w:rsidRDefault="00060E76">
      <w:pPr>
        <w:spacing w:line="360" w:lineRule="auto"/>
        <w:ind w:left="600" w:hangingChars="250" w:hanging="600"/>
        <w:rPr>
          <w:rFonts w:cs="Times New Roman"/>
          <w:szCs w:val="24"/>
        </w:rPr>
      </w:pPr>
      <w:r>
        <w:rPr>
          <w:rFonts w:cs="Times New Roman"/>
          <w:szCs w:val="24"/>
        </w:rPr>
        <w:t xml:space="preserve">Lau, V.W., Scott, V.L., Warren, M.A. and Bligh, M.C. (2023) ‘Moving from problems to solutions: A review of gender equality interventions at work using an ecological systems approach’, </w:t>
      </w:r>
      <w:r>
        <w:rPr>
          <w:rFonts w:cs="Times New Roman"/>
          <w:i/>
          <w:iCs/>
          <w:szCs w:val="24"/>
        </w:rPr>
        <w:t xml:space="preserve">Journal of Organizational Behavior, </w:t>
      </w:r>
      <w:r>
        <w:rPr>
          <w:rFonts w:cs="Times New Roman"/>
          <w:szCs w:val="24"/>
        </w:rPr>
        <w:t>44(2), pp.399-419.</w:t>
      </w:r>
    </w:p>
    <w:p w:rsidR="002D2F31" w:rsidRDefault="00060E76">
      <w:pPr>
        <w:spacing w:line="360" w:lineRule="auto"/>
        <w:ind w:left="600" w:hangingChars="250" w:hanging="600"/>
        <w:rPr>
          <w:rFonts w:cs="Times New Roman"/>
          <w:szCs w:val="24"/>
        </w:rPr>
      </w:pPr>
      <w:r>
        <w:rPr>
          <w:rFonts w:cs="Times New Roman"/>
          <w:szCs w:val="24"/>
        </w:rPr>
        <w:t xml:space="preserve">Lewis, S. and Humbert, A.L. (2010) ‘Discourse or reality? “Work‐life balance”, flexible working policies and the gendered organization’, </w:t>
      </w:r>
      <w:r>
        <w:rPr>
          <w:rFonts w:cs="Times New Roman"/>
          <w:i/>
          <w:iCs/>
          <w:szCs w:val="24"/>
        </w:rPr>
        <w:t xml:space="preserve">Equality, Diversity and Inclusion: An International Journal, </w:t>
      </w:r>
      <w:r>
        <w:rPr>
          <w:rFonts w:cs="Times New Roman"/>
          <w:szCs w:val="24"/>
        </w:rPr>
        <w:t>29(3), pp.239-254.</w:t>
      </w:r>
    </w:p>
    <w:p w:rsidR="002D2F31" w:rsidRDefault="00060E76">
      <w:pPr>
        <w:spacing w:line="360" w:lineRule="auto"/>
        <w:ind w:left="600" w:hangingChars="250" w:hanging="600"/>
        <w:rPr>
          <w:rFonts w:cs="Times New Roman"/>
          <w:szCs w:val="24"/>
        </w:rPr>
      </w:pPr>
      <w:r>
        <w:rPr>
          <w:rFonts w:cs="Times New Roman"/>
          <w:szCs w:val="24"/>
        </w:rPr>
        <w:t xml:space="preserve">Meng, J. and Neill, M.S. (2021) ‘Inclusive leadership and women in public relations: defining the meaning, functions, and relationships’, </w:t>
      </w:r>
      <w:r>
        <w:rPr>
          <w:rFonts w:cs="Times New Roman"/>
          <w:i/>
          <w:iCs/>
          <w:szCs w:val="24"/>
        </w:rPr>
        <w:t>Journal of Public Relations Research</w:t>
      </w:r>
      <w:r>
        <w:rPr>
          <w:rFonts w:cs="Times New Roman"/>
          <w:szCs w:val="24"/>
        </w:rPr>
        <w:t>, 33(3), pp.150-167.</w:t>
      </w:r>
    </w:p>
    <w:p w:rsidR="002D2F31" w:rsidRDefault="00060E76">
      <w:pPr>
        <w:spacing w:line="360" w:lineRule="auto"/>
        <w:ind w:left="600" w:hangingChars="250" w:hanging="600"/>
        <w:rPr>
          <w:rFonts w:cs="Times New Roman"/>
          <w:szCs w:val="24"/>
        </w:rPr>
      </w:pPr>
      <w:r>
        <w:rPr>
          <w:rFonts w:cs="Times New Roman"/>
          <w:szCs w:val="24"/>
        </w:rPr>
        <w:t xml:space="preserve">Onyeador, I.N., Hudson, S.K.T. and Lewis Jr, N.A. (2021) ‘Moving beyond implicit bias training: Policy insights for increasing organizational diversity’, </w:t>
      </w:r>
      <w:r>
        <w:rPr>
          <w:rFonts w:cs="Times New Roman"/>
          <w:i/>
          <w:iCs/>
          <w:szCs w:val="24"/>
        </w:rPr>
        <w:t>Policy Insights from the Behavioral and Brain Sciences</w:t>
      </w:r>
      <w:r>
        <w:rPr>
          <w:rFonts w:cs="Times New Roman"/>
          <w:szCs w:val="24"/>
        </w:rPr>
        <w:t>, 8(1), pp.19-26.</w:t>
      </w:r>
    </w:p>
    <w:p w:rsidR="002D2F31" w:rsidRDefault="00060E76">
      <w:pPr>
        <w:spacing w:line="360" w:lineRule="auto"/>
        <w:ind w:left="600" w:hangingChars="250" w:hanging="600"/>
        <w:rPr>
          <w:rFonts w:cs="Times New Roman"/>
          <w:szCs w:val="24"/>
        </w:rPr>
      </w:pPr>
      <w:r>
        <w:rPr>
          <w:rFonts w:cs="Times New Roman"/>
          <w:szCs w:val="24"/>
        </w:rPr>
        <w:t xml:space="preserve">Schultheiss, D.E. (2021) ‘Shining the light on women's work, this time brighter: Let's start at the top’, </w:t>
      </w:r>
      <w:r>
        <w:rPr>
          <w:rFonts w:cs="Times New Roman"/>
          <w:i/>
          <w:iCs/>
          <w:szCs w:val="24"/>
        </w:rPr>
        <w:t xml:space="preserve">Journal of Vocational Behavior, </w:t>
      </w:r>
      <w:r>
        <w:rPr>
          <w:rFonts w:cs="Times New Roman"/>
          <w:szCs w:val="24"/>
        </w:rPr>
        <w:t>126, p.103558.</w:t>
      </w:r>
    </w:p>
    <w:p w:rsidR="002D2F31" w:rsidRDefault="00060E76">
      <w:pPr>
        <w:spacing w:line="360" w:lineRule="auto"/>
        <w:ind w:left="600" w:hangingChars="250" w:hanging="600"/>
        <w:rPr>
          <w:rFonts w:cs="Times New Roman"/>
          <w:szCs w:val="24"/>
        </w:rPr>
      </w:pPr>
      <w:r>
        <w:rPr>
          <w:rFonts w:cs="Times New Roman"/>
          <w:szCs w:val="24"/>
        </w:rPr>
        <w:t>Scott, C.L. and Klein, L.B. (2022) ‘Advancing traditional leadership theories by incorporating multicultural and workforce diversity leadership traits, behaviors, and supporting practices: Implications for organizational leaders’,</w:t>
      </w:r>
      <w:r>
        <w:rPr>
          <w:rFonts w:cs="Times New Roman"/>
          <w:i/>
          <w:iCs/>
          <w:szCs w:val="24"/>
        </w:rPr>
        <w:t xml:space="preserve"> Journal of Leadership, Accountability and Ethics</w:t>
      </w:r>
      <w:r>
        <w:rPr>
          <w:rFonts w:cs="Times New Roman"/>
          <w:szCs w:val="24"/>
        </w:rPr>
        <w:t>, 19(3), pp.1-11.</w:t>
      </w:r>
    </w:p>
    <w:p w:rsidR="002D2F31" w:rsidRDefault="00060E76">
      <w:pPr>
        <w:spacing w:line="360" w:lineRule="auto"/>
        <w:ind w:left="600" w:hangingChars="250" w:hanging="600"/>
        <w:rPr>
          <w:rFonts w:cs="Times New Roman"/>
          <w:szCs w:val="24"/>
        </w:rPr>
      </w:pPr>
      <w:r>
        <w:rPr>
          <w:rFonts w:cs="Times New Roman"/>
          <w:szCs w:val="24"/>
        </w:rPr>
        <w:t xml:space="preserve">Seijts, G.H. and Milani, K.Y. (2022) ‘The application of leader character to building cultures of equity, diversity, and inclusion’, </w:t>
      </w:r>
      <w:r>
        <w:rPr>
          <w:rFonts w:cs="Times New Roman"/>
          <w:i/>
          <w:iCs/>
          <w:szCs w:val="24"/>
        </w:rPr>
        <w:t xml:space="preserve">Business Horizons, </w:t>
      </w:r>
      <w:r>
        <w:rPr>
          <w:rFonts w:cs="Times New Roman"/>
          <w:szCs w:val="24"/>
        </w:rPr>
        <w:t>65(5), pp.573-590.</w:t>
      </w:r>
    </w:p>
    <w:p w:rsidR="002D2F31" w:rsidRDefault="00060E76">
      <w:pPr>
        <w:spacing w:line="360" w:lineRule="auto"/>
        <w:ind w:left="600" w:hangingChars="250" w:hanging="600"/>
        <w:rPr>
          <w:rFonts w:cs="Times New Roman"/>
          <w:szCs w:val="24"/>
        </w:rPr>
      </w:pPr>
      <w:r>
        <w:rPr>
          <w:rFonts w:cs="Times New Roman"/>
          <w:szCs w:val="24"/>
        </w:rPr>
        <w:t xml:space="preserve">Simmons, S.V. and Yawson, R.M. (2022) ‘Developing leaders for disruptive change: An inclusive leadership approach’, </w:t>
      </w:r>
      <w:r>
        <w:rPr>
          <w:rFonts w:cs="Times New Roman"/>
          <w:i/>
          <w:iCs/>
          <w:szCs w:val="24"/>
        </w:rPr>
        <w:t>Advances in Developing Human Resources</w:t>
      </w:r>
      <w:r>
        <w:rPr>
          <w:rFonts w:cs="Times New Roman"/>
          <w:szCs w:val="24"/>
        </w:rPr>
        <w:t>, 24(4), pp.242-262.</w:t>
      </w:r>
    </w:p>
    <w:p w:rsidR="002D2F31" w:rsidRDefault="00060E76">
      <w:pPr>
        <w:spacing w:line="360" w:lineRule="auto"/>
        <w:ind w:left="600" w:hangingChars="250" w:hanging="600"/>
        <w:rPr>
          <w:rFonts w:cs="Times New Roman"/>
          <w:szCs w:val="24"/>
        </w:rPr>
      </w:pPr>
      <w:r>
        <w:rPr>
          <w:rFonts w:cs="Times New Roman"/>
          <w:szCs w:val="24"/>
        </w:rPr>
        <w:t xml:space="preserve">Stahl, G.K. and Maznevski, M.L. (2021) ‘Unraveling the effects of cultural diversity in teams: A retrospective of research on multicultural work groups and an agenda for future research’, </w:t>
      </w:r>
      <w:r>
        <w:rPr>
          <w:rFonts w:cs="Times New Roman"/>
          <w:i/>
          <w:iCs/>
          <w:szCs w:val="24"/>
        </w:rPr>
        <w:t>Journal of International Business Studies</w:t>
      </w:r>
      <w:r>
        <w:rPr>
          <w:rFonts w:cs="Times New Roman"/>
          <w:szCs w:val="24"/>
        </w:rPr>
        <w:t>, 52, pp.4-22.</w:t>
      </w:r>
    </w:p>
    <w:p w:rsidR="002D2F31" w:rsidRDefault="00060E76">
      <w:pPr>
        <w:spacing w:line="360" w:lineRule="auto"/>
        <w:ind w:left="600" w:hangingChars="250" w:hanging="600"/>
        <w:rPr>
          <w:rFonts w:cs="Times New Roman"/>
          <w:szCs w:val="24"/>
        </w:rPr>
      </w:pPr>
      <w:r>
        <w:rPr>
          <w:rFonts w:cs="Times New Roman"/>
          <w:szCs w:val="24"/>
        </w:rPr>
        <w:lastRenderedPageBreak/>
        <w:t xml:space="preserve">Velasco, M. and Sansone, C. (2019) ‘Resistance to diversity and inclusion change initiatives: Strategies for transformational leaders’, </w:t>
      </w:r>
      <w:r>
        <w:rPr>
          <w:rFonts w:cs="Times New Roman"/>
          <w:i/>
          <w:iCs/>
          <w:szCs w:val="24"/>
        </w:rPr>
        <w:t xml:space="preserve">Organization Development Journal, </w:t>
      </w:r>
      <w:r>
        <w:rPr>
          <w:rFonts w:cs="Times New Roman"/>
          <w:szCs w:val="24"/>
        </w:rPr>
        <w:t>37(3), pp.9-20.</w:t>
      </w:r>
    </w:p>
    <w:p w:rsidR="002D2F31" w:rsidRDefault="00060E76">
      <w:pPr>
        <w:spacing w:line="360" w:lineRule="auto"/>
        <w:ind w:left="600" w:hangingChars="250" w:hanging="600"/>
        <w:rPr>
          <w:rFonts w:cs="Times New Roman"/>
          <w:szCs w:val="24"/>
        </w:rPr>
      </w:pPr>
      <w:r>
        <w:rPr>
          <w:rFonts w:cs="Times New Roman"/>
          <w:szCs w:val="24"/>
        </w:rPr>
        <w:t>Vivek, R. and Chandrakumar, S. (2023) ‘BLIND SELECTION AND EMPLOYEE DIVERSITY.’</w:t>
      </w: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szCs w:val="24"/>
        </w:rPr>
      </w:pPr>
    </w:p>
    <w:p w:rsidR="002D2F31" w:rsidRDefault="002D2F31">
      <w:pPr>
        <w:spacing w:line="360" w:lineRule="auto"/>
        <w:rPr>
          <w:rFonts w:cs="Times New Roman"/>
        </w:rPr>
      </w:pPr>
    </w:p>
    <w:sectPr w:rsidR="002D2F31">
      <w:headerReference w:type="default" r:id="rId8"/>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17217" w:rsidRDefault="00C17217">
      <w:r>
        <w:separator/>
      </w:r>
    </w:p>
  </w:endnote>
  <w:endnote w:type="continuationSeparator" w:id="0">
    <w:p w:rsidR="00C17217" w:rsidRDefault="00C172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notTrueType/>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17217" w:rsidRDefault="00C17217">
      <w:r>
        <w:separator/>
      </w:r>
    </w:p>
  </w:footnote>
  <w:footnote w:type="continuationSeparator" w:id="0">
    <w:p w:rsidR="00C17217" w:rsidRDefault="00C1721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D2F31" w:rsidRDefault="00060E76">
    <w:pPr>
      <w:pStyle w:val="Header"/>
    </w:pPr>
    <w:r>
      <w:rPr>
        <w:noProof/>
        <w:lang w:eastAsia="en-US"/>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2D2F31" w:rsidRDefault="00060E76">
                          <w:pPr>
                            <w:pStyle w:val="Header"/>
                          </w:pPr>
                          <w:r>
                            <w:fldChar w:fldCharType="begin"/>
                          </w:r>
                          <w:r>
                            <w:instrText xml:space="preserve"> PAGE  \* MERGEFORMAT </w:instrText>
                          </w:r>
                          <w:r>
                            <w:fldChar w:fldCharType="separate"/>
                          </w:r>
                          <w:r w:rsidR="00651951">
                            <w:rPr>
                              <w:noProof/>
                            </w:rP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" filled="f" stroked="f" strokeweight=".5pt">
              <v:textbox style="mso-fit-shape-to-text:t" inset="0,0,0,0">
                <w:txbxContent>
                  <w:p w:rsidR="002D2F31" w:rsidRDefault="00060E76">
                    <w:pPr>
                      <w:pStyle w:val="Header"/>
                    </w:pPr>
                    <w:r>
                      <w:fldChar w:fldCharType="begin"/>
                    </w:r>
                    <w:r>
                      <w:instrText xml:space="preserve"> PAGE  \* MERGEFORMAT </w:instrText>
                    </w:r>
                    <w:r>
                      <w:fldChar w:fldCharType="separate"/>
                    </w:r>
                    <w:r w:rsidR="00651951">
                      <w:rPr>
                        <w:noProof/>
                      </w:rPr>
                      <w:t>1</w:t>
                    </w:r>
                    <w:r>
                      <w:fldChar w:fldCharType="end"/>
                    </w:r>
                  </w:p>
                </w:txbxContent>
              </v:textbox>
              <w10:wrap anchorx="margin"/>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nsid w:val="20F5A0E8"/>
    <w:multiLevelType w:val="singleLevel"/>
    <w:tmpl w:val="20F5A0E8"/>
    <w:lvl w:ilvl="0">
      <w:start w:val="1"/>
      <w:numFmt w:val="decimal"/>
      <w:lvlText w:val="%1."/>
      <w:lvlJc w:val="left"/>
      <w:pPr>
        <w:tabs>
          <w:tab w:val="left" w:pos="425"/>
        </w:tabs>
        <w:ind w:left="425" w:hanging="425"/>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357"/>
    <w:rsid w:val="00050A31"/>
    <w:rsid w:val="00060E76"/>
    <w:rsid w:val="000716D2"/>
    <w:rsid w:val="00071AAB"/>
    <w:rsid w:val="000B76C4"/>
    <w:rsid w:val="000C5610"/>
    <w:rsid w:val="000E6552"/>
    <w:rsid w:val="000F3A4F"/>
    <w:rsid w:val="000F59AC"/>
    <w:rsid w:val="00116357"/>
    <w:rsid w:val="001364FE"/>
    <w:rsid w:val="001368DD"/>
    <w:rsid w:val="00147DB3"/>
    <w:rsid w:val="001518A5"/>
    <w:rsid w:val="00154C0B"/>
    <w:rsid w:val="00170095"/>
    <w:rsid w:val="00170E4F"/>
    <w:rsid w:val="001743F4"/>
    <w:rsid w:val="00187C33"/>
    <w:rsid w:val="001936B7"/>
    <w:rsid w:val="00196AB1"/>
    <w:rsid w:val="00201333"/>
    <w:rsid w:val="00210FA7"/>
    <w:rsid w:val="00216417"/>
    <w:rsid w:val="0026631D"/>
    <w:rsid w:val="002C2F53"/>
    <w:rsid w:val="002D2F31"/>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02116"/>
    <w:rsid w:val="006128EF"/>
    <w:rsid w:val="006264B4"/>
    <w:rsid w:val="00643033"/>
    <w:rsid w:val="00644CC3"/>
    <w:rsid w:val="00651951"/>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17217"/>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11533D3"/>
    <w:rsid w:val="012226E8"/>
    <w:rsid w:val="012845F2"/>
    <w:rsid w:val="01496997"/>
    <w:rsid w:val="01C14B70"/>
    <w:rsid w:val="01C80EB6"/>
    <w:rsid w:val="02684F7E"/>
    <w:rsid w:val="032640B7"/>
    <w:rsid w:val="036B4B24"/>
    <w:rsid w:val="03A54DDB"/>
    <w:rsid w:val="03DF12E7"/>
    <w:rsid w:val="044C3E9A"/>
    <w:rsid w:val="045741C8"/>
    <w:rsid w:val="05176DE6"/>
    <w:rsid w:val="057316FE"/>
    <w:rsid w:val="057916A4"/>
    <w:rsid w:val="05E23036"/>
    <w:rsid w:val="06AD12DC"/>
    <w:rsid w:val="077D4FD6"/>
    <w:rsid w:val="07C44B81"/>
    <w:rsid w:val="07CF4DE0"/>
    <w:rsid w:val="082A41F5"/>
    <w:rsid w:val="0856053C"/>
    <w:rsid w:val="085A36BF"/>
    <w:rsid w:val="08612B75"/>
    <w:rsid w:val="088F199B"/>
    <w:rsid w:val="08C330EF"/>
    <w:rsid w:val="08EE19B4"/>
    <w:rsid w:val="09E61F4C"/>
    <w:rsid w:val="09FA03AD"/>
    <w:rsid w:val="0AAD3F14"/>
    <w:rsid w:val="0AB92106"/>
    <w:rsid w:val="0ACB34C4"/>
    <w:rsid w:val="0B300C6A"/>
    <w:rsid w:val="0BBC084E"/>
    <w:rsid w:val="0BF132A6"/>
    <w:rsid w:val="0BFD70B9"/>
    <w:rsid w:val="0D1E1FD0"/>
    <w:rsid w:val="0D3F56F5"/>
    <w:rsid w:val="0DDC21D8"/>
    <w:rsid w:val="0E490E7C"/>
    <w:rsid w:val="0F133DC8"/>
    <w:rsid w:val="0F530435"/>
    <w:rsid w:val="0F582C67"/>
    <w:rsid w:val="0F5E67C6"/>
    <w:rsid w:val="10405466"/>
    <w:rsid w:val="105318FC"/>
    <w:rsid w:val="11AF0294"/>
    <w:rsid w:val="120E3962"/>
    <w:rsid w:val="123E0DFD"/>
    <w:rsid w:val="127E78FE"/>
    <w:rsid w:val="12FE29E5"/>
    <w:rsid w:val="131C1B14"/>
    <w:rsid w:val="13232374"/>
    <w:rsid w:val="13640E82"/>
    <w:rsid w:val="14186104"/>
    <w:rsid w:val="14E05B4D"/>
    <w:rsid w:val="15CD44D1"/>
    <w:rsid w:val="164C60A4"/>
    <w:rsid w:val="166511CC"/>
    <w:rsid w:val="176B2C78"/>
    <w:rsid w:val="184A4865"/>
    <w:rsid w:val="18904FD9"/>
    <w:rsid w:val="19EA4320"/>
    <w:rsid w:val="19F37FE9"/>
    <w:rsid w:val="1C496F5B"/>
    <w:rsid w:val="1C575998"/>
    <w:rsid w:val="1CAF5D9E"/>
    <w:rsid w:val="1CD13D54"/>
    <w:rsid w:val="1CFC44B9"/>
    <w:rsid w:val="1CFD5B6F"/>
    <w:rsid w:val="1DA52E33"/>
    <w:rsid w:val="1E5C3AED"/>
    <w:rsid w:val="1EA42DFD"/>
    <w:rsid w:val="1F4B12EE"/>
    <w:rsid w:val="1FCF33BD"/>
    <w:rsid w:val="20DE5990"/>
    <w:rsid w:val="20F4351F"/>
    <w:rsid w:val="211563F1"/>
    <w:rsid w:val="21207866"/>
    <w:rsid w:val="21360CBE"/>
    <w:rsid w:val="21472E52"/>
    <w:rsid w:val="21667FDB"/>
    <w:rsid w:val="217E1DFE"/>
    <w:rsid w:val="22261312"/>
    <w:rsid w:val="22695E7F"/>
    <w:rsid w:val="2284712E"/>
    <w:rsid w:val="22B2186B"/>
    <w:rsid w:val="235D040F"/>
    <w:rsid w:val="236E45FA"/>
    <w:rsid w:val="23E24AEB"/>
    <w:rsid w:val="246C4A50"/>
    <w:rsid w:val="24760BE2"/>
    <w:rsid w:val="253D5128"/>
    <w:rsid w:val="25816B16"/>
    <w:rsid w:val="25A34ACC"/>
    <w:rsid w:val="26686E14"/>
    <w:rsid w:val="2683543F"/>
    <w:rsid w:val="268A1547"/>
    <w:rsid w:val="27431FFA"/>
    <w:rsid w:val="278241EB"/>
    <w:rsid w:val="27CB53D6"/>
    <w:rsid w:val="281B61D1"/>
    <w:rsid w:val="28275AF0"/>
    <w:rsid w:val="2857083D"/>
    <w:rsid w:val="288E2F16"/>
    <w:rsid w:val="28E571A8"/>
    <w:rsid w:val="29315FA2"/>
    <w:rsid w:val="295B4CF6"/>
    <w:rsid w:val="296A5FA3"/>
    <w:rsid w:val="29C33313"/>
    <w:rsid w:val="2ADA635E"/>
    <w:rsid w:val="2AE87872"/>
    <w:rsid w:val="2B3B50FE"/>
    <w:rsid w:val="2B88197A"/>
    <w:rsid w:val="2C54101F"/>
    <w:rsid w:val="2C936EF7"/>
    <w:rsid w:val="2DC81EA9"/>
    <w:rsid w:val="2ED36EE3"/>
    <w:rsid w:val="2EE203F7"/>
    <w:rsid w:val="2F0A15BB"/>
    <w:rsid w:val="2F1F5CDD"/>
    <w:rsid w:val="2F20078C"/>
    <w:rsid w:val="2F731EE4"/>
    <w:rsid w:val="2F781BEF"/>
    <w:rsid w:val="2F866987"/>
    <w:rsid w:val="2FD46A86"/>
    <w:rsid w:val="31584683"/>
    <w:rsid w:val="316A459E"/>
    <w:rsid w:val="319E1574"/>
    <w:rsid w:val="31C9181C"/>
    <w:rsid w:val="3265353C"/>
    <w:rsid w:val="32931D84"/>
    <w:rsid w:val="3359184A"/>
    <w:rsid w:val="33C137F8"/>
    <w:rsid w:val="33F62FD6"/>
    <w:rsid w:val="348D03ED"/>
    <w:rsid w:val="35085D0E"/>
    <w:rsid w:val="352E507A"/>
    <w:rsid w:val="353E0766"/>
    <w:rsid w:val="35F67F15"/>
    <w:rsid w:val="370E09E1"/>
    <w:rsid w:val="37CB4618"/>
    <w:rsid w:val="37DC2334"/>
    <w:rsid w:val="37E66B2B"/>
    <w:rsid w:val="382736AC"/>
    <w:rsid w:val="38604B0B"/>
    <w:rsid w:val="38EE7BF2"/>
    <w:rsid w:val="391E61C3"/>
    <w:rsid w:val="398A32F4"/>
    <w:rsid w:val="39D65971"/>
    <w:rsid w:val="3A4614A9"/>
    <w:rsid w:val="3A690764"/>
    <w:rsid w:val="3B00415A"/>
    <w:rsid w:val="3B2B72AB"/>
    <w:rsid w:val="3C934571"/>
    <w:rsid w:val="3C941FF2"/>
    <w:rsid w:val="3CF93DD2"/>
    <w:rsid w:val="3CFB4ABD"/>
    <w:rsid w:val="3D4E4CA4"/>
    <w:rsid w:val="3DB36BC6"/>
    <w:rsid w:val="3E2242F1"/>
    <w:rsid w:val="3E224C7C"/>
    <w:rsid w:val="3E3C10A9"/>
    <w:rsid w:val="3E962A3C"/>
    <w:rsid w:val="3EB62F71"/>
    <w:rsid w:val="3FD16F41"/>
    <w:rsid w:val="40042C13"/>
    <w:rsid w:val="40A06315"/>
    <w:rsid w:val="40C4524F"/>
    <w:rsid w:val="41271A71"/>
    <w:rsid w:val="4141261B"/>
    <w:rsid w:val="41B6005B"/>
    <w:rsid w:val="4221770A"/>
    <w:rsid w:val="42382BB3"/>
    <w:rsid w:val="42EA4BD5"/>
    <w:rsid w:val="433E465F"/>
    <w:rsid w:val="43404E88"/>
    <w:rsid w:val="43A06C82"/>
    <w:rsid w:val="43B70AA5"/>
    <w:rsid w:val="43CA7AC6"/>
    <w:rsid w:val="43E828F9"/>
    <w:rsid w:val="448B4301"/>
    <w:rsid w:val="44F639B0"/>
    <w:rsid w:val="45084F4F"/>
    <w:rsid w:val="4604196F"/>
    <w:rsid w:val="460B237F"/>
    <w:rsid w:val="463D754A"/>
    <w:rsid w:val="468A3DC6"/>
    <w:rsid w:val="474B6403"/>
    <w:rsid w:val="47883CE9"/>
    <w:rsid w:val="47C3064B"/>
    <w:rsid w:val="482D2279"/>
    <w:rsid w:val="48357685"/>
    <w:rsid w:val="48F851C5"/>
    <w:rsid w:val="49787079"/>
    <w:rsid w:val="49BC5519"/>
    <w:rsid w:val="49E6704C"/>
    <w:rsid w:val="4AA8710A"/>
    <w:rsid w:val="4ACC5BD9"/>
    <w:rsid w:val="4C1827E3"/>
    <w:rsid w:val="4C30370D"/>
    <w:rsid w:val="4C4B55BC"/>
    <w:rsid w:val="4C7B030A"/>
    <w:rsid w:val="4DA84E2C"/>
    <w:rsid w:val="4DBC6717"/>
    <w:rsid w:val="4DE6755C"/>
    <w:rsid w:val="4E6A1D33"/>
    <w:rsid w:val="4F404315"/>
    <w:rsid w:val="4F7E6378"/>
    <w:rsid w:val="4FE44E23"/>
    <w:rsid w:val="51861271"/>
    <w:rsid w:val="51BE5B76"/>
    <w:rsid w:val="51C67537"/>
    <w:rsid w:val="51D91CC5"/>
    <w:rsid w:val="52447E05"/>
    <w:rsid w:val="5248208F"/>
    <w:rsid w:val="527505D4"/>
    <w:rsid w:val="52B626C2"/>
    <w:rsid w:val="535534C5"/>
    <w:rsid w:val="53874F99"/>
    <w:rsid w:val="53EA723C"/>
    <w:rsid w:val="541E2ED7"/>
    <w:rsid w:val="541F6B7C"/>
    <w:rsid w:val="54C52422"/>
    <w:rsid w:val="552E0191"/>
    <w:rsid w:val="558746DF"/>
    <w:rsid w:val="55D3724A"/>
    <w:rsid w:val="56081C46"/>
    <w:rsid w:val="564D31A3"/>
    <w:rsid w:val="567D5EF0"/>
    <w:rsid w:val="56866053"/>
    <w:rsid w:val="570A485B"/>
    <w:rsid w:val="572C74B4"/>
    <w:rsid w:val="57A77F5C"/>
    <w:rsid w:val="57B85C78"/>
    <w:rsid w:val="58C3742F"/>
    <w:rsid w:val="59D601F1"/>
    <w:rsid w:val="59EA31D2"/>
    <w:rsid w:val="5AC617EC"/>
    <w:rsid w:val="5B3C3F82"/>
    <w:rsid w:val="5BD53192"/>
    <w:rsid w:val="5C74717A"/>
    <w:rsid w:val="5CBB6CB0"/>
    <w:rsid w:val="5CCB6F4A"/>
    <w:rsid w:val="5D37407B"/>
    <w:rsid w:val="5D891771"/>
    <w:rsid w:val="5DA73E2C"/>
    <w:rsid w:val="5E381AA5"/>
    <w:rsid w:val="5EA57AD5"/>
    <w:rsid w:val="5EAC7460"/>
    <w:rsid w:val="5EC535BB"/>
    <w:rsid w:val="5F1A223F"/>
    <w:rsid w:val="5F33643F"/>
    <w:rsid w:val="60312ADF"/>
    <w:rsid w:val="60E42582"/>
    <w:rsid w:val="618D2D9B"/>
    <w:rsid w:val="62595967"/>
    <w:rsid w:val="627F59DD"/>
    <w:rsid w:val="629247B9"/>
    <w:rsid w:val="62D27BAF"/>
    <w:rsid w:val="634A2CF1"/>
    <w:rsid w:val="64E7729A"/>
    <w:rsid w:val="64E84BD6"/>
    <w:rsid w:val="652470FF"/>
    <w:rsid w:val="654153AA"/>
    <w:rsid w:val="65B9428F"/>
    <w:rsid w:val="65DB55A9"/>
    <w:rsid w:val="672B1A53"/>
    <w:rsid w:val="67A658F0"/>
    <w:rsid w:val="67CF6CDD"/>
    <w:rsid w:val="67EA5309"/>
    <w:rsid w:val="6844251F"/>
    <w:rsid w:val="6876296E"/>
    <w:rsid w:val="68F760C0"/>
    <w:rsid w:val="69ED2D1F"/>
    <w:rsid w:val="6A015CF8"/>
    <w:rsid w:val="6ACC2E43"/>
    <w:rsid w:val="6AFB2955"/>
    <w:rsid w:val="6B2C30A7"/>
    <w:rsid w:val="6B3D1A70"/>
    <w:rsid w:val="6BA563A9"/>
    <w:rsid w:val="6BB75482"/>
    <w:rsid w:val="6C8B71CF"/>
    <w:rsid w:val="6CFF3162"/>
    <w:rsid w:val="6D9D06E2"/>
    <w:rsid w:val="6E5E2D1F"/>
    <w:rsid w:val="6E8354DD"/>
    <w:rsid w:val="6F223D61"/>
    <w:rsid w:val="6F6C545A"/>
    <w:rsid w:val="6F912D00"/>
    <w:rsid w:val="6FB029E4"/>
    <w:rsid w:val="700468D2"/>
    <w:rsid w:val="7016321B"/>
    <w:rsid w:val="710340C8"/>
    <w:rsid w:val="714A6F91"/>
    <w:rsid w:val="72414F83"/>
    <w:rsid w:val="72B2653C"/>
    <w:rsid w:val="72C5775B"/>
    <w:rsid w:val="736D1920"/>
    <w:rsid w:val="739B2C7A"/>
    <w:rsid w:val="73C93B06"/>
    <w:rsid w:val="744C085C"/>
    <w:rsid w:val="745942EE"/>
    <w:rsid w:val="74672DAE"/>
    <w:rsid w:val="754937FF"/>
    <w:rsid w:val="7566608C"/>
    <w:rsid w:val="757A6542"/>
    <w:rsid w:val="75C46DC3"/>
    <w:rsid w:val="75C621AB"/>
    <w:rsid w:val="76592B3A"/>
    <w:rsid w:val="76DD3FCF"/>
    <w:rsid w:val="76EA42AC"/>
    <w:rsid w:val="76EB2F5B"/>
    <w:rsid w:val="773B301E"/>
    <w:rsid w:val="77731088"/>
    <w:rsid w:val="77877D29"/>
    <w:rsid w:val="783A77CC"/>
    <w:rsid w:val="784F3EEE"/>
    <w:rsid w:val="78567F19"/>
    <w:rsid w:val="78C728B3"/>
    <w:rsid w:val="78FE1FE6"/>
    <w:rsid w:val="7A286FF8"/>
    <w:rsid w:val="7A534F4C"/>
    <w:rsid w:val="7AA443C3"/>
    <w:rsid w:val="7AE17F86"/>
    <w:rsid w:val="7B2777E0"/>
    <w:rsid w:val="7B632E9C"/>
    <w:rsid w:val="7BCA1FA7"/>
    <w:rsid w:val="7BEE7C1D"/>
    <w:rsid w:val="7C081A8C"/>
    <w:rsid w:val="7D2C2AE8"/>
    <w:rsid w:val="7E36681D"/>
    <w:rsid w:val="7EB1452A"/>
    <w:rsid w:val="7ED6437B"/>
    <w:rsid w:val="7EE14BB1"/>
    <w:rsid w:val="7F5411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EC413B88-0BC4-4BF9-8F06-1EE10B32B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unhideWhenUsed="1" w:qFormat="1"/>
    <w:lsdException w:name="heading 3"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qFormat="1"/>
    <w:lsdException w:name="index 2" w:qFormat="1"/>
    <w:lsdException w:name="index 3" w:qFormat="1"/>
    <w:lsdException w:name="index 4" w:qFormat="1"/>
    <w:lsdException w:name="index 5" w:qFormat="1"/>
    <w:lsdException w:name="index 6" w:qFormat="1"/>
    <w:lsdException w:name="index 7" w:qFormat="1"/>
    <w:lsdException w:name="index 8" w:qFormat="1"/>
    <w:lsdException w:name="index 9" w:qFormat="1"/>
    <w:lsdException w:name="toc 2" w:qFormat="1"/>
    <w:lsdException w:name="toc 7" w:qFormat="1"/>
    <w:lsdException w:name="toc 9" w:qFormat="1"/>
    <w:lsdException w:name="Normal Indent" w:qFormat="1"/>
    <w:lsdException w:name="footnote text" w:qFormat="1"/>
    <w:lsdException w:name="annotation text" w:qFormat="1"/>
    <w:lsdException w:name="header" w:qFormat="1"/>
    <w:lsdException w:name="footer" w:qFormat="1"/>
    <w:lsdException w:name="index heading" w:qFormat="1"/>
    <w:lsdException w:name="caption" w:semiHidden="1" w:unhideWhenUsed="1" w:qFormat="1"/>
    <w:lsdException w:name="table of figures" w:qFormat="1"/>
    <w:lsdException w:name="envelope address" w:qFormat="1"/>
    <w:lsdException w:name="envelope return" w:qFormat="1"/>
    <w:lsdException w:name="footnote reference" w:qFormat="1"/>
    <w:lsdException w:name="annotation reference" w:qFormat="1"/>
    <w:lsdException w:name="line number" w:qFormat="1"/>
    <w:lsdException w:name="page number" w:qFormat="1"/>
    <w:lsdException w:name="endnote reference" w:qFormat="1"/>
    <w:lsdException w:name="endnote text" w:qFormat="1"/>
    <w:lsdException w:name="macro" w:qFormat="1"/>
    <w:lsdException w:name="toa heading" w:qFormat="1"/>
    <w:lsdException w:name="List" w:qFormat="1"/>
    <w:lsdException w:name="List Bullet" w:qFormat="1"/>
    <w:lsdException w:name="List Number" w:qFormat="1"/>
    <w:lsdException w:name="List 2" w:qFormat="1"/>
    <w:lsdException w:name="List 3" w:qFormat="1"/>
    <w:lsdException w:name="List 4" w:qFormat="1"/>
    <w:lsdException w:name="List 5" w:qFormat="1"/>
    <w:lsdException w:name="List Bullet 2" w:qFormat="1"/>
    <w:lsdException w:name="List Bullet 3" w:qFormat="1"/>
    <w:lsdException w:name="List Bullet 4" w:qFormat="1"/>
    <w:lsdException w:name="List Bullet 5" w:qFormat="1"/>
    <w:lsdException w:name="List Number 2" w:qFormat="1"/>
    <w:lsdException w:name="List Number 3" w:qFormat="1"/>
    <w:lsdException w:name="List Number 4" w:qFormat="1"/>
    <w:lsdException w:name="List Number 5" w:qFormat="1"/>
    <w:lsdException w:name="Title" w:qFormat="1"/>
    <w:lsdException w:name="Closing" w:qFormat="1"/>
    <w:lsdException w:name="Signature" w:qFormat="1"/>
    <w:lsdException w:name="Default Paragraph Font" w:semiHidden="1"/>
    <w:lsdException w:name="Body Text" w:qFormat="1"/>
    <w:lsdException w:name="Body Text Indent" w:qFormat="1"/>
    <w:lsdException w:name="List Continue" w:qFormat="1"/>
    <w:lsdException w:name="List Continue 2" w:qFormat="1"/>
    <w:lsdException w:name="List Continue 3" w:qFormat="1"/>
    <w:lsdException w:name="List Continue 4" w:qFormat="1"/>
    <w:lsdException w:name="List Continue 5" w:qFormat="1"/>
    <w:lsdException w:name="Message Header" w:qFormat="1"/>
    <w:lsdException w:name="Subtitle" w:qFormat="1"/>
    <w:lsdException w:name="Salutation" w:qFormat="1"/>
    <w:lsdException w:name="Date" w:qFormat="1"/>
    <w:lsdException w:name="Body Text First Indent 2" w:qFormat="1"/>
    <w:lsdException w:name="Note Heading" w:qFormat="1"/>
    <w:lsdException w:name="Body Text 3" w:qFormat="1"/>
    <w:lsdException w:name="Body Text Indent 3" w:qFormat="1"/>
    <w:lsdException w:name="Block Text" w:qFormat="1"/>
    <w:lsdException w:name="Hyperlink" w:qFormat="1"/>
    <w:lsdException w:name="FollowedHyperlink" w:qFormat="1"/>
    <w:lsdException w:name="Strong" w:qFormat="1"/>
    <w:lsdException w:name="Emphasis" w:qFormat="1"/>
    <w:lsdException w:name="Document Map" w:qFormat="1"/>
    <w:lsdException w:name="Plain Text" w:qFormat="1"/>
    <w:lsdException w:name="E-mail Signature" w:qFormat="1"/>
    <w:lsdException w:name="HTML Top of Form" w:semiHidden="1" w:uiPriority="99" w:unhideWhenUsed="1"/>
    <w:lsdException w:name="HTML Bottom of Form" w:semiHidden="1" w:uiPriority="99" w:unhideWhenUsed="1"/>
    <w:lsdException w:name="Normal (Web)" w:qFormat="1"/>
    <w:lsdException w:name="HTML Acronym" w:qFormat="1"/>
    <w:lsdException w:name="HTML Address" w:qFormat="1"/>
    <w:lsdException w:name="HTML Cite" w:qFormat="1"/>
    <w:lsdException w:name="HTML Code" w:qFormat="1"/>
    <w:lsdException w:name="HTML Definition" w:qFormat="1"/>
    <w:lsdException w:name="HTML Keyboard" w:qFormat="1"/>
    <w:lsdException w:name="HTML Preformatted" w:qFormat="1"/>
    <w:lsdException w:name="HTML Sample" w:qFormat="1"/>
    <w:lsdException w:name="HTML Typewriter" w:qFormat="1"/>
    <w:lsdException w:name="HTML Variable" w:qFormat="1"/>
    <w:lsdException w:name="Normal Table" w:semiHidden="1"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qFormat="1"/>
    <w:lsdException w:name="Table Simple 2" w:semiHidden="1" w:unhideWhenUsed="1"/>
    <w:lsdException w:name="Table Simple 3" w:semiHidden="1" w:unhideWhenUsed="1" w:qFormat="1"/>
    <w:lsdException w:name="Table Classic 1" w:semiHidden="1" w:unhideWhenUsed="1"/>
    <w:lsdException w:name="Table Classic 2" w:semiHidden="1" w:unhideWhenUsed="1" w:qFormat="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qFormat="1"/>
    <w:lsdException w:name="Table Grid 3" w:semiHidden="1" w:unhideWhenUsed="1"/>
    <w:lsdException w:name="Table Grid 4" w:semiHidden="1" w:unhideWhenUsed="1"/>
    <w:lsdException w:name="Table Grid 5" w:semiHidden="1" w:unhideWhenUsed="1"/>
    <w:lsdException w:name="Table Grid 6" w:semiHidden="1" w:unhideWhenUsed="1" w:qFormat="1"/>
    <w:lsdException w:name="Table Grid 7" w:semiHidden="1" w:unhideWhenUsed="1"/>
    <w:lsdException w:name="Table Grid 8" w:semiHidden="1" w:unhideWhenUsed="1"/>
    <w:lsdException w:name="Table List 1" w:semiHidden="1" w:unhideWhenUsed="1"/>
    <w:lsdException w:name="Table List 2" w:semiHidden="1" w:unhideWhenUsed="1" w:qFormat="1"/>
    <w:lsdException w:name="Table List 3" w:semiHidden="1" w:unhideWhenUsed="1" w:qFormat="1"/>
    <w:lsdException w:name="Table List 4" w:semiHidden="1" w:unhideWhenUsed="1" w:qFormat="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qFormat="1"/>
    <w:lsdException w:name="Table Contemporary" w:semiHidden="1" w:unhideWhenUsed="1"/>
    <w:lsdException w:name="Table Elegant" w:semiHidden="1" w:unhideWhenUsed="1"/>
    <w:lsdException w:name="Table Professional" w:semiHidden="1" w:unhideWhenUsed="1" w:qFormat="1"/>
    <w:lsdException w:name="Table Subtle 1" w:semiHidden="1" w:unhideWhenUsed="1"/>
    <w:lsdException w:name="Table Subtle 2" w:semiHidden="1" w:unhideWhenUsed="1"/>
    <w:lsdException w:name="Table Web 1" w:semiHidden="1" w:unhideWhenUsed="1" w:qFormat="1"/>
    <w:lsdException w:name="Table Web 2" w:semiHidden="1" w:unhideWhenUsed="1" w:qFormat="1"/>
    <w:lsdException w:name="Table Web 3" w:semiHidden="1" w:unhideWhenUsed="1"/>
    <w:lsdException w:name="Balloon Text" w:qFormat="1"/>
    <w:lsdException w:name="Table Theme" w:semiHidden="1" w:unhideWhenUsed="1"/>
    <w:lsdException w:name="Placeholder Text" w:semiHidden="1" w:uiPriority="99"/>
    <w:lsdException w:name="No Spacing" w:uiPriority="99"/>
    <w:lsdException w:name="Light Shading" w:uiPriority="60" w:qFormat="1"/>
    <w:lsdException w:name="Light List" w:uiPriority="61" w:qFormat="1"/>
    <w:lsdException w:name="Light Grid" w:uiPriority="62"/>
    <w:lsdException w:name="Medium Shading 1" w:uiPriority="63"/>
    <w:lsdException w:name="Medium Shading 2" w:uiPriority="64"/>
    <w:lsdException w:name="Medium List 1" w:uiPriority="65" w:qFormat="1"/>
    <w:lsdException w:name="Medium List 2" w:uiPriority="66" w:qFormat="1"/>
    <w:lsdException w:name="Medium Grid 1" w:uiPriority="67" w:qFormat="1"/>
    <w:lsdException w:name="Medium Grid 2" w:uiPriority="68"/>
    <w:lsdException w:name="Medium Grid 3" w:uiPriority="69" w:qFormat="1"/>
    <w:lsdException w:name="Dark List" w:uiPriority="70"/>
    <w:lsdException w:name="Colorful Shading" w:uiPriority="71" w:qFormat="1"/>
    <w:lsdException w:name="Colorful List" w:uiPriority="72" w:qFormat="1"/>
    <w:lsdException w:name="Colorful Grid" w:uiPriority="73" w:qFormat="1"/>
    <w:lsdException w:name="Light Shading Accent 1" w:uiPriority="60" w:qFormat="1"/>
    <w:lsdException w:name="Light List Accent 1" w:uiPriority="61"/>
    <w:lsdException w:name="Light Grid Accent 1" w:uiPriority="62"/>
    <w:lsdException w:name="Medium Shading 1 Accent 1" w:uiPriority="63"/>
    <w:lsdException w:name="Medium Shading 2 Accent 1" w:uiPriority="64" w:qFormat="1"/>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qFormat="1"/>
    <w:lsdException w:name="Medium Grid 1 Accent 1" w:uiPriority="67" w:qFormat="1"/>
    <w:lsdException w:name="Medium Grid 2 Accent 1" w:uiPriority="68"/>
    <w:lsdException w:name="Medium Grid 3 Accent 1" w:uiPriority="69" w:qFormat="1"/>
    <w:lsdException w:name="Dark List Accent 1" w:uiPriority="70"/>
    <w:lsdException w:name="Colorful Shading Accent 1" w:uiPriority="71"/>
    <w:lsdException w:name="Colorful List Accent 1" w:uiPriority="72"/>
    <w:lsdException w:name="Colorful Grid Accent 1" w:uiPriority="73" w:qFormat="1"/>
    <w:lsdException w:name="Light Shading Accent 2" w:uiPriority="60"/>
    <w:lsdException w:name="Light List Accent 2" w:uiPriority="61" w:qFormat="1"/>
    <w:lsdException w:name="Light Grid Accent 2" w:uiPriority="62"/>
    <w:lsdException w:name="Medium Shading 1 Accent 2" w:uiPriority="63"/>
    <w:lsdException w:name="Medium Shading 2 Accent 2" w:uiPriority="64"/>
    <w:lsdException w:name="Medium List 1 Accent 2" w:uiPriority="65" w:qFormat="1"/>
    <w:lsdException w:name="Medium List 2 Accent 2" w:uiPriority="66" w:qFormat="1"/>
    <w:lsdException w:name="Medium Grid 1 Accent 2" w:uiPriority="67" w:qFormat="1"/>
    <w:lsdException w:name="Medium Grid 2 Accent 2" w:uiPriority="68"/>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lsdException w:name="Light Shading Accent 3" w:uiPriority="60"/>
    <w:lsdException w:name="Light List Accent 3" w:uiPriority="61" w:qFormat="1"/>
    <w:lsdException w:name="Light Grid Accent 3" w:uiPriority="62"/>
    <w:lsdException w:name="Medium Shading 1 Accent 3" w:uiPriority="63"/>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lsdException w:name="Medium Grid 3 Accent 3" w:uiPriority="69"/>
    <w:lsdException w:name="Dark List Accent 3" w:uiPriority="70" w:qFormat="1"/>
    <w:lsdException w:name="Colorful Shading Accent 3" w:uiPriority="71"/>
    <w:lsdException w:name="Colorful List Accent 3" w:uiPriority="72"/>
    <w:lsdException w:name="Colorful Grid Accent 3" w:uiPriority="73" w:qFormat="1"/>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lsdException w:name="Medium Grid 3 Accent 4" w:uiPriority="69" w:qFormat="1"/>
    <w:lsdException w:name="Dark List Accent 4" w:uiPriority="70"/>
    <w:lsdException w:name="Colorful Shading Accent 4" w:uiPriority="71" w:qFormat="1"/>
    <w:lsdException w:name="Colorful List Accent 4" w:uiPriority="72"/>
    <w:lsdException w:name="Colorful Grid Accent 4" w:uiPriority="73" w:qFormat="1"/>
    <w:lsdException w:name="Light Shading Accent 5" w:uiPriority="60"/>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qFormat="1"/>
    <w:lsdException w:name="Medium List 2 Accent 5" w:uiPriority="66" w:qFormat="1"/>
    <w:lsdException w:name="Medium Grid 1 Accent 5" w:uiPriority="67"/>
    <w:lsdException w:name="Medium Grid 2 Accent 5" w:uiPriority="68" w:qFormat="1"/>
    <w:lsdException w:name="Medium Grid 3 Accent 5" w:uiPriority="69" w:qFormat="1"/>
    <w:lsdException w:name="Dark List Accent 5" w:uiPriority="70"/>
    <w:lsdException w:name="Colorful Shading Accent 5" w:uiPriority="71"/>
    <w:lsdException w:name="Colorful List Accent 5" w:uiPriority="72"/>
    <w:lsdException w:name="Colorful Grid Accent 5" w:uiPriority="73" w:qFormat="1"/>
    <w:lsdException w:name="Light Shading Accent 6" w:uiPriority="60" w:qFormat="1"/>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qFormat="1"/>
    <w:lsdException w:name="Medium List 2 Accent 6" w:uiPriority="66" w:qFormat="1"/>
    <w:lsdException w:name="Medium Grid 1 Accent 6" w:uiPriority="67"/>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both"/>
    </w:pPr>
    <w:rPr>
      <w:rFonts w:eastAsiaTheme="minorEastAsia" w:cstheme="minorBidi"/>
      <w:sz w:val="24"/>
      <w:lang w:val="en-US" w:eastAsia="zh-CN"/>
    </w:rPr>
  </w:style>
  <w:style w:type="paragraph" w:styleId="Heading1">
    <w:name w:val="heading 1"/>
    <w:basedOn w:val="Normal"/>
    <w:next w:val="Normal"/>
    <w:qFormat/>
    <w:pPr>
      <w:keepNext/>
      <w:keepLines/>
      <w:spacing w:before="340" w:after="330" w:line="578" w:lineRule="auto"/>
      <w:outlineLvl w:val="0"/>
    </w:pPr>
    <w:rPr>
      <w:rFonts w:asciiTheme="minorHAnsi" w:hAnsiTheme="minorHAnsi"/>
      <w:b/>
      <w:bCs/>
      <w:kern w:val="44"/>
      <w:sz w:val="32"/>
      <w:szCs w:val="44"/>
    </w:rPr>
  </w:style>
  <w:style w:type="paragraph" w:styleId="Heading2">
    <w:name w:val="heading 2"/>
    <w:basedOn w:val="Normal"/>
    <w:next w:val="Normal"/>
    <w:unhideWhenUsed/>
    <w:qFormat/>
    <w:pPr>
      <w:keepNext/>
      <w:keepLines/>
      <w:spacing w:before="260" w:after="260" w:line="416" w:lineRule="auto"/>
      <w:outlineLvl w:val="1"/>
    </w:pPr>
    <w:rPr>
      <w:rFonts w:ascii="Calibri" w:eastAsia="Calibri" w:hAnsi="Calibri" w:cs="Calibri"/>
      <w:b/>
      <w:bCs/>
      <w:sz w:val="28"/>
      <w:szCs w:val="32"/>
      <w:lang w:val="en-IE" w:eastAsia="en-IE"/>
    </w:rPr>
  </w:style>
  <w:style w:type="paragraph" w:styleId="Heading3">
    <w:name w:val="heading 3"/>
    <w:basedOn w:val="Normal"/>
    <w:next w:val="Normal"/>
    <w:link w:val="Heading3Char"/>
    <w:unhideWhenUsed/>
    <w:qFormat/>
    <w:pPr>
      <w:keepNext/>
      <w:keepLines/>
      <w:spacing w:before="260" w:after="260" w:line="416" w:lineRule="auto"/>
      <w:outlineLvl w:val="2"/>
    </w:pPr>
    <w:rPr>
      <w:rFonts w:asciiTheme="minorHAnsi" w:hAnsiTheme="minorHAnsi"/>
      <w:b/>
      <w:bCs/>
      <w:i/>
      <w:szCs w:val="32"/>
    </w:rPr>
  </w:style>
  <w:style w:type="paragraph" w:styleId="Heading4">
    <w:name w:val="heading 4"/>
    <w:basedOn w:val="Normal"/>
    <w:next w:val="Normal"/>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Cs w:val="24"/>
    </w:rPr>
  </w:style>
  <w:style w:type="paragraph" w:styleId="Heading7">
    <w:name w:val="heading 7"/>
    <w:basedOn w:val="Normal"/>
    <w:next w:val="Normal"/>
    <w:semiHidden/>
    <w:unhideWhenUsed/>
    <w:qFormat/>
    <w:pPr>
      <w:keepNext/>
      <w:keepLines/>
      <w:spacing w:before="240" w:after="64" w:line="320" w:lineRule="auto"/>
      <w:outlineLvl w:val="6"/>
    </w:pPr>
    <w:rPr>
      <w:b/>
      <w:bCs/>
      <w:szCs w:val="24"/>
    </w:rPr>
  </w:style>
  <w:style w:type="paragraph" w:styleId="Heading8">
    <w:name w:val="heading 8"/>
    <w:basedOn w:val="Normal"/>
    <w:next w:val="Normal"/>
    <w:semiHidden/>
    <w:unhideWhenUsed/>
    <w:qFormat/>
    <w:pPr>
      <w:keepNext/>
      <w:keepLines/>
      <w:spacing w:before="240" w:after="64" w:line="320" w:lineRule="auto"/>
      <w:outlineLvl w:val="7"/>
    </w:pPr>
    <w:rPr>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Cs w:val="24"/>
    </w:rPr>
  </w:style>
  <w:style w:type="paragraph" w:styleId="NormalWeb">
    <w:name w:val="Normal (Web)"/>
    <w:qFormat/>
    <w:pPr>
      <w:spacing w:beforeAutospacing="1" w:afterAutospacing="1"/>
    </w:pPr>
    <w:rPr>
      <w:sz w:val="24"/>
      <w:szCs w:val="24"/>
      <w:lang w:val="en-US" w:eastAsia="zh-CN"/>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blInd w:w="0" w:type="dxa"/>
      <w:tblCellMar>
        <w:top w:w="0" w:type="dxa"/>
        <w:left w:w="108" w:type="dxa"/>
        <w:bottom w:w="0" w:type="dxa"/>
        <w:right w:w="108" w:type="dxa"/>
      </w:tblCellMa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Ind w:w="0" w:type="dxa"/>
      <w:tblCellMar>
        <w:top w:w="0" w:type="dxa"/>
        <w:left w:w="108" w:type="dxa"/>
        <w:bottom w:w="0" w:type="dxa"/>
        <w:right w:w="108" w:type="dxa"/>
      </w:tblCellMar>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Ind w:w="0" w:type="dxa"/>
      <w:tblCellMar>
        <w:top w:w="0" w:type="dxa"/>
        <w:left w:w="108" w:type="dxa"/>
        <w:bottom w:w="0" w:type="dxa"/>
        <w:right w:w="108" w:type="dxa"/>
      </w:tblCellMar>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Ind w:w="0" w:type="dxa"/>
      <w:tblBorders>
        <w:top w:val="single" w:sz="12" w:space="0" w:color="000000"/>
        <w:left w:val="single" w:sz="6" w:space="0" w:color="000000"/>
        <w:bottom w:val="single" w:sz="12" w:space="0" w:color="000000"/>
        <w:right w:val="single" w:sz="6" w:space="0" w:color="000000"/>
      </w:tblBorders>
      <w:tblCellMar>
        <w:top w:w="0" w:type="dxa"/>
        <w:left w:w="108" w:type="dxa"/>
        <w:bottom w:w="0" w:type="dxa"/>
        <w:right w:w="108" w:type="dxa"/>
      </w:tblCellMar>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Ind w:w="0" w:type="dxa"/>
      <w:tblBorders>
        <w:top w:val="single" w:sz="12" w:space="0" w:color="008080"/>
        <w:left w:val="single" w:sz="12" w:space="0" w:color="008080"/>
        <w:bottom w:val="single" w:sz="12" w:space="0" w:color="008080"/>
        <w:right w:val="single" w:sz="12" w:space="0" w:color="008080"/>
        <w:insideH w:val="single" w:sz="6" w:space="0" w:color="00FFFF"/>
      </w:tblBorders>
      <w:tblCellMar>
        <w:top w:w="0" w:type="dxa"/>
        <w:left w:w="108" w:type="dxa"/>
        <w:bottom w:w="0" w:type="dxa"/>
        <w:right w:w="108" w:type="dxa"/>
      </w:tblCellMar>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pPr>
      <w:widowControl w:val="0"/>
      <w:jc w:val="both"/>
    </w:pPr>
    <w:tblPr>
      <w:tblInd w:w="0" w:type="dxa"/>
      <w:tblBorders>
        <w:bottom w:val="single" w:sz="12" w:space="0" w:color="000000"/>
      </w:tblBorders>
      <w:tblCellMar>
        <w:top w:w="0" w:type="dxa"/>
        <w:left w:w="108" w:type="dxa"/>
        <w:bottom w:w="0" w:type="dxa"/>
        <w:right w:w="108" w:type="dxa"/>
      </w:tblCellMar>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Ind w:w="0" w:type="dxa"/>
      <w:tblBorders>
        <w:top w:val="single" w:sz="18" w:space="0" w:color="000000"/>
        <w:left w:val="single" w:sz="18" w:space="0" w:color="000000"/>
        <w:bottom w:val="single" w:sz="18" w:space="0" w:color="000000"/>
        <w:right w:val="single" w:sz="18" w:space="0" w:color="000000"/>
        <w:insideH w:val="single" w:sz="6" w:space="0" w:color="C0C0C0"/>
      </w:tblBorders>
      <w:tblCellMar>
        <w:top w:w="0" w:type="dxa"/>
        <w:left w:w="108" w:type="dxa"/>
        <w:bottom w:w="0" w:type="dxa"/>
        <w:right w:w="108" w:type="dxa"/>
      </w:tblCellMar>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Ind w:w="0" w:type="dxa"/>
      <w:tblCellMar>
        <w:top w:w="0" w:type="dxa"/>
        <w:left w:w="108" w:type="dxa"/>
        <w:bottom w:w="0" w:type="dxa"/>
        <w:right w:w="108" w:type="dxa"/>
      </w:tblCellMar>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Ind w:w="0" w:type="dxa"/>
      <w:tblBorders>
        <w:top w:val="single" w:sz="6" w:space="0" w:color="000080"/>
        <w:left w:val="single" w:sz="6" w:space="0" w:color="000080"/>
        <w:bottom w:val="single" w:sz="6" w:space="0" w:color="000080"/>
        <w:right w:val="single" w:sz="6" w:space="0" w:color="000080"/>
        <w:insideV w:val="single" w:sz="6" w:space="0" w:color="000080"/>
      </w:tblBorders>
      <w:tblCellMar>
        <w:top w:w="0" w:type="dxa"/>
        <w:left w:w="108" w:type="dxa"/>
        <w:bottom w:w="0" w:type="dxa"/>
        <w:right w:w="108" w:type="dxa"/>
      </w:tblCellMar>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Ind w:w="0" w:type="dxa"/>
      <w:tblCellMar>
        <w:top w:w="0" w:type="dxa"/>
        <w:left w:w="108" w:type="dxa"/>
        <w:bottom w:w="0" w:type="dxa"/>
        <w:right w:w="108" w:type="dxa"/>
      </w:tblCellMar>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Ind w:w="0" w:type="dxa"/>
      <w:tblBorders>
        <w:top w:val="single" w:sz="12" w:space="0" w:color="808080"/>
        <w:left w:val="single" w:sz="12" w:space="0" w:color="808080"/>
        <w:bottom w:val="single" w:sz="12" w:space="0" w:color="808080"/>
        <w:right w:val="single" w:sz="12" w:space="0" w:color="808080"/>
        <w:insideV w:val="single" w:sz="6" w:space="0" w:color="C0C0C0"/>
      </w:tblBorders>
      <w:tblCellMar>
        <w:top w:w="0" w:type="dxa"/>
        <w:left w:w="108" w:type="dxa"/>
        <w:bottom w:w="0" w:type="dxa"/>
        <w:right w:w="108" w:type="dxa"/>
      </w:tblCellMar>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Ind w:w="0" w:type="dxa"/>
      <w:tblBorders>
        <w:insideH w:val="single" w:sz="18" w:space="0" w:color="FFFFFF"/>
        <w:insideV w:val="single" w:sz="18" w:space="0" w:color="FFFFFF"/>
      </w:tblBorders>
      <w:tblCellMar>
        <w:top w:w="0" w:type="dxa"/>
        <w:left w:w="108" w:type="dxa"/>
        <w:bottom w:w="0" w:type="dxa"/>
        <w:right w:w="108" w:type="dxa"/>
      </w:tblCellMar>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Ind w:w="0" w:type="dxa"/>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1">
    <w:name w:val="Table Grid 1"/>
    <w:basedOn w:val="TableNormal"/>
    <w:pPr>
      <w:widowControl w:val="0"/>
      <w:jc w:val="both"/>
    </w:p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Ind w:w="0" w:type="dxa"/>
      <w:tblBorders>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Ind w:w="0" w:type="dxa"/>
      <w:tblBorders>
        <w:top w:val="single" w:sz="6" w:space="0" w:color="000000"/>
        <w:left w:val="single" w:sz="12" w:space="0" w:color="000000"/>
        <w:bottom w:val="single" w:sz="6"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Ind w:w="0" w:type="dxa"/>
      <w:tblBorders>
        <w:left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Ind w:w="0" w:type="dxa"/>
      <w:tblBorders>
        <w:top w:val="single" w:sz="12" w:space="0" w:color="000000"/>
        <w:left w:val="single" w:sz="12" w:space="0" w:color="000000"/>
        <w:bottom w:val="single" w:sz="12"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Ind w:w="0" w:type="dxa"/>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CellMar>
        <w:top w:w="0" w:type="dxa"/>
        <w:left w:w="108" w:type="dxa"/>
        <w:bottom w:w="0" w:type="dxa"/>
        <w:right w:w="108" w:type="dxa"/>
      </w:tblCellMar>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Ind w:w="0" w:type="dxa"/>
      <w:tblBorders>
        <w:top w:val="single" w:sz="12" w:space="0" w:color="008080"/>
        <w:left w:val="single" w:sz="6" w:space="0" w:color="008080"/>
        <w:bottom w:val="single" w:sz="12" w:space="0" w:color="008080"/>
        <w:right w:val="single" w:sz="6" w:space="0" w:color="008080"/>
      </w:tblBorders>
      <w:tblCellMar>
        <w:top w:w="0" w:type="dxa"/>
        <w:left w:w="108" w:type="dxa"/>
        <w:bottom w:w="0" w:type="dxa"/>
        <w:right w:w="108" w:type="dxa"/>
      </w:tblCellMar>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Ind w:w="0" w:type="dxa"/>
      <w:tblBorders>
        <w:bottom w:val="single" w:sz="12" w:space="0" w:color="808080"/>
      </w:tblBorders>
      <w:tblCellMar>
        <w:top w:w="0" w:type="dxa"/>
        <w:left w:w="108" w:type="dxa"/>
        <w:bottom w:w="0" w:type="dxa"/>
        <w:right w:w="108" w:type="dxa"/>
      </w:tblCellMar>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Ind w:w="0" w:type="dxa"/>
      <w:tblBorders>
        <w:top w:val="single" w:sz="12" w:space="0" w:color="000000"/>
        <w:bottom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Ind w:w="0" w:type="dxa"/>
      <w:tblBorders>
        <w:top w:val="single" w:sz="12" w:space="0" w:color="000000"/>
        <w:left w:val="single" w:sz="12" w:space="0" w:color="000000"/>
        <w:bottom w:val="single" w:sz="12" w:space="0" w:color="000000"/>
        <w:right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Ind w:w="0" w:type="dxa"/>
      <w:tblBorders>
        <w:top w:val="single" w:sz="6" w:space="0" w:color="000000"/>
        <w:left w:val="single" w:sz="6" w:space="0" w:color="000000"/>
        <w:bottom w:val="single" w:sz="6" w:space="0" w:color="000000"/>
        <w:right w:val="single" w:sz="6"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Ind w:w="0" w:type="dxa"/>
      <w:tblBorders>
        <w:top w:val="single" w:sz="6" w:space="0" w:color="000000"/>
        <w:left w:val="single" w:sz="6" w:space="0" w:color="000000"/>
        <w:bottom w:val="single" w:sz="6" w:space="0" w:color="000000"/>
        <w:right w:val="single" w:sz="6" w:space="0" w:color="000000"/>
      </w:tblBorders>
      <w:tblCellMar>
        <w:top w:w="0" w:type="dxa"/>
        <w:left w:w="108" w:type="dxa"/>
        <w:bottom w:w="0" w:type="dxa"/>
        <w:right w:w="108" w:type="dxa"/>
      </w:tblCellMar>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Ind w:w="0" w:type="dxa"/>
      <w:tblBorders>
        <w:top w:val="single" w:sz="12" w:space="0" w:color="008000"/>
        <w:left w:val="single" w:sz="6" w:space="0" w:color="008000"/>
        <w:bottom w:val="single" w:sz="12" w:space="0" w:color="008000"/>
        <w:right w:val="single" w:sz="6" w:space="0" w:color="008000"/>
        <w:insideH w:val="single" w:sz="6" w:space="0" w:color="000000"/>
      </w:tblBorders>
      <w:tblCellMar>
        <w:top w:w="0" w:type="dxa"/>
        <w:left w:w="108" w:type="dxa"/>
        <w:bottom w:w="0" w:type="dxa"/>
        <w:right w:w="108" w:type="dxa"/>
      </w:tblCellMar>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Ind w:w="0" w:type="dxa"/>
      <w:tblBorders>
        <w:top w:val="single" w:sz="6" w:space="0" w:color="000000"/>
        <w:left w:val="single" w:sz="6" w:space="0" w:color="000000"/>
        <w:bottom w:val="single" w:sz="6" w:space="0" w:color="000000"/>
        <w:right w:val="single" w:sz="6" w:space="0" w:color="000000"/>
        <w:insideV w:val="single" w:sz="6" w:space="0" w:color="000000"/>
      </w:tblBorders>
      <w:tblCellMar>
        <w:top w:w="0" w:type="dxa"/>
        <w:left w:w="108" w:type="dxa"/>
        <w:bottom w:w="0" w:type="dxa"/>
        <w:right w:w="108" w:type="dxa"/>
      </w:tblCellMar>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Ind w:w="0" w:type="dxa"/>
      <w:tblBorders>
        <w:top w:val="single" w:sz="12" w:space="0" w:color="008000"/>
        <w:bottom w:val="single" w:sz="12" w:space="0" w:color="008000"/>
      </w:tblBorders>
      <w:tblCellMar>
        <w:top w:w="0" w:type="dxa"/>
        <w:left w:w="108" w:type="dxa"/>
        <w:bottom w:w="0" w:type="dxa"/>
        <w:right w:w="108" w:type="dxa"/>
      </w:tblCellMar>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Ind w:w="0" w:type="dxa"/>
      <w:tblCellMar>
        <w:top w:w="0" w:type="dxa"/>
        <w:left w:w="108" w:type="dxa"/>
        <w:bottom w:w="0" w:type="dxa"/>
        <w:right w:w="108" w:type="dxa"/>
      </w:tblCellMa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Ind w:w="0" w:type="dxa"/>
      <w:tblCellMar>
        <w:top w:w="0" w:type="dxa"/>
        <w:left w:w="108" w:type="dxa"/>
        <w:bottom w:w="0" w:type="dxa"/>
        <w:right w:w="108" w:type="dxa"/>
      </w:tblCellMar>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Ind w:w="0" w:type="dxa"/>
      <w:tblBorders>
        <w:left w:val="single" w:sz="6" w:space="0" w:color="000000"/>
        <w:right w:val="single" w:sz="6" w:space="0" w:color="000000"/>
      </w:tblBorders>
      <w:tblCellMar>
        <w:top w:w="0" w:type="dxa"/>
        <w:left w:w="108" w:type="dxa"/>
        <w:bottom w:w="0" w:type="dxa"/>
        <w:right w:w="108" w:type="dxa"/>
      </w:tblCellMar>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Web1">
    <w:name w:val="Table Web 1"/>
    <w:basedOn w:val="TableNormal"/>
    <w:qFormat/>
    <w:pPr>
      <w:widowControl w:val="0"/>
      <w:jc w:val="both"/>
    </w:pPr>
    <w:tblPr>
      <w:tblCellSpacing w:w="20" w:type="dxa"/>
      <w:tblInd w:w="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Ind w:w="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Cs w:val="24"/>
    </w:rPr>
  </w:style>
  <w:style w:type="paragraph" w:styleId="TOC1">
    <w:name w:val="toc 1"/>
    <w:basedOn w:val="Normal"/>
    <w:next w:val="Normal"/>
  </w:style>
  <w:style w:type="paragraph" w:styleId="TOC2">
    <w:name w:val="toc 2"/>
    <w:basedOn w:val="Normal"/>
    <w:next w:val="Normal"/>
    <w:qFormat/>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Ind w:w="0" w:type="dxa"/>
      <w:tblBorders>
        <w:top w:val="single" w:sz="8" w:space="0" w:color="000000"/>
        <w:bottom w:val="single" w:sz="8" w:space="0" w:color="000000"/>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Ind w:w="0" w:type="dxa"/>
      <w:tblBorders>
        <w:top w:val="single" w:sz="8" w:space="0" w:color="4F81BD"/>
        <w:bottom w:val="single" w:sz="8" w:space="0" w:color="4F81BD"/>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Ind w:w="0" w:type="dxa"/>
      <w:tblBorders>
        <w:top w:val="single" w:sz="8" w:space="0" w:color="C0504D"/>
        <w:bottom w:val="single" w:sz="8" w:space="0" w:color="C0504D"/>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Ind w:w="0" w:type="dxa"/>
      <w:tblBorders>
        <w:top w:val="single" w:sz="8" w:space="0" w:color="9BBB59"/>
        <w:bottom w:val="single" w:sz="8" w:space="0" w:color="9BBB59"/>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Ind w:w="0" w:type="dxa"/>
      <w:tblBorders>
        <w:top w:val="single" w:sz="8" w:space="0" w:color="8064A2"/>
        <w:bottom w:val="single" w:sz="8" w:space="0" w:color="8064A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Ind w:w="0" w:type="dxa"/>
      <w:tblBorders>
        <w:top w:val="single" w:sz="8" w:space="0" w:color="4BACC6"/>
        <w:bottom w:val="single" w:sz="8" w:space="0" w:color="4BACC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Ind w:w="0" w:type="dxa"/>
      <w:tblBorders>
        <w:top w:val="single" w:sz="8" w:space="0" w:color="F79646"/>
        <w:bottom w:val="single" w:sz="8" w:space="0" w:color="F7964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Ind w:w="0" w:type="dxa"/>
      <w:tblBorders>
        <w:top w:val="single" w:sz="8" w:space="0" w:color="C0504D"/>
        <w:left w:val="single" w:sz="8" w:space="0" w:color="C0504D"/>
        <w:bottom w:val="single" w:sz="8" w:space="0" w:color="C0504D"/>
        <w:right w:val="single" w:sz="8" w:space="0" w:color="C0504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Ind w:w="0" w:type="dxa"/>
      <w:tblBorders>
        <w:top w:val="single" w:sz="8" w:space="0" w:color="8064A2"/>
        <w:left w:val="single" w:sz="8" w:space="0" w:color="8064A2"/>
        <w:bottom w:val="single" w:sz="8" w:space="0" w:color="8064A2"/>
        <w:right w:val="single" w:sz="8" w:space="0" w:color="8064A2"/>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Ind w:w="0" w:type="dxa"/>
      <w:tblBorders>
        <w:top w:val="single" w:sz="8" w:space="0" w:color="4BACC6"/>
        <w:left w:val="single" w:sz="8" w:space="0" w:color="4BACC6"/>
        <w:bottom w:val="single" w:sz="8" w:space="0" w:color="4BACC6"/>
        <w:right w:val="single" w:sz="8" w:space="0" w:color="4BACC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Ind w:w="0" w:type="dxa"/>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Ind w:w="0"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Ind w:w="0" w:type="dxa"/>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Ind w:w="0" w:type="dxa"/>
      <w:tblBorders>
        <w:top w:val="single" w:sz="8" w:space="0" w:color="404040"/>
        <w:left w:val="single" w:sz="8" w:space="0" w:color="404040"/>
        <w:bottom w:val="single" w:sz="8" w:space="0" w:color="404040"/>
        <w:right w:val="single" w:sz="8" w:space="0" w:color="404040"/>
        <w:insideH w:val="single" w:sz="8" w:space="0" w:color="40404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Ind w:w="0" w:type="dxa"/>
      <w:tblBorders>
        <w:top w:val="single" w:sz="8" w:space="0" w:color="7BA0CD"/>
        <w:left w:val="single" w:sz="8" w:space="0" w:color="7BA0CD"/>
        <w:bottom w:val="single" w:sz="8" w:space="0" w:color="7BA0CD"/>
        <w:right w:val="single" w:sz="8" w:space="0" w:color="7BA0CD"/>
        <w:insideH w:val="single" w:sz="8" w:space="0" w:color="7BA0CD"/>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Ind w:w="0" w:type="dxa"/>
      <w:tblBorders>
        <w:top w:val="single" w:sz="8" w:space="0" w:color="CF7B79"/>
        <w:left w:val="single" w:sz="8" w:space="0" w:color="CF7B79"/>
        <w:bottom w:val="single" w:sz="8" w:space="0" w:color="CF7B79"/>
        <w:right w:val="single" w:sz="8" w:space="0" w:color="CF7B79"/>
        <w:insideH w:val="single" w:sz="8" w:space="0" w:color="CF7B79"/>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Ind w:w="0" w:type="dxa"/>
      <w:tblBorders>
        <w:top w:val="single" w:sz="8" w:space="0" w:color="B3CC82"/>
        <w:left w:val="single" w:sz="8" w:space="0" w:color="B3CC82"/>
        <w:bottom w:val="single" w:sz="8" w:space="0" w:color="B3CC82"/>
        <w:right w:val="single" w:sz="8" w:space="0" w:color="B3CC82"/>
        <w:insideH w:val="single" w:sz="8" w:space="0" w:color="B3CC82"/>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Ind w:w="0" w:type="dxa"/>
      <w:tblBorders>
        <w:top w:val="single" w:sz="8" w:space="0" w:color="9F8AB9"/>
        <w:left w:val="single" w:sz="8" w:space="0" w:color="9F8AB9"/>
        <w:bottom w:val="single" w:sz="8" w:space="0" w:color="9F8AB9"/>
        <w:right w:val="single" w:sz="8" w:space="0" w:color="9F8AB9"/>
        <w:insideH w:val="single" w:sz="8" w:space="0" w:color="9F8AB9"/>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Ind w:w="0" w:type="dxa"/>
      <w:tblBorders>
        <w:top w:val="single" w:sz="8" w:space="0" w:color="78C0D4"/>
        <w:left w:val="single" w:sz="8" w:space="0" w:color="78C0D4"/>
        <w:bottom w:val="single" w:sz="8" w:space="0" w:color="78C0D4"/>
        <w:right w:val="single" w:sz="8" w:space="0" w:color="78C0D4"/>
        <w:insideH w:val="single" w:sz="8" w:space="0" w:color="78C0D4"/>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Ind w:w="0" w:type="dxa"/>
      <w:tblBorders>
        <w:top w:val="single" w:sz="8" w:space="0" w:color="F9B074"/>
        <w:left w:val="single" w:sz="8" w:space="0" w:color="F9B074"/>
        <w:bottom w:val="single" w:sz="8" w:space="0" w:color="F9B074"/>
        <w:right w:val="single" w:sz="8" w:space="0" w:color="F9B074"/>
        <w:insideH w:val="single" w:sz="8" w:space="0" w:color="F9B074"/>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Ind w:w="0" w:type="dxa"/>
      <w:tblBorders>
        <w:top w:val="single" w:sz="8" w:space="0" w:color="000000"/>
        <w:bottom w:val="single" w:sz="8" w:space="0" w:color="000000"/>
      </w:tblBorders>
      <w:tblCellMar>
        <w:top w:w="0" w:type="dxa"/>
        <w:left w:w="108" w:type="dxa"/>
        <w:bottom w:w="0" w:type="dxa"/>
        <w:right w:w="108" w:type="dxa"/>
      </w:tblCellMar>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Ind w:w="0" w:type="dxa"/>
      <w:tblBorders>
        <w:top w:val="single" w:sz="8" w:space="0" w:color="4F81BD"/>
        <w:bottom w:val="single" w:sz="8" w:space="0" w:color="4F81BD"/>
      </w:tblBorders>
      <w:tblCellMar>
        <w:top w:w="0" w:type="dxa"/>
        <w:left w:w="108" w:type="dxa"/>
        <w:bottom w:w="0" w:type="dxa"/>
        <w:right w:w="108" w:type="dxa"/>
      </w:tblCellMar>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Ind w:w="0" w:type="dxa"/>
      <w:tblBorders>
        <w:top w:val="single" w:sz="8" w:space="0" w:color="C0504D"/>
        <w:bottom w:val="single" w:sz="8" w:space="0" w:color="C0504D"/>
      </w:tblBorders>
      <w:tblCellMar>
        <w:top w:w="0" w:type="dxa"/>
        <w:left w:w="108" w:type="dxa"/>
        <w:bottom w:w="0" w:type="dxa"/>
        <w:right w:w="108" w:type="dxa"/>
      </w:tblCellMar>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Ind w:w="0" w:type="dxa"/>
      <w:tblBorders>
        <w:top w:val="single" w:sz="8" w:space="0" w:color="9BBB59"/>
        <w:bottom w:val="single" w:sz="8" w:space="0" w:color="9BBB59"/>
      </w:tblBorders>
      <w:tblCellMar>
        <w:top w:w="0" w:type="dxa"/>
        <w:left w:w="108" w:type="dxa"/>
        <w:bottom w:w="0" w:type="dxa"/>
        <w:right w:w="108" w:type="dxa"/>
      </w:tblCellMar>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Ind w:w="0" w:type="dxa"/>
      <w:tblBorders>
        <w:top w:val="single" w:sz="8" w:space="0" w:color="8064A2"/>
        <w:bottom w:val="single" w:sz="8" w:space="0" w:color="8064A2"/>
      </w:tblBorders>
      <w:tblCellMar>
        <w:top w:w="0" w:type="dxa"/>
        <w:left w:w="108" w:type="dxa"/>
        <w:bottom w:w="0" w:type="dxa"/>
        <w:right w:w="108" w:type="dxa"/>
      </w:tblCellMar>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Ind w:w="0" w:type="dxa"/>
      <w:tblBorders>
        <w:top w:val="single" w:sz="8" w:space="0" w:color="F79646"/>
        <w:bottom w:val="single" w:sz="8" w:space="0" w:color="F79646"/>
      </w:tblBorders>
      <w:tblCellMar>
        <w:top w:w="0" w:type="dxa"/>
        <w:left w:w="108" w:type="dxa"/>
        <w:bottom w:w="0" w:type="dxa"/>
        <w:right w:w="108" w:type="dxa"/>
      </w:tblCellMar>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Ind w:w="0" w:type="dxa"/>
      <w:tblBorders>
        <w:top w:val="single" w:sz="8" w:space="0" w:color="C0504D"/>
        <w:left w:val="single" w:sz="8" w:space="0" w:color="C0504D"/>
        <w:bottom w:val="single" w:sz="8" w:space="0" w:color="C0504D"/>
        <w:right w:val="single" w:sz="8" w:space="0" w:color="C0504D"/>
      </w:tblBorders>
      <w:tblCellMar>
        <w:top w:w="0" w:type="dxa"/>
        <w:left w:w="108" w:type="dxa"/>
        <w:bottom w:w="0" w:type="dxa"/>
        <w:right w:w="108" w:type="dxa"/>
      </w:tblCellMar>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Ind w:w="0" w:type="dxa"/>
      <w:tblBorders>
        <w:top w:val="single" w:sz="8" w:space="0" w:color="8064A2"/>
        <w:left w:val="single" w:sz="8" w:space="0" w:color="8064A2"/>
        <w:bottom w:val="single" w:sz="8" w:space="0" w:color="8064A2"/>
        <w:right w:val="single" w:sz="8" w:space="0" w:color="8064A2"/>
      </w:tblBorders>
      <w:tblCellMar>
        <w:top w:w="0" w:type="dxa"/>
        <w:left w:w="108" w:type="dxa"/>
        <w:bottom w:w="0" w:type="dxa"/>
        <w:right w:w="108" w:type="dxa"/>
      </w:tblCellMar>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Ind w:w="0" w:type="dxa"/>
      <w:tblBorders>
        <w:top w:val="single" w:sz="8" w:space="0" w:color="4BACC6"/>
        <w:left w:val="single" w:sz="8" w:space="0" w:color="4BACC6"/>
        <w:bottom w:val="single" w:sz="8" w:space="0" w:color="4BACC6"/>
        <w:right w:val="single" w:sz="8" w:space="0" w:color="4BACC6"/>
      </w:tblBorders>
      <w:tblCellMar>
        <w:top w:w="0" w:type="dxa"/>
        <w:left w:w="108" w:type="dxa"/>
        <w:bottom w:w="0" w:type="dxa"/>
        <w:right w:w="108" w:type="dxa"/>
      </w:tblCellMar>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Ind w:w="0" w:type="dxa"/>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CellMar>
        <w:top w:w="0" w:type="dxa"/>
        <w:left w:w="108" w:type="dxa"/>
        <w:bottom w:w="0" w:type="dxa"/>
        <w:right w:w="108" w:type="dxa"/>
      </w:tblCellMar>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Ind w:w="0" w:type="dxa"/>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CellMar>
        <w:top w:w="0" w:type="dxa"/>
        <w:left w:w="108" w:type="dxa"/>
        <w:bottom w:w="0" w:type="dxa"/>
        <w:right w:w="108" w:type="dxa"/>
      </w:tblCellMar>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Ind w:w="0" w:type="dxa"/>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CellMar>
        <w:top w:w="0" w:type="dxa"/>
        <w:left w:w="108" w:type="dxa"/>
        <w:bottom w:w="0" w:type="dxa"/>
        <w:right w:w="108" w:type="dxa"/>
      </w:tblCellMar>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Ind w:w="0" w:type="dxa"/>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CellMar>
        <w:top w:w="0" w:type="dxa"/>
        <w:left w:w="108" w:type="dxa"/>
        <w:bottom w:w="0" w:type="dxa"/>
        <w:right w:w="108" w:type="dxa"/>
      </w:tblCellMar>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Ind w:w="0" w:type="dxa"/>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CellMar>
        <w:top w:w="0" w:type="dxa"/>
        <w:left w:w="108" w:type="dxa"/>
        <w:bottom w:w="0" w:type="dxa"/>
        <w:right w:w="108" w:type="dxa"/>
      </w:tblCellMar>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Ind w:w="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CellMar>
        <w:top w:w="0" w:type="dxa"/>
        <w:left w:w="108" w:type="dxa"/>
        <w:bottom w:w="0" w:type="dxa"/>
        <w:right w:w="108" w:type="dxa"/>
      </w:tblCellMar>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Ind w:w="0" w:type="dxa"/>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CellMar>
        <w:top w:w="0" w:type="dxa"/>
        <w:left w:w="108" w:type="dxa"/>
        <w:bottom w:w="0" w:type="dxa"/>
        <w:right w:w="108" w:type="dxa"/>
      </w:tblCellMar>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Ind w:w="0" w:type="dxa"/>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CellMar>
        <w:top w:w="0" w:type="dxa"/>
        <w:left w:w="108" w:type="dxa"/>
        <w:bottom w:w="0" w:type="dxa"/>
        <w:right w:w="108" w:type="dxa"/>
      </w:tblCellMar>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Ind w:w="0"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CellMar>
        <w:top w:w="0" w:type="dxa"/>
        <w:left w:w="108" w:type="dxa"/>
        <w:bottom w:w="0" w:type="dxa"/>
        <w:right w:w="108" w:type="dxa"/>
      </w:tblCellMar>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Ind w:w="0" w:type="dxa"/>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CellMar>
        <w:top w:w="0" w:type="dxa"/>
        <w:left w:w="108" w:type="dxa"/>
        <w:bottom w:w="0" w:type="dxa"/>
        <w:right w:w="108" w:type="dxa"/>
      </w:tblCellMar>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CellMar>
        <w:top w:w="0" w:type="dxa"/>
        <w:left w:w="108" w:type="dxa"/>
        <w:bottom w:w="0" w:type="dxa"/>
        <w:right w:w="108" w:type="dxa"/>
      </w:tblCellMar>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Ind w:w="0" w:type="dxa"/>
      <w:tblCellMar>
        <w:top w:w="0" w:type="dxa"/>
        <w:left w:w="108" w:type="dxa"/>
        <w:bottom w:w="0" w:type="dxa"/>
        <w:right w:w="108" w:type="dxa"/>
      </w:tblCellMar>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Ind w:w="0" w:type="dxa"/>
      <w:tblCellMar>
        <w:top w:w="0" w:type="dxa"/>
        <w:left w:w="108" w:type="dxa"/>
        <w:bottom w:w="0" w:type="dxa"/>
        <w:right w:w="108" w:type="dxa"/>
      </w:tblCellMar>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Ind w:w="0" w:type="dxa"/>
      <w:tblCellMar>
        <w:top w:w="0" w:type="dxa"/>
        <w:left w:w="108" w:type="dxa"/>
        <w:bottom w:w="0" w:type="dxa"/>
        <w:right w:w="108" w:type="dxa"/>
      </w:tblCellMar>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Ind w:w="0" w:type="dxa"/>
      <w:tblCellMar>
        <w:top w:w="0" w:type="dxa"/>
        <w:left w:w="108" w:type="dxa"/>
        <w:bottom w:w="0" w:type="dxa"/>
        <w:right w:w="108" w:type="dxa"/>
      </w:tblCellMar>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Ind w:w="0" w:type="dxa"/>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CellMar>
        <w:top w:w="0" w:type="dxa"/>
        <w:left w:w="108" w:type="dxa"/>
        <w:bottom w:w="0" w:type="dxa"/>
        <w:right w:w="108" w:type="dxa"/>
      </w:tblCellMar>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rPr>
      <w:color w:val="000000"/>
    </w:rPr>
    <w:tblPr>
      <w:tblInd w:w="0" w:type="dxa"/>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CellMar>
        <w:top w:w="0" w:type="dxa"/>
        <w:left w:w="108" w:type="dxa"/>
        <w:bottom w:w="0" w:type="dxa"/>
        <w:right w:w="108" w:type="dxa"/>
      </w:tblCellMar>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Ind w:w="0" w:type="dxa"/>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CellMar>
        <w:top w:w="0" w:type="dxa"/>
        <w:left w:w="108" w:type="dxa"/>
        <w:bottom w:w="0" w:type="dxa"/>
        <w:right w:w="108" w:type="dxa"/>
      </w:tblCellMar>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Ind w:w="0" w:type="dxa"/>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CellMar>
        <w:top w:w="0" w:type="dxa"/>
        <w:left w:w="108" w:type="dxa"/>
        <w:bottom w:w="0" w:type="dxa"/>
        <w:right w:w="108" w:type="dxa"/>
      </w:tblCellMar>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Ind w:w="0" w:type="dxa"/>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CellMar>
        <w:top w:w="0" w:type="dxa"/>
        <w:left w:w="108" w:type="dxa"/>
        <w:bottom w:w="0" w:type="dxa"/>
        <w:right w:w="108" w:type="dxa"/>
      </w:tblCellMar>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Ind w:w="0" w:type="dxa"/>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CellMar>
        <w:top w:w="0" w:type="dxa"/>
        <w:left w:w="108" w:type="dxa"/>
        <w:bottom w:w="0" w:type="dxa"/>
        <w:right w:w="108" w:type="dxa"/>
      </w:tblCellMar>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Ind w:w="0" w:type="dxa"/>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CellMar>
        <w:top w:w="0" w:type="dxa"/>
        <w:left w:w="108" w:type="dxa"/>
        <w:bottom w:w="0" w:type="dxa"/>
        <w:right w:w="108" w:type="dxa"/>
      </w:tblCellMar>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Ind w:w="0" w:type="dxa"/>
      <w:tblCellMar>
        <w:top w:w="0" w:type="dxa"/>
        <w:left w:w="108" w:type="dxa"/>
        <w:bottom w:w="0" w:type="dxa"/>
        <w:right w:w="108" w:type="dxa"/>
      </w:tblCellMar>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Ind w:w="0" w:type="dxa"/>
      <w:tblCellMar>
        <w:top w:w="0" w:type="dxa"/>
        <w:left w:w="108" w:type="dxa"/>
        <w:bottom w:w="0" w:type="dxa"/>
        <w:right w:w="108" w:type="dxa"/>
      </w:tblCellMar>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Ind w:w="0" w:type="dxa"/>
      <w:tblCellMar>
        <w:top w:w="0" w:type="dxa"/>
        <w:left w:w="108" w:type="dxa"/>
        <w:bottom w:w="0" w:type="dxa"/>
        <w:right w:w="108" w:type="dxa"/>
      </w:tblCellMar>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Ind w:w="0" w:type="dxa"/>
      <w:tblCellMar>
        <w:top w:w="0" w:type="dxa"/>
        <w:left w:w="108" w:type="dxa"/>
        <w:bottom w:w="0" w:type="dxa"/>
        <w:right w:w="108" w:type="dxa"/>
      </w:tblCellMar>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Ind w:w="0" w:type="dxa"/>
      <w:tblCellMar>
        <w:top w:w="0" w:type="dxa"/>
        <w:left w:w="108" w:type="dxa"/>
        <w:bottom w:w="0" w:type="dxa"/>
        <w:right w:w="108" w:type="dxa"/>
      </w:tblCellMar>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Ind w:w="0" w:type="dxa"/>
      <w:tblBorders>
        <w:insideH w:val="single" w:sz="4" w:space="0" w:color="FFFFFF"/>
      </w:tblBorders>
      <w:tblCellMar>
        <w:top w:w="0" w:type="dxa"/>
        <w:left w:w="108" w:type="dxa"/>
        <w:bottom w:w="0" w:type="dxa"/>
        <w:right w:w="108" w:type="dxa"/>
      </w:tblCellMar>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Style248">
    <w:name w:val="_Style 248"/>
    <w:basedOn w:val="Normal"/>
    <w:next w:val="Normal"/>
    <w:pPr>
      <w:pBdr>
        <w:bottom w:val="single" w:sz="6" w:space="1" w:color="auto"/>
      </w:pBdr>
      <w:jc w:val="center"/>
    </w:pPr>
    <w:rPr>
      <w:rFonts w:ascii="Arial" w:eastAsia="SimSun"/>
      <w:vanish/>
      <w:sz w:val="16"/>
    </w:rPr>
  </w:style>
  <w:style w:type="paragraph" w:customStyle="1" w:styleId="Style249">
    <w:name w:val="_Style 249"/>
    <w:basedOn w:val="Normal"/>
    <w:next w:val="Normal"/>
    <w:qFormat/>
    <w:pPr>
      <w:pBdr>
        <w:top w:val="single" w:sz="6" w:space="1" w:color="auto"/>
      </w:pBdr>
      <w:jc w:val="center"/>
    </w:pPr>
    <w:rPr>
      <w:rFonts w:ascii="Arial" w:eastAsia="SimSun"/>
      <w:vanish/>
      <w:sz w:val="16"/>
    </w:rPr>
  </w:style>
  <w:style w:type="character" w:customStyle="1" w:styleId="Heading3Char">
    <w:name w:val="Heading 3 Char"/>
    <w:link w:val="Heading3"/>
    <w:rPr>
      <w:rFonts w:asciiTheme="minorHAnsi" w:hAnsiTheme="minorHAnsi"/>
      <w:b/>
      <w:bCs/>
      <w:i/>
      <w:sz w:val="24"/>
      <w:szCs w:val="32"/>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pPr>
      <w:ind w:leftChars="400"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3115</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falak baqar</dc:creator>
  <cp:lastModifiedBy>Dell</cp:lastModifiedBy>
  <cp:revision>2</cp:revision>
  <dcterms:created xsi:type="dcterms:W3CDTF">2023-12-27T00:18:00Z</dcterms:created>
  <dcterms:modified xsi:type="dcterms:W3CDTF">2023-12-27T00:18:00Z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1033-11.2.0.11225</vt:lpwstr>
  </property>
  <property fmtid="{D5CDD505-2E9C-101B-9397-08002B2CF9AE}" pid="3" name="ICV">
    <vt:lpwstr>3ED555DC41604F479A167AADE9580310</vt:lpwstr>
  </property>
</Properties>
</file>