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095998" w14:textId="77535391" w:rsidR="00EF1EF7" w:rsidRDefault="00EF1EF7" w:rsidP="00EF1EF7">
      <w:pPr>
        <w:jc w:val="center"/>
        <w:rPr>
          <w:rFonts w:ascii="Aptos" w:eastAsia="Aptos" w:hAnsi="Aptos" w:cs="Aptos"/>
          <w:u w:val="single"/>
        </w:rPr>
      </w:pPr>
      <w:r w:rsidRPr="00EF1EF7">
        <w:rPr>
          <w:rFonts w:ascii="Aptos" w:eastAsia="Aptos" w:hAnsi="Aptos" w:cs="Aptos"/>
          <w:u w:val="single"/>
        </w:rPr>
        <w:t>"Was the Reichstag Fire Decree the final step in Hitler's ascent to total power?"</w:t>
      </w:r>
    </w:p>
    <w:p w14:paraId="62EEF3AE" w14:textId="77777777" w:rsidR="00EF1EF7" w:rsidRPr="00EF1EF7" w:rsidRDefault="00EF1EF7" w:rsidP="00EF1EF7">
      <w:pPr>
        <w:jc w:val="center"/>
        <w:rPr>
          <w:rFonts w:ascii="Aptos" w:eastAsia="Aptos" w:hAnsi="Aptos" w:cs="Aptos"/>
          <w:u w:val="single"/>
        </w:rPr>
      </w:pPr>
    </w:p>
    <w:p w14:paraId="2D0E87CC" w14:textId="1AA118FE" w:rsidR="6A22A1C0" w:rsidRDefault="6A22A1C0" w:rsidP="73C9EB47">
      <w:pPr>
        <w:rPr>
          <w:rFonts w:ascii="Aptos" w:eastAsia="Aptos" w:hAnsi="Aptos" w:cs="Aptos"/>
        </w:rPr>
      </w:pPr>
      <w:r w:rsidRPr="73C9EB47">
        <w:rPr>
          <w:rFonts w:ascii="Aptos" w:eastAsia="Aptos" w:hAnsi="Aptos" w:cs="Aptos"/>
        </w:rPr>
        <w:t xml:space="preserve">Adolf Hitler is viewed as one of the most </w:t>
      </w:r>
      <w:r w:rsidR="00181C19" w:rsidRPr="73C9EB47">
        <w:rPr>
          <w:rFonts w:ascii="Aptos" w:eastAsia="Aptos" w:hAnsi="Aptos" w:cs="Aptos"/>
        </w:rPr>
        <w:t>villainous</w:t>
      </w:r>
      <w:r w:rsidRPr="73C9EB47">
        <w:rPr>
          <w:rFonts w:ascii="Aptos" w:eastAsia="Aptos" w:hAnsi="Aptos" w:cs="Aptos"/>
        </w:rPr>
        <w:t xml:space="preserve"> men on the planet. Between World War 2 and </w:t>
      </w:r>
      <w:r w:rsidR="00EF1EF7">
        <w:rPr>
          <w:rFonts w:ascii="Aptos" w:eastAsia="Aptos" w:hAnsi="Aptos" w:cs="Aptos"/>
        </w:rPr>
        <w:t>T</w:t>
      </w:r>
      <w:r w:rsidRPr="73C9EB47">
        <w:rPr>
          <w:rFonts w:ascii="Aptos" w:eastAsia="Aptos" w:hAnsi="Aptos" w:cs="Aptos"/>
        </w:rPr>
        <w:t xml:space="preserve">he </w:t>
      </w:r>
      <w:r w:rsidR="00EF1EF7">
        <w:rPr>
          <w:rFonts w:ascii="Aptos" w:eastAsia="Aptos" w:hAnsi="Aptos" w:cs="Aptos"/>
        </w:rPr>
        <w:t>H</w:t>
      </w:r>
      <w:r w:rsidRPr="73C9EB47">
        <w:rPr>
          <w:rFonts w:ascii="Aptos" w:eastAsia="Aptos" w:hAnsi="Aptos" w:cs="Aptos"/>
        </w:rPr>
        <w:t>olocaust</w:t>
      </w:r>
      <w:r w:rsidR="00EF1EF7">
        <w:rPr>
          <w:rFonts w:ascii="Aptos" w:eastAsia="Aptos" w:hAnsi="Aptos" w:cs="Aptos"/>
        </w:rPr>
        <w:t>,</w:t>
      </w:r>
      <w:r w:rsidRPr="73C9EB47">
        <w:rPr>
          <w:rFonts w:ascii="Aptos" w:eastAsia="Aptos" w:hAnsi="Aptos" w:cs="Aptos"/>
        </w:rPr>
        <w:t xml:space="preserve"> Hitler was </w:t>
      </w:r>
      <w:r w:rsidR="00181C19" w:rsidRPr="73C9EB47">
        <w:rPr>
          <w:rFonts w:ascii="Aptos" w:eastAsia="Aptos" w:hAnsi="Aptos" w:cs="Aptos"/>
        </w:rPr>
        <w:t>responsible</w:t>
      </w:r>
      <w:r w:rsidRPr="73C9EB47">
        <w:rPr>
          <w:rFonts w:ascii="Aptos" w:eastAsia="Aptos" w:hAnsi="Aptos" w:cs="Aptos"/>
        </w:rPr>
        <w:t xml:space="preserve"> for the dea</w:t>
      </w:r>
      <w:r w:rsidR="00181C19">
        <w:rPr>
          <w:rFonts w:ascii="Aptos" w:eastAsia="Aptos" w:hAnsi="Aptos" w:cs="Aptos"/>
        </w:rPr>
        <w:t>t</w:t>
      </w:r>
      <w:r w:rsidRPr="73C9EB47">
        <w:rPr>
          <w:rFonts w:ascii="Aptos" w:eastAsia="Aptos" w:hAnsi="Aptos" w:cs="Aptos"/>
        </w:rPr>
        <w:t xml:space="preserve">h </w:t>
      </w:r>
      <w:r w:rsidR="7C8495AC" w:rsidRPr="73C9EB47">
        <w:rPr>
          <w:rFonts w:ascii="Aptos" w:eastAsia="Aptos" w:hAnsi="Aptos" w:cs="Aptos"/>
        </w:rPr>
        <w:t xml:space="preserve">of over </w:t>
      </w:r>
      <w:r w:rsidR="00181C19">
        <w:rPr>
          <w:rFonts w:ascii="Aptos" w:eastAsia="Aptos" w:hAnsi="Aptos" w:cs="Aptos"/>
        </w:rPr>
        <w:t xml:space="preserve">75 million people </w:t>
      </w:r>
      <w:r w:rsidR="008E6B29">
        <w:rPr>
          <w:rStyle w:val="FootnoteReference"/>
          <w:rFonts w:ascii="Aptos" w:eastAsia="Aptos" w:hAnsi="Aptos" w:cs="Aptos"/>
        </w:rPr>
        <w:footnoteReference w:id="1"/>
      </w:r>
      <w:r w:rsidR="00181C19">
        <w:rPr>
          <w:rFonts w:ascii="Aptos" w:eastAsia="Aptos" w:hAnsi="Aptos" w:cs="Aptos"/>
        </w:rPr>
        <w:t>. Scholars disagree on what was the turning point in world history that allowed a fascist dictatorship to take over swathes of Europe. In this essay, we will look at 3 key events in Nazi Germany history and the effects they had on Hitler’s rise to power. Comparing the impact they made on Hitler turning Germany into a totalitarian state.</w:t>
      </w:r>
    </w:p>
    <w:p w14:paraId="54839F5B" w14:textId="77777777" w:rsidR="00181C19" w:rsidRDefault="00181C19" w:rsidP="73C9EB47">
      <w:pPr>
        <w:rPr>
          <w:rFonts w:ascii="Aptos" w:eastAsia="Aptos" w:hAnsi="Aptos" w:cs="Aptos"/>
        </w:rPr>
      </w:pPr>
    </w:p>
    <w:p w14:paraId="54385347" w14:textId="01D0E74F" w:rsidR="00DC6C76" w:rsidRDefault="00181C19" w:rsidP="73C9EB47">
      <w:pPr>
        <w:rPr>
          <w:rFonts w:ascii="Aptos" w:eastAsia="Aptos" w:hAnsi="Aptos" w:cs="Aptos"/>
        </w:rPr>
      </w:pPr>
      <w:r>
        <w:rPr>
          <w:rFonts w:ascii="Aptos" w:eastAsia="Aptos" w:hAnsi="Aptos" w:cs="Aptos"/>
        </w:rPr>
        <w:t>The first document is the Reichstag Fire Decree 193</w:t>
      </w:r>
      <w:r w:rsidR="001444EF">
        <w:rPr>
          <w:rFonts w:ascii="Aptos" w:eastAsia="Aptos" w:hAnsi="Aptos" w:cs="Aptos"/>
        </w:rPr>
        <w:t>3</w:t>
      </w:r>
      <w:r>
        <w:rPr>
          <w:rFonts w:ascii="Aptos" w:eastAsia="Aptos" w:hAnsi="Aptos" w:cs="Aptos"/>
        </w:rPr>
        <w:t xml:space="preserve"> </w:t>
      </w:r>
      <w:r w:rsidR="008E6B29">
        <w:rPr>
          <w:rStyle w:val="FootnoteReference"/>
          <w:rFonts w:ascii="Aptos" w:eastAsia="Aptos" w:hAnsi="Aptos" w:cs="Aptos"/>
        </w:rPr>
        <w:footnoteReference w:id="2"/>
      </w:r>
      <w:r>
        <w:rPr>
          <w:rFonts w:ascii="Aptos" w:eastAsia="Aptos" w:hAnsi="Aptos" w:cs="Aptos"/>
        </w:rPr>
        <w:t>. On the night of 26</w:t>
      </w:r>
      <w:r w:rsidRPr="00181C19">
        <w:rPr>
          <w:rFonts w:ascii="Aptos" w:eastAsia="Aptos" w:hAnsi="Aptos" w:cs="Aptos"/>
          <w:vertAlign w:val="superscript"/>
        </w:rPr>
        <w:t>th</w:t>
      </w:r>
      <w:r>
        <w:rPr>
          <w:rFonts w:ascii="Aptos" w:eastAsia="Aptos" w:hAnsi="Aptos" w:cs="Aptos"/>
        </w:rPr>
        <w:t xml:space="preserve"> February 1933 </w:t>
      </w:r>
      <w:r w:rsidR="00397485">
        <w:rPr>
          <w:rFonts w:ascii="Aptos" w:eastAsia="Aptos" w:hAnsi="Aptos" w:cs="Aptos"/>
        </w:rPr>
        <w:t xml:space="preserve">(3) </w:t>
      </w:r>
      <w:r>
        <w:rPr>
          <w:rFonts w:ascii="Aptos" w:eastAsia="Aptos" w:hAnsi="Aptos" w:cs="Aptos"/>
        </w:rPr>
        <w:t xml:space="preserve">the Reichstag, Germany’s parliament, was set alight. </w:t>
      </w:r>
      <w:r w:rsidR="00397485">
        <w:rPr>
          <w:rFonts w:ascii="Aptos" w:eastAsia="Aptos" w:hAnsi="Aptos" w:cs="Aptos"/>
        </w:rPr>
        <w:t>Immediately</w:t>
      </w:r>
      <w:r>
        <w:rPr>
          <w:rFonts w:ascii="Aptos" w:eastAsia="Aptos" w:hAnsi="Aptos" w:cs="Aptos"/>
        </w:rPr>
        <w:t xml:space="preserve"> the Nazi party seized the opportunity to use the fire to </w:t>
      </w:r>
      <w:proofErr w:type="spellStart"/>
      <w:r>
        <w:rPr>
          <w:rFonts w:ascii="Aptos" w:eastAsia="Aptos" w:hAnsi="Aptos" w:cs="Aptos"/>
        </w:rPr>
        <w:t>it’s</w:t>
      </w:r>
      <w:proofErr w:type="spellEnd"/>
      <w:r>
        <w:rPr>
          <w:rFonts w:ascii="Aptos" w:eastAsia="Aptos" w:hAnsi="Aptos" w:cs="Aptos"/>
        </w:rPr>
        <w:t xml:space="preserve"> advantage. </w:t>
      </w:r>
      <w:r w:rsidR="00397485">
        <w:rPr>
          <w:rFonts w:ascii="Aptos" w:eastAsia="Aptos" w:hAnsi="Aptos" w:cs="Aptos"/>
        </w:rPr>
        <w:t xml:space="preserve">Van Der Lubbe (A known communist) was found in the building once the fire was put out. This allowed the nazi’s to push the narrative that the communists set the building alight. In response to Van der Lubbe allegedly setting the blaze, Hitler induced then-president Paul Von Hindenburg to create the Reichstag Fire Decree. This allowed for the suspension of many civil </w:t>
      </w:r>
      <w:r w:rsidR="00EA35BD">
        <w:rPr>
          <w:rFonts w:ascii="Aptos" w:eastAsia="Aptos" w:hAnsi="Aptos" w:cs="Aptos"/>
        </w:rPr>
        <w:t>liberties</w:t>
      </w:r>
      <w:r w:rsidR="00397485">
        <w:rPr>
          <w:rFonts w:ascii="Aptos" w:eastAsia="Aptos" w:hAnsi="Aptos" w:cs="Aptos"/>
        </w:rPr>
        <w:t xml:space="preserve"> which included </w:t>
      </w:r>
      <w:proofErr w:type="spellStart"/>
      <w:r w:rsidR="00397485">
        <w:rPr>
          <w:rFonts w:ascii="Aptos" w:eastAsia="Aptos" w:hAnsi="Aptos" w:cs="Aptos"/>
        </w:rPr>
        <w:t>Habeus</w:t>
      </w:r>
      <w:proofErr w:type="spellEnd"/>
      <w:r w:rsidR="00397485">
        <w:rPr>
          <w:rFonts w:ascii="Aptos" w:eastAsia="Aptos" w:hAnsi="Aptos" w:cs="Aptos"/>
        </w:rPr>
        <w:t xml:space="preserve"> Corpus.  </w:t>
      </w:r>
    </w:p>
    <w:p w14:paraId="124E45EE" w14:textId="77777777" w:rsidR="00DC6C76" w:rsidRDefault="00DC6C76" w:rsidP="73C9EB47">
      <w:pPr>
        <w:rPr>
          <w:rFonts w:ascii="Aptos" w:eastAsia="Aptos" w:hAnsi="Aptos" w:cs="Aptos"/>
        </w:rPr>
      </w:pPr>
    </w:p>
    <w:p w14:paraId="6A22474D" w14:textId="497CE45C" w:rsidR="00DC6C76" w:rsidRDefault="00397485" w:rsidP="73C9EB47">
      <w:pPr>
        <w:rPr>
          <w:rFonts w:ascii="Aptos" w:eastAsia="Aptos" w:hAnsi="Aptos" w:cs="Aptos"/>
        </w:rPr>
      </w:pPr>
      <w:r>
        <w:rPr>
          <w:rFonts w:ascii="Aptos" w:eastAsia="Aptos" w:hAnsi="Aptos" w:cs="Aptos"/>
        </w:rPr>
        <w:t>The decree</w:t>
      </w:r>
      <w:r w:rsidR="00DC6C76">
        <w:rPr>
          <w:rFonts w:ascii="Aptos" w:eastAsia="Aptos" w:hAnsi="Aptos" w:cs="Aptos"/>
        </w:rPr>
        <w:t xml:space="preserve"> (under section one) </w:t>
      </w:r>
      <w:r>
        <w:rPr>
          <w:rFonts w:ascii="Aptos" w:eastAsia="Aptos" w:hAnsi="Aptos" w:cs="Aptos"/>
        </w:rPr>
        <w:t xml:space="preserve">allowed police (controlled by the Nazi party) to arrest someone who was being disobedient to the government, endangering human life and more. The police were no longer restricted by red tape being able to </w:t>
      </w:r>
      <w:r w:rsidR="00DC6C76">
        <w:rPr>
          <w:rFonts w:ascii="Aptos" w:eastAsia="Aptos" w:hAnsi="Aptos" w:cs="Aptos"/>
        </w:rPr>
        <w:t>search and confiscate items from homes without a warrant;</w:t>
      </w:r>
    </w:p>
    <w:p w14:paraId="70D5FAFD" w14:textId="0C81969A" w:rsidR="00DC6C76" w:rsidRPr="00DC6C76" w:rsidRDefault="00EA35BD" w:rsidP="00DC6C76">
      <w:pPr>
        <w:ind w:left="720"/>
        <w:rPr>
          <w:rFonts w:ascii="Aptos" w:eastAsia="Aptos" w:hAnsi="Aptos" w:cs="Aptos"/>
          <w:i/>
          <w:iCs/>
        </w:rPr>
      </w:pPr>
      <w:r w:rsidRPr="00DC6C76">
        <w:rPr>
          <w:rFonts w:ascii="Aptos" w:eastAsia="Aptos" w:hAnsi="Aptos" w:cs="Aptos"/>
          <w:i/>
          <w:iCs/>
        </w:rPr>
        <w:t xml:space="preserve"> </w:t>
      </w:r>
      <w:r w:rsidR="00DC6C76" w:rsidRPr="00DC6C76">
        <w:rPr>
          <w:rFonts w:ascii="Aptos" w:eastAsia="Aptos" w:hAnsi="Aptos" w:cs="Aptos"/>
          <w:i/>
          <w:iCs/>
        </w:rPr>
        <w:t>orders for confiscations as well as restrictions on property are permissible beyond the legal limits otherwise prescribed.</w:t>
      </w:r>
      <w:r w:rsidR="00DC6C76">
        <w:rPr>
          <w:rFonts w:ascii="Aptos" w:eastAsia="Aptos" w:hAnsi="Aptos" w:cs="Aptos"/>
          <w:i/>
          <w:iCs/>
        </w:rPr>
        <w:t xml:space="preserve"> </w:t>
      </w:r>
      <w:r w:rsidR="008E6B29">
        <w:rPr>
          <w:rStyle w:val="FootnoteReference"/>
          <w:rFonts w:ascii="Aptos" w:eastAsia="Aptos" w:hAnsi="Aptos" w:cs="Aptos"/>
          <w:i/>
          <w:iCs/>
        </w:rPr>
        <w:footnoteReference w:id="3"/>
      </w:r>
    </w:p>
    <w:p w14:paraId="73C1325E" w14:textId="61DF9291" w:rsidR="00397485" w:rsidRDefault="00DC6C76" w:rsidP="73C9EB47">
      <w:pPr>
        <w:rPr>
          <w:rFonts w:ascii="Aptos" w:eastAsia="Aptos" w:hAnsi="Aptos" w:cs="Aptos"/>
        </w:rPr>
      </w:pPr>
      <w:r>
        <w:rPr>
          <w:rFonts w:ascii="Aptos" w:eastAsia="Aptos" w:hAnsi="Aptos" w:cs="Aptos"/>
        </w:rPr>
        <w:lastRenderedPageBreak/>
        <w:t>T</w:t>
      </w:r>
      <w:r w:rsidR="00EA35BD">
        <w:rPr>
          <w:rFonts w:ascii="Aptos" w:eastAsia="Aptos" w:hAnsi="Aptos" w:cs="Aptos"/>
        </w:rPr>
        <w:t>his meant they could remove items from homes, families and persons and no laws could be broken by doing so as it was now legal if in a position of power to confiscate anything deemed as provoking or inciting disobedience.</w:t>
      </w:r>
    </w:p>
    <w:p w14:paraId="70744EE4" w14:textId="39037EC9" w:rsidR="00DC6C76" w:rsidRDefault="00EA35BD" w:rsidP="73C9EB47">
      <w:pPr>
        <w:rPr>
          <w:rFonts w:ascii="Aptos" w:eastAsia="Aptos" w:hAnsi="Aptos" w:cs="Aptos"/>
        </w:rPr>
      </w:pPr>
      <w:r>
        <w:rPr>
          <w:rFonts w:ascii="Aptos" w:eastAsia="Aptos" w:hAnsi="Aptos" w:cs="Aptos"/>
        </w:rPr>
        <w:t xml:space="preserve">The decree meant that Hitler had more power than ever before as trials no longer had to be fair, and evidence was much easier to plant. </w:t>
      </w:r>
    </w:p>
    <w:p w14:paraId="36A15B03" w14:textId="1445C93C" w:rsidR="00DC6C76" w:rsidRDefault="00DC6C76" w:rsidP="00DC6C76">
      <w:pPr>
        <w:rPr>
          <w:rFonts w:ascii="Aptos" w:eastAsia="Aptos" w:hAnsi="Aptos" w:cs="Aptos"/>
        </w:rPr>
      </w:pPr>
      <w:r>
        <w:rPr>
          <w:rFonts w:ascii="Aptos" w:eastAsia="Aptos" w:hAnsi="Aptos" w:cs="Aptos"/>
        </w:rPr>
        <w:t xml:space="preserve">Penalties for certain crimes were made punishable by death. Even just being the inspiration for the crime was enough to warrant a potential death sentence: </w:t>
      </w:r>
    </w:p>
    <w:p w14:paraId="672D4B25" w14:textId="31398E58" w:rsidR="00DC6C76" w:rsidRDefault="00DC6C76" w:rsidP="00DC6C76">
      <w:pPr>
        <w:ind w:left="720"/>
        <w:rPr>
          <w:rFonts w:ascii="Aptos" w:eastAsia="Aptos" w:hAnsi="Aptos" w:cs="Aptos"/>
          <w:i/>
          <w:iCs/>
        </w:rPr>
      </w:pPr>
      <w:r w:rsidRPr="00DC6C76">
        <w:rPr>
          <w:rFonts w:ascii="Aptos" w:eastAsia="Aptos" w:hAnsi="Aptos" w:cs="Aptos"/>
          <w:i/>
          <w:iCs/>
        </w:rPr>
        <w:t>Anyone who undertakes to kill the Reich President or a member or a commissioner of the Reich government or of a state government, or provokes such a killing</w:t>
      </w:r>
      <w:r>
        <w:rPr>
          <w:rFonts w:ascii="Aptos" w:eastAsia="Aptos" w:hAnsi="Aptos" w:cs="Aptos"/>
          <w:i/>
          <w:iCs/>
        </w:rPr>
        <w:t xml:space="preserve">… </w:t>
      </w:r>
      <w:r w:rsidR="008E6B29">
        <w:rPr>
          <w:rStyle w:val="FootnoteReference"/>
          <w:rFonts w:ascii="Aptos" w:eastAsia="Aptos" w:hAnsi="Aptos" w:cs="Aptos"/>
          <w:i/>
          <w:iCs/>
        </w:rPr>
        <w:footnoteReference w:id="4"/>
      </w:r>
    </w:p>
    <w:p w14:paraId="145CAB5A" w14:textId="77777777" w:rsidR="00DC6C76" w:rsidRPr="00DC6C76" w:rsidRDefault="00DC6C76" w:rsidP="00DC6C76">
      <w:pPr>
        <w:rPr>
          <w:rFonts w:ascii="Aptos" w:eastAsia="Aptos" w:hAnsi="Aptos" w:cs="Aptos"/>
        </w:rPr>
      </w:pPr>
    </w:p>
    <w:p w14:paraId="1D6CD153" w14:textId="63D2B160" w:rsidR="00EA35BD" w:rsidRDefault="00EA35BD" w:rsidP="73C9EB47">
      <w:pPr>
        <w:rPr>
          <w:rFonts w:ascii="Aptos" w:eastAsia="Aptos" w:hAnsi="Aptos" w:cs="Aptos"/>
        </w:rPr>
      </w:pPr>
      <w:r>
        <w:rPr>
          <w:rFonts w:ascii="Aptos" w:eastAsia="Aptos" w:hAnsi="Aptos" w:cs="Aptos"/>
        </w:rPr>
        <w:t xml:space="preserve">Many scholars believe that whilst Van Der Lubbe was arrested and tried for the fire that it was in fact the Nazi’s that set the fire. Walter </w:t>
      </w:r>
      <w:proofErr w:type="spellStart"/>
      <w:r>
        <w:rPr>
          <w:rFonts w:ascii="Aptos" w:eastAsia="Aptos" w:hAnsi="Aptos" w:cs="Aptos"/>
        </w:rPr>
        <w:t>Gemp</w:t>
      </w:r>
      <w:proofErr w:type="spellEnd"/>
      <w:r>
        <w:rPr>
          <w:rFonts w:ascii="Aptos" w:eastAsia="Aptos" w:hAnsi="Aptos" w:cs="Aptos"/>
        </w:rPr>
        <w:t xml:space="preserve">, the head of the fire department, was one of the first people to suggest this. </w:t>
      </w:r>
      <w:proofErr w:type="spellStart"/>
      <w:r>
        <w:rPr>
          <w:rFonts w:ascii="Aptos" w:eastAsia="Aptos" w:hAnsi="Aptos" w:cs="Aptos"/>
        </w:rPr>
        <w:t>Gemp</w:t>
      </w:r>
      <w:proofErr w:type="spellEnd"/>
      <w:r>
        <w:rPr>
          <w:rFonts w:ascii="Aptos" w:eastAsia="Aptos" w:hAnsi="Aptos" w:cs="Aptos"/>
        </w:rPr>
        <w:t xml:space="preserve"> presented evidence that suggested Nazi’s had been involved in setting the fire. However, he was promptly arrested for abuse of office and imprisoned. 6 years later, </w:t>
      </w:r>
      <w:proofErr w:type="spellStart"/>
      <w:r>
        <w:rPr>
          <w:rFonts w:ascii="Aptos" w:eastAsia="Aptos" w:hAnsi="Aptos" w:cs="Aptos"/>
        </w:rPr>
        <w:t>Gemp</w:t>
      </w:r>
      <w:proofErr w:type="spellEnd"/>
      <w:r>
        <w:rPr>
          <w:rFonts w:ascii="Aptos" w:eastAsia="Aptos" w:hAnsi="Aptos" w:cs="Aptos"/>
        </w:rPr>
        <w:t xml:space="preserve"> was strangled in prison and succumbed to his injuries. Scholars argue that the circumstances around his death suggested foul play by the Nazi party, but this was never confirmed</w:t>
      </w:r>
      <w:r w:rsidR="00CA3D63">
        <w:rPr>
          <w:rFonts w:ascii="Aptos" w:eastAsia="Aptos" w:hAnsi="Aptos" w:cs="Aptos"/>
        </w:rPr>
        <w:t>.</w:t>
      </w:r>
      <w:r w:rsidR="008E6B29">
        <w:rPr>
          <w:rStyle w:val="FootnoteReference"/>
          <w:rFonts w:ascii="Aptos" w:eastAsia="Aptos" w:hAnsi="Aptos" w:cs="Aptos"/>
        </w:rPr>
        <w:footnoteReference w:id="5"/>
      </w:r>
    </w:p>
    <w:p w14:paraId="5B1A4137" w14:textId="17B86F56" w:rsidR="00EA35BD" w:rsidRDefault="00EA35BD" w:rsidP="73C9EB47">
      <w:pPr>
        <w:rPr>
          <w:rFonts w:ascii="Aptos" w:eastAsia="Aptos" w:hAnsi="Aptos" w:cs="Aptos"/>
        </w:rPr>
      </w:pPr>
      <w:r>
        <w:rPr>
          <w:rFonts w:ascii="Aptos" w:eastAsia="Aptos" w:hAnsi="Aptos" w:cs="Aptos"/>
        </w:rPr>
        <w:t xml:space="preserve">The importance of the decree is </w:t>
      </w:r>
      <w:r w:rsidR="00DC6C76">
        <w:rPr>
          <w:rFonts w:ascii="Aptos" w:eastAsia="Aptos" w:hAnsi="Aptos" w:cs="Aptos"/>
        </w:rPr>
        <w:t xml:space="preserve">clearly </w:t>
      </w:r>
      <w:r>
        <w:rPr>
          <w:rFonts w:ascii="Aptos" w:eastAsia="Aptos" w:hAnsi="Aptos" w:cs="Aptos"/>
        </w:rPr>
        <w:t xml:space="preserve">one of the most influential events in Nazi history as it allowed the Nazi party to start </w:t>
      </w:r>
      <w:r w:rsidR="00DC6C76">
        <w:rPr>
          <w:rFonts w:ascii="Aptos" w:eastAsia="Aptos" w:hAnsi="Aptos" w:cs="Aptos"/>
        </w:rPr>
        <w:t xml:space="preserve">creating </w:t>
      </w:r>
      <w:r>
        <w:rPr>
          <w:rFonts w:ascii="Aptos" w:eastAsia="Aptos" w:hAnsi="Aptos" w:cs="Aptos"/>
        </w:rPr>
        <w:t xml:space="preserve">a police state. It was, however, not the only piece of legislation in 1933 that shaped the history of Germany. </w:t>
      </w:r>
    </w:p>
    <w:p w14:paraId="3D238481" w14:textId="77777777" w:rsidR="00F56B48" w:rsidRDefault="00F56B48" w:rsidP="73C9EB47">
      <w:pPr>
        <w:rPr>
          <w:rFonts w:ascii="Aptos" w:eastAsia="Aptos" w:hAnsi="Aptos" w:cs="Aptos"/>
        </w:rPr>
      </w:pPr>
    </w:p>
    <w:p w14:paraId="72F49A32" w14:textId="77777777" w:rsidR="00F56B48" w:rsidRDefault="00F56B48" w:rsidP="73C9EB47">
      <w:pPr>
        <w:rPr>
          <w:rFonts w:ascii="Aptos" w:eastAsia="Aptos" w:hAnsi="Aptos" w:cs="Aptos"/>
        </w:rPr>
      </w:pPr>
    </w:p>
    <w:p w14:paraId="39CBDA39" w14:textId="77777777" w:rsidR="00F56B48" w:rsidRDefault="00F56B48" w:rsidP="73C9EB47">
      <w:pPr>
        <w:rPr>
          <w:rFonts w:ascii="Aptos" w:eastAsia="Aptos" w:hAnsi="Aptos" w:cs="Aptos"/>
        </w:rPr>
      </w:pPr>
    </w:p>
    <w:p w14:paraId="2657A3AE" w14:textId="77777777" w:rsidR="00F56B48" w:rsidRDefault="00F56B48" w:rsidP="73C9EB47">
      <w:pPr>
        <w:rPr>
          <w:rFonts w:ascii="Aptos" w:eastAsia="Aptos" w:hAnsi="Aptos" w:cs="Aptos"/>
        </w:rPr>
      </w:pPr>
    </w:p>
    <w:p w14:paraId="26792715" w14:textId="77777777" w:rsidR="00F56B48" w:rsidRDefault="00F56B48" w:rsidP="73C9EB47">
      <w:pPr>
        <w:rPr>
          <w:rFonts w:ascii="Aptos" w:eastAsia="Aptos" w:hAnsi="Aptos" w:cs="Aptos"/>
        </w:rPr>
      </w:pPr>
    </w:p>
    <w:p w14:paraId="0C1B87D1" w14:textId="77777777" w:rsidR="00F56B48" w:rsidRDefault="00F56B48" w:rsidP="73C9EB47">
      <w:pPr>
        <w:rPr>
          <w:rFonts w:ascii="Aptos" w:eastAsia="Aptos" w:hAnsi="Aptos" w:cs="Aptos"/>
        </w:rPr>
      </w:pPr>
    </w:p>
    <w:p w14:paraId="7D9A19C8" w14:textId="5DC0B515" w:rsidR="00EA35BD" w:rsidRDefault="00EA35BD" w:rsidP="73C9EB47">
      <w:pPr>
        <w:rPr>
          <w:rFonts w:ascii="Aptos" w:eastAsia="Aptos" w:hAnsi="Aptos" w:cs="Aptos"/>
        </w:rPr>
      </w:pPr>
      <w:r>
        <w:rPr>
          <w:rFonts w:ascii="Aptos" w:eastAsia="Aptos" w:hAnsi="Aptos" w:cs="Aptos"/>
        </w:rPr>
        <w:lastRenderedPageBreak/>
        <w:t>The second event is the Enabling Act 1933.</w:t>
      </w:r>
      <w:r w:rsidR="00A36E56">
        <w:rPr>
          <w:rFonts w:ascii="Aptos" w:eastAsia="Aptos" w:hAnsi="Aptos" w:cs="Aptos"/>
        </w:rPr>
        <w:t xml:space="preserve"> Passed by the Reichstag in March</w:t>
      </w:r>
      <w:r w:rsidR="008E6B29">
        <w:rPr>
          <w:rFonts w:ascii="Aptos" w:eastAsia="Aptos" w:hAnsi="Aptos" w:cs="Aptos"/>
        </w:rPr>
        <w:t xml:space="preserve"> 1933</w:t>
      </w:r>
      <w:r w:rsidR="00A36E56">
        <w:rPr>
          <w:rFonts w:ascii="Aptos" w:eastAsia="Aptos" w:hAnsi="Aptos" w:cs="Aptos"/>
        </w:rPr>
        <w:t xml:space="preserve">, The Enabling Act further repealed rights of German citizens. It was now legal for the government to pass laws without the consent of parliament. However, the law wasn’t passed in a usual sense. Hitler decided that the 81 communists and some of the 120 social Democrats were not allowed to sit in the chamber to debate the passage </w:t>
      </w:r>
      <w:r w:rsidR="008E6B29">
        <w:rPr>
          <w:rFonts w:ascii="Aptos" w:eastAsia="Aptos" w:hAnsi="Aptos" w:cs="Aptos"/>
        </w:rPr>
        <w:t>o</w:t>
      </w:r>
      <w:r w:rsidR="00A36E56">
        <w:rPr>
          <w:rFonts w:ascii="Aptos" w:eastAsia="Aptos" w:hAnsi="Aptos" w:cs="Aptos"/>
        </w:rPr>
        <w:t>f the law. Instead, they were detained in Dachau, the original concentration camp. When the vote came to the floor SS and Sa officers were present in the chamber, effectively intimidating representatives and ensuring they complied with the passage of the law.</w:t>
      </w:r>
      <w:r w:rsidR="00F56B48">
        <w:rPr>
          <w:rStyle w:val="FootnoteReference"/>
          <w:rFonts w:ascii="Aptos" w:eastAsia="Aptos" w:hAnsi="Aptos" w:cs="Aptos"/>
        </w:rPr>
        <w:footnoteReference w:id="6"/>
      </w:r>
    </w:p>
    <w:p w14:paraId="70C33651" w14:textId="77777777" w:rsidR="004148D0" w:rsidRDefault="00A36E56" w:rsidP="73C9EB47">
      <w:pPr>
        <w:rPr>
          <w:rFonts w:ascii="Aptos" w:eastAsia="Aptos" w:hAnsi="Aptos" w:cs="Aptos"/>
        </w:rPr>
      </w:pPr>
      <w:r>
        <w:rPr>
          <w:rFonts w:ascii="Aptos" w:eastAsia="Aptos" w:hAnsi="Aptos" w:cs="Aptos"/>
        </w:rPr>
        <w:t xml:space="preserve">The passage of the Enabling Act meant that Hitler no longer needed approval from the parliament or from President Hindenburg. It also meant he could introduce laws that laws that were unconstitutional. Effectively meaning Hitler was, in all but name, a dictator </w:t>
      </w:r>
      <w:r w:rsidR="00DC6C76">
        <w:rPr>
          <w:rFonts w:ascii="Aptos" w:eastAsia="Aptos" w:hAnsi="Aptos" w:cs="Aptos"/>
        </w:rPr>
        <w:t>and</w:t>
      </w:r>
      <w:r>
        <w:rPr>
          <w:rFonts w:ascii="Aptos" w:eastAsia="Aptos" w:hAnsi="Aptos" w:cs="Aptos"/>
        </w:rPr>
        <w:t xml:space="preserve"> unpunishable</w:t>
      </w:r>
      <w:r w:rsidR="004148D0">
        <w:rPr>
          <w:rFonts w:ascii="Aptos" w:eastAsia="Aptos" w:hAnsi="Aptos" w:cs="Aptos"/>
        </w:rPr>
        <w:t xml:space="preserve"> within German law.</w:t>
      </w:r>
    </w:p>
    <w:p w14:paraId="0FC8604A" w14:textId="6A838FA7" w:rsidR="00A36E56" w:rsidRDefault="004148D0" w:rsidP="73C9EB47">
      <w:pPr>
        <w:rPr>
          <w:rFonts w:ascii="Aptos" w:eastAsia="Aptos" w:hAnsi="Aptos" w:cs="Aptos"/>
        </w:rPr>
      </w:pPr>
      <w:r w:rsidRPr="0C83BCDB">
        <w:rPr>
          <w:rFonts w:ascii="Aptos" w:eastAsia="Aptos" w:hAnsi="Aptos" w:cs="Aptos"/>
        </w:rPr>
        <w:t>The third event was the ‘</w:t>
      </w:r>
      <w:r w:rsidR="1D1F88AB" w:rsidRPr="0C83BCDB">
        <w:rPr>
          <w:rFonts w:ascii="Aptos" w:eastAsia="Aptos" w:hAnsi="Aptos" w:cs="Aptos"/>
        </w:rPr>
        <w:t>Ni</w:t>
      </w:r>
      <w:r w:rsidRPr="0C83BCDB">
        <w:rPr>
          <w:rFonts w:ascii="Aptos" w:eastAsia="Aptos" w:hAnsi="Aptos" w:cs="Aptos"/>
        </w:rPr>
        <w:t xml:space="preserve">ght of the </w:t>
      </w:r>
      <w:r w:rsidR="0D0D5073" w:rsidRPr="0C83BCDB">
        <w:rPr>
          <w:rFonts w:ascii="Aptos" w:eastAsia="Aptos" w:hAnsi="Aptos" w:cs="Aptos"/>
        </w:rPr>
        <w:t>L</w:t>
      </w:r>
      <w:r w:rsidRPr="0C83BCDB">
        <w:rPr>
          <w:rFonts w:ascii="Aptos" w:eastAsia="Aptos" w:hAnsi="Aptos" w:cs="Aptos"/>
        </w:rPr>
        <w:t xml:space="preserve">ong </w:t>
      </w:r>
      <w:r w:rsidR="770CB4C7" w:rsidRPr="0C83BCDB">
        <w:rPr>
          <w:rFonts w:ascii="Aptos" w:eastAsia="Aptos" w:hAnsi="Aptos" w:cs="Aptos"/>
        </w:rPr>
        <w:t>K</w:t>
      </w:r>
      <w:r w:rsidRPr="0C83BCDB">
        <w:rPr>
          <w:rFonts w:ascii="Aptos" w:eastAsia="Aptos" w:hAnsi="Aptos" w:cs="Aptos"/>
        </w:rPr>
        <w:t>nives</w:t>
      </w:r>
      <w:r w:rsidR="1473A26E" w:rsidRPr="0C83BCDB">
        <w:rPr>
          <w:rFonts w:ascii="Aptos" w:eastAsia="Aptos" w:hAnsi="Aptos" w:cs="Aptos"/>
        </w:rPr>
        <w:t>’</w:t>
      </w:r>
      <w:r w:rsidRPr="0C83BCDB">
        <w:rPr>
          <w:rFonts w:ascii="Aptos" w:eastAsia="Aptos" w:hAnsi="Aptos" w:cs="Aptos"/>
        </w:rPr>
        <w:t xml:space="preserve">. An evening where Hitler purged those whom he believed to be disloyal, from any potential position of power. One of those killed was Ernst Rohm. Rohm had been slowly consolidating the Sturmabteilung (SA) into an army. However, Hitler had been planning to use the Reichswehr as his army and wanted to expand it as a tool to consolidate his power. Because of this difference, many </w:t>
      </w:r>
      <w:r w:rsidR="0C01A216" w:rsidRPr="0C83BCDB">
        <w:rPr>
          <w:rFonts w:ascii="Aptos" w:eastAsia="Aptos" w:hAnsi="Aptos" w:cs="Aptos"/>
        </w:rPr>
        <w:t>high-ranking</w:t>
      </w:r>
      <w:r w:rsidRPr="0C83BCDB">
        <w:rPr>
          <w:rFonts w:ascii="Aptos" w:eastAsia="Aptos" w:hAnsi="Aptos" w:cs="Aptos"/>
        </w:rPr>
        <w:t xml:space="preserve"> Nazi’s started to believe Rohm was a danger to the Nazi party. Some even feared that he may inspire another </w:t>
      </w:r>
      <w:r w:rsidR="6798DA5D" w:rsidRPr="0C83BCDB">
        <w:rPr>
          <w:rFonts w:ascii="Aptos" w:eastAsia="Aptos" w:hAnsi="Aptos" w:cs="Aptos"/>
        </w:rPr>
        <w:t>revolution,</w:t>
      </w:r>
      <w:r w:rsidRPr="0C83BCDB">
        <w:rPr>
          <w:rFonts w:ascii="Aptos" w:eastAsia="Aptos" w:hAnsi="Aptos" w:cs="Aptos"/>
        </w:rPr>
        <w:t xml:space="preserve"> and the current sitting Nazi’s would be usurped from power.</w:t>
      </w:r>
    </w:p>
    <w:p w14:paraId="5312D080" w14:textId="027E4BA3" w:rsidR="2DD682CE" w:rsidRDefault="2DD682CE" w:rsidP="0C83BCDB">
      <w:pPr>
        <w:rPr>
          <w:rFonts w:ascii="Aptos" w:eastAsia="Aptos" w:hAnsi="Aptos" w:cs="Aptos"/>
        </w:rPr>
      </w:pPr>
      <w:r w:rsidRPr="0C83BCDB">
        <w:rPr>
          <w:rFonts w:ascii="Aptos" w:eastAsia="Aptos" w:hAnsi="Aptos" w:cs="Aptos"/>
        </w:rPr>
        <w:t>Taking this into account, Hitler decided something needed to be done</w:t>
      </w:r>
      <w:r w:rsidR="0FEDC93E" w:rsidRPr="0C83BCDB">
        <w:rPr>
          <w:rFonts w:ascii="Aptos" w:eastAsia="Aptos" w:hAnsi="Aptos" w:cs="Aptos"/>
        </w:rPr>
        <w:t xml:space="preserve">. One of the </w:t>
      </w:r>
      <w:r w:rsidR="004A70FD" w:rsidRPr="0C83BCDB">
        <w:rPr>
          <w:rFonts w:ascii="Aptos" w:eastAsia="Aptos" w:hAnsi="Aptos" w:cs="Aptos"/>
        </w:rPr>
        <w:t>driving</w:t>
      </w:r>
      <w:r w:rsidR="0FEDC93E" w:rsidRPr="0C83BCDB">
        <w:rPr>
          <w:rFonts w:ascii="Aptos" w:eastAsia="Aptos" w:hAnsi="Aptos" w:cs="Aptos"/>
        </w:rPr>
        <w:t xml:space="preserve"> forces behind this was the supposed threat to resign from one of the </w:t>
      </w:r>
      <w:r w:rsidR="30619A2B" w:rsidRPr="0C83BCDB">
        <w:rPr>
          <w:rFonts w:ascii="Aptos" w:eastAsia="Aptos" w:hAnsi="Aptos" w:cs="Aptos"/>
        </w:rPr>
        <w:t>country’s</w:t>
      </w:r>
      <w:r w:rsidR="0FEDC93E" w:rsidRPr="0C83BCDB">
        <w:rPr>
          <w:rFonts w:ascii="Aptos" w:eastAsia="Aptos" w:hAnsi="Aptos" w:cs="Aptos"/>
        </w:rPr>
        <w:t xml:space="preserve"> ranking conservat</w:t>
      </w:r>
      <w:r w:rsidR="38F33513" w:rsidRPr="0C83BCDB">
        <w:rPr>
          <w:rFonts w:ascii="Aptos" w:eastAsia="Aptos" w:hAnsi="Aptos" w:cs="Aptos"/>
        </w:rPr>
        <w:t xml:space="preserve">ives, Von Papen. </w:t>
      </w:r>
      <w:r w:rsidR="61A809F0" w:rsidRPr="0C83BCDB">
        <w:rPr>
          <w:rFonts w:ascii="Aptos" w:eastAsia="Aptos" w:hAnsi="Aptos" w:cs="Aptos"/>
        </w:rPr>
        <w:t xml:space="preserve"> Von Papen wasn’t impressed with the SA and their violent nature and believed that </w:t>
      </w:r>
      <w:r w:rsidR="5FE3B7EB" w:rsidRPr="0C83BCDB">
        <w:rPr>
          <w:rFonts w:ascii="Aptos" w:eastAsia="Aptos" w:hAnsi="Aptos" w:cs="Aptos"/>
        </w:rPr>
        <w:t xml:space="preserve">if Hitler did not </w:t>
      </w:r>
    </w:p>
    <w:p w14:paraId="12753E09" w14:textId="427B67C0" w:rsidR="5FE3B7EB" w:rsidRDefault="5FE3B7EB" w:rsidP="0C83BCDB">
      <w:pPr>
        <w:ind w:left="720"/>
        <w:rPr>
          <w:rFonts w:ascii="Aptos" w:eastAsia="Aptos" w:hAnsi="Aptos" w:cs="Aptos"/>
          <w:i/>
          <w:iCs/>
        </w:rPr>
      </w:pPr>
      <w:r w:rsidRPr="0C83BCDB">
        <w:rPr>
          <w:rFonts w:ascii="Aptos" w:eastAsia="Aptos" w:hAnsi="Aptos" w:cs="Aptos"/>
          <w:i/>
          <w:iCs/>
        </w:rPr>
        <w:t>break once and for all with the members of his party who were distorting his policies</w:t>
      </w:r>
      <w:r w:rsidR="00F56B48">
        <w:rPr>
          <w:rStyle w:val="FootnoteReference"/>
          <w:rFonts w:ascii="Aptos" w:eastAsia="Aptos" w:hAnsi="Aptos" w:cs="Aptos"/>
          <w:i/>
          <w:iCs/>
        </w:rPr>
        <w:footnoteReference w:id="7"/>
      </w:r>
    </w:p>
    <w:p w14:paraId="41D3F36D" w14:textId="130DE3C0" w:rsidR="2A0535B7" w:rsidRDefault="2A0535B7" w:rsidP="0C83BCDB">
      <w:pPr>
        <w:rPr>
          <w:rFonts w:ascii="Aptos" w:eastAsia="Aptos" w:hAnsi="Aptos" w:cs="Aptos"/>
        </w:rPr>
      </w:pPr>
      <w:r w:rsidRPr="0C83BCDB">
        <w:rPr>
          <w:rFonts w:ascii="Aptos" w:eastAsia="Aptos" w:hAnsi="Aptos" w:cs="Aptos"/>
        </w:rPr>
        <w:lastRenderedPageBreak/>
        <w:t>that he would resign as Vice-Chancellor.</w:t>
      </w:r>
      <w:r w:rsidR="02C79124" w:rsidRPr="0C83BCDB">
        <w:rPr>
          <w:rFonts w:ascii="Aptos" w:eastAsia="Aptos" w:hAnsi="Aptos" w:cs="Aptos"/>
        </w:rPr>
        <w:t xml:space="preserve"> A senior minister resigning would only call the Nazi government into disrepute and would make consolidating power much harder, especially given Von Papen’s popularity with conservatives.</w:t>
      </w:r>
    </w:p>
    <w:p w14:paraId="66B9441F" w14:textId="513A0A76" w:rsidR="6A075D50" w:rsidRDefault="6A075D50" w:rsidP="0C83BCDB">
      <w:pPr>
        <w:rPr>
          <w:rFonts w:ascii="Aptos" w:eastAsia="Aptos" w:hAnsi="Aptos" w:cs="Aptos"/>
        </w:rPr>
      </w:pPr>
      <w:r w:rsidRPr="0C83BCDB">
        <w:rPr>
          <w:rFonts w:ascii="Aptos" w:eastAsia="Aptos" w:hAnsi="Aptos" w:cs="Aptos"/>
        </w:rPr>
        <w:t xml:space="preserve">This made Hitler realize that something needed to be done. </w:t>
      </w:r>
      <w:r w:rsidR="57700257" w:rsidRPr="0C83BCDB">
        <w:rPr>
          <w:rFonts w:ascii="Aptos" w:eastAsia="Aptos" w:hAnsi="Aptos" w:cs="Aptos"/>
        </w:rPr>
        <w:t>On the 30</w:t>
      </w:r>
      <w:r w:rsidR="57700257" w:rsidRPr="0C83BCDB">
        <w:rPr>
          <w:rFonts w:ascii="Aptos" w:eastAsia="Aptos" w:hAnsi="Aptos" w:cs="Aptos"/>
          <w:vertAlign w:val="superscript"/>
        </w:rPr>
        <w:t>th</w:t>
      </w:r>
      <w:r w:rsidR="57700257" w:rsidRPr="0C83BCDB">
        <w:rPr>
          <w:rFonts w:ascii="Aptos" w:eastAsia="Aptos" w:hAnsi="Aptos" w:cs="Aptos"/>
        </w:rPr>
        <w:t xml:space="preserve"> June 1934, Hitler flew into Munich with heavily armed SS soldier. He accosted several SA general</w:t>
      </w:r>
      <w:r w:rsidR="4AEF7038" w:rsidRPr="0C83BCDB">
        <w:rPr>
          <w:rFonts w:ascii="Aptos" w:eastAsia="Aptos" w:hAnsi="Aptos" w:cs="Aptos"/>
        </w:rPr>
        <w:t xml:space="preserve">s for their behavior and for the violence they were creating. </w:t>
      </w:r>
      <w:proofErr w:type="spellStart"/>
      <w:r w:rsidR="4AEF7038" w:rsidRPr="0C83BCDB">
        <w:rPr>
          <w:rFonts w:ascii="Aptos" w:eastAsia="Aptos" w:hAnsi="Aptos" w:cs="Aptos"/>
        </w:rPr>
        <w:t>Schneidhuber</w:t>
      </w:r>
      <w:proofErr w:type="spellEnd"/>
      <w:r w:rsidR="4AEF7038" w:rsidRPr="0C83BCDB">
        <w:rPr>
          <w:rFonts w:ascii="Aptos" w:eastAsia="Aptos" w:hAnsi="Aptos" w:cs="Aptos"/>
        </w:rPr>
        <w:t xml:space="preserve">, one of the </w:t>
      </w:r>
      <w:r w:rsidR="4DAE4D5E" w:rsidRPr="0C83BCDB">
        <w:rPr>
          <w:rFonts w:ascii="Aptos" w:eastAsia="Aptos" w:hAnsi="Aptos" w:cs="Aptos"/>
        </w:rPr>
        <w:t>highest-ranking</w:t>
      </w:r>
      <w:r w:rsidR="4AEF7038" w:rsidRPr="0C83BCDB">
        <w:rPr>
          <w:rFonts w:ascii="Aptos" w:eastAsia="Aptos" w:hAnsi="Aptos" w:cs="Aptos"/>
        </w:rPr>
        <w:t xml:space="preserve"> generals in Muni</w:t>
      </w:r>
      <w:r w:rsidR="503B2ACD" w:rsidRPr="0C83BCDB">
        <w:rPr>
          <w:rFonts w:ascii="Aptos" w:eastAsia="Aptos" w:hAnsi="Aptos" w:cs="Aptos"/>
        </w:rPr>
        <w:t xml:space="preserve">ch was accused of treachery, lead outside and executed on that same charge. </w:t>
      </w:r>
    </w:p>
    <w:p w14:paraId="5C2BC2EB" w14:textId="6B378638" w:rsidR="0634029B" w:rsidRDefault="0634029B" w:rsidP="0C83BCDB">
      <w:pPr>
        <w:rPr>
          <w:rFonts w:ascii="Aptos" w:eastAsia="Aptos" w:hAnsi="Aptos" w:cs="Aptos"/>
        </w:rPr>
      </w:pPr>
      <w:r w:rsidRPr="0C83BCDB">
        <w:rPr>
          <w:rFonts w:ascii="Aptos" w:eastAsia="Aptos" w:hAnsi="Aptos" w:cs="Aptos"/>
        </w:rPr>
        <w:t>Just a few hours later, Rohm and other leaders were arrested. Heines, a troop leader was</w:t>
      </w:r>
      <w:r w:rsidR="3691AFA0" w:rsidRPr="0C83BCDB">
        <w:rPr>
          <w:rFonts w:ascii="Aptos" w:eastAsia="Aptos" w:hAnsi="Aptos" w:cs="Aptos"/>
        </w:rPr>
        <w:t xml:space="preserve"> found in bed with another male, </w:t>
      </w:r>
      <w:r w:rsidR="2FADCB01" w:rsidRPr="0C83BCDB">
        <w:rPr>
          <w:rFonts w:ascii="Aptos" w:eastAsia="Aptos" w:hAnsi="Aptos" w:cs="Aptos"/>
        </w:rPr>
        <w:t>Hitler</w:t>
      </w:r>
      <w:r w:rsidR="3691AFA0" w:rsidRPr="0C83BCDB">
        <w:rPr>
          <w:rFonts w:ascii="Aptos" w:eastAsia="Aptos" w:hAnsi="Aptos" w:cs="Aptos"/>
        </w:rPr>
        <w:t xml:space="preserve"> ordered the two of them to be taken outside and </w:t>
      </w:r>
      <w:r w:rsidR="374A4D7C" w:rsidRPr="0C83BCDB">
        <w:rPr>
          <w:rFonts w:ascii="Aptos" w:eastAsia="Aptos" w:hAnsi="Aptos" w:cs="Aptos"/>
        </w:rPr>
        <w:t>executed</w:t>
      </w:r>
      <w:r w:rsidR="00F56B48">
        <w:rPr>
          <w:rStyle w:val="FootnoteReference"/>
          <w:rFonts w:ascii="Aptos" w:eastAsia="Aptos" w:hAnsi="Aptos" w:cs="Aptos"/>
        </w:rPr>
        <w:footnoteReference w:id="8"/>
      </w:r>
      <w:r w:rsidR="00F56B48">
        <w:rPr>
          <w:rFonts w:ascii="Aptos" w:eastAsia="Aptos" w:hAnsi="Aptos" w:cs="Aptos"/>
        </w:rPr>
        <w:t>.</w:t>
      </w:r>
      <w:r w:rsidR="708B9C6E" w:rsidRPr="0C83BCDB">
        <w:rPr>
          <w:rFonts w:ascii="Aptos" w:eastAsia="Aptos" w:hAnsi="Aptos" w:cs="Aptos"/>
        </w:rPr>
        <w:t xml:space="preserve"> Goebbels would eventually use this in his propaganda to enforce German ‘traditions’ and German ‘morals’</w:t>
      </w:r>
      <w:r w:rsidR="692B4997" w:rsidRPr="0C83BCDB">
        <w:rPr>
          <w:rFonts w:ascii="Aptos" w:eastAsia="Aptos" w:hAnsi="Aptos" w:cs="Aptos"/>
        </w:rPr>
        <w:t>. He identified homosexuality (and later, the Jewish religion) as ‘moral turpitude’</w:t>
      </w:r>
      <w:r w:rsidR="09D12745" w:rsidRPr="0C83BCDB">
        <w:rPr>
          <w:rFonts w:ascii="Aptos" w:eastAsia="Aptos" w:hAnsi="Aptos" w:cs="Aptos"/>
        </w:rPr>
        <w:t xml:space="preserve"> and that it needed to be eradicated</w:t>
      </w:r>
      <w:r w:rsidR="534EA7E4" w:rsidRPr="0C83BCDB">
        <w:rPr>
          <w:rFonts w:ascii="Aptos" w:eastAsia="Aptos" w:hAnsi="Aptos" w:cs="Aptos"/>
        </w:rPr>
        <w:t>.</w:t>
      </w:r>
      <w:r w:rsidR="00F56B48">
        <w:rPr>
          <w:rStyle w:val="FootnoteReference"/>
          <w:rFonts w:ascii="Aptos" w:eastAsia="Aptos" w:hAnsi="Aptos" w:cs="Aptos"/>
        </w:rPr>
        <w:footnoteReference w:id="9"/>
      </w:r>
    </w:p>
    <w:p w14:paraId="787FFDB7" w14:textId="3F15D35B" w:rsidR="534EA7E4" w:rsidRDefault="534EA7E4" w:rsidP="0C83BCDB">
      <w:pPr>
        <w:rPr>
          <w:rFonts w:ascii="Aptos" w:eastAsia="Aptos" w:hAnsi="Aptos" w:cs="Aptos"/>
        </w:rPr>
      </w:pPr>
      <w:r w:rsidRPr="0C83BCDB">
        <w:rPr>
          <w:rFonts w:ascii="Aptos" w:eastAsia="Aptos" w:hAnsi="Aptos" w:cs="Aptos"/>
        </w:rPr>
        <w:t xml:space="preserve">The ‘Night of the Long Knives’ event ended with </w:t>
      </w:r>
      <w:r w:rsidR="1AE6AFF4" w:rsidRPr="0C83BCDB">
        <w:rPr>
          <w:rFonts w:ascii="Aptos" w:eastAsia="Aptos" w:hAnsi="Aptos" w:cs="Aptos"/>
        </w:rPr>
        <w:t xml:space="preserve">over 80 deaths and over 100 arrests taking place. Allowing Hitler to further consolidate his power as a dictator. Due to the events of </w:t>
      </w:r>
      <w:r w:rsidR="2F6BD087" w:rsidRPr="0C83BCDB">
        <w:rPr>
          <w:rFonts w:ascii="Aptos" w:eastAsia="Aptos" w:hAnsi="Aptos" w:cs="Aptos"/>
        </w:rPr>
        <w:t>‘</w:t>
      </w:r>
      <w:r w:rsidR="1AE6AFF4" w:rsidRPr="0C83BCDB">
        <w:rPr>
          <w:rFonts w:ascii="Aptos" w:eastAsia="Aptos" w:hAnsi="Aptos" w:cs="Aptos"/>
        </w:rPr>
        <w:t>The night of long knives’ Hitler officially beg</w:t>
      </w:r>
      <w:r w:rsidR="05C55FD1" w:rsidRPr="0C83BCDB">
        <w:rPr>
          <w:rFonts w:ascii="Aptos" w:eastAsia="Aptos" w:hAnsi="Aptos" w:cs="Aptos"/>
        </w:rPr>
        <w:t xml:space="preserve">an using the term the </w:t>
      </w:r>
      <w:r w:rsidR="028F1E88" w:rsidRPr="0C83BCDB">
        <w:rPr>
          <w:rFonts w:ascii="Aptos" w:eastAsia="Aptos" w:hAnsi="Aptos" w:cs="Aptos"/>
        </w:rPr>
        <w:t>Fuhrer</w:t>
      </w:r>
      <w:r w:rsidR="05C55FD1" w:rsidRPr="0C83BCDB">
        <w:rPr>
          <w:rFonts w:ascii="Aptos" w:eastAsia="Aptos" w:hAnsi="Aptos" w:cs="Aptos"/>
        </w:rPr>
        <w:t>, meaning</w:t>
      </w:r>
      <w:r w:rsidRPr="0C83BCDB">
        <w:rPr>
          <w:rFonts w:ascii="Aptos" w:eastAsia="Aptos" w:hAnsi="Aptos" w:cs="Aptos"/>
        </w:rPr>
        <w:t xml:space="preserve"> </w:t>
      </w:r>
      <w:r w:rsidR="28CD9AE6" w:rsidRPr="0C83BCDB">
        <w:rPr>
          <w:rFonts w:ascii="Aptos" w:eastAsia="Aptos" w:hAnsi="Aptos" w:cs="Aptos"/>
        </w:rPr>
        <w:t>he was now dictator by name and power.</w:t>
      </w:r>
    </w:p>
    <w:p w14:paraId="763C2D82" w14:textId="052A9E49" w:rsidR="003C77D1" w:rsidRDefault="002C3D30" w:rsidP="0C83BCDB">
      <w:pPr>
        <w:rPr>
          <w:rFonts w:ascii="Aptos" w:eastAsia="Aptos" w:hAnsi="Aptos" w:cs="Aptos"/>
          <w:lang w:val="de-DE"/>
        </w:rPr>
      </w:pPr>
      <w:r>
        <w:rPr>
          <w:rFonts w:ascii="Aptos" w:eastAsia="Aptos" w:hAnsi="Aptos" w:cs="Aptos"/>
        </w:rPr>
        <w:t>These three events were the turning points through history that allowed Hitler and the nazi party to clai</w:t>
      </w:r>
      <w:r w:rsidR="003C77D1">
        <w:rPr>
          <w:rFonts w:ascii="Aptos" w:eastAsia="Aptos" w:hAnsi="Aptos" w:cs="Aptos"/>
        </w:rPr>
        <w:t>m</w:t>
      </w:r>
      <w:r>
        <w:rPr>
          <w:rFonts w:ascii="Aptos" w:eastAsia="Aptos" w:hAnsi="Aptos" w:cs="Aptos"/>
        </w:rPr>
        <w:t xml:space="preserve"> and consolidate their power. </w:t>
      </w:r>
      <w:r w:rsidR="003C77D1">
        <w:rPr>
          <w:rFonts w:ascii="Aptos" w:eastAsia="Aptos" w:hAnsi="Aptos" w:cs="Aptos"/>
        </w:rPr>
        <w:t xml:space="preserve">These events allowed the Nazi party </w:t>
      </w:r>
      <w:r>
        <w:rPr>
          <w:rFonts w:ascii="Aptos" w:eastAsia="Aptos" w:hAnsi="Aptos" w:cs="Aptos"/>
        </w:rPr>
        <w:t>to impose the ‘</w:t>
      </w:r>
      <w:r w:rsidRPr="002C3D30">
        <w:rPr>
          <w:rFonts w:ascii="Aptos" w:eastAsia="Aptos" w:hAnsi="Aptos" w:cs="Aptos"/>
          <w:lang w:val="de-DE"/>
        </w:rPr>
        <w:t>F</w:t>
      </w:r>
      <w:r>
        <w:rPr>
          <w:rFonts w:ascii="Aptos" w:eastAsia="Aptos" w:hAnsi="Aptos" w:cs="Aptos"/>
          <w:lang w:val="de-DE"/>
        </w:rPr>
        <w:t>u</w:t>
      </w:r>
      <w:r w:rsidRPr="002C3D30">
        <w:rPr>
          <w:rFonts w:ascii="Aptos" w:eastAsia="Aptos" w:hAnsi="Aptos" w:cs="Aptos"/>
          <w:lang w:val="de-DE"/>
        </w:rPr>
        <w:t>hrerprinzip</w:t>
      </w:r>
      <w:r>
        <w:rPr>
          <w:rFonts w:ascii="Aptos" w:eastAsia="Aptos" w:hAnsi="Aptos" w:cs="Aptos"/>
          <w:lang w:val="de-DE"/>
        </w:rPr>
        <w:t>‘ which was the believe that the Fuhrer’s word was above the law. Fuhrerprinzip lead the idea that Hitler was a man of the people and understood their needs and wants better than the representatives that were in position previously.</w:t>
      </w:r>
      <w:r w:rsidR="00F56B48">
        <w:rPr>
          <w:rStyle w:val="FootnoteReference"/>
          <w:rFonts w:ascii="Aptos" w:eastAsia="Aptos" w:hAnsi="Aptos" w:cs="Aptos"/>
          <w:lang w:val="de-DE"/>
        </w:rPr>
        <w:footnoteReference w:id="10"/>
      </w:r>
      <w:r w:rsidR="003C77D1">
        <w:rPr>
          <w:rFonts w:ascii="Aptos" w:eastAsia="Aptos" w:hAnsi="Aptos" w:cs="Aptos"/>
          <w:lang w:val="de-DE"/>
        </w:rPr>
        <w:t xml:space="preserve">  </w:t>
      </w:r>
    </w:p>
    <w:p w14:paraId="7C014E8F" w14:textId="168BA0FC" w:rsidR="003C77D1" w:rsidRDefault="003C77D1" w:rsidP="0C83BCDB">
      <w:pPr>
        <w:rPr>
          <w:rFonts w:ascii="Aptos" w:eastAsia="Aptos" w:hAnsi="Aptos" w:cs="Aptos"/>
          <w:lang w:val="de-DE"/>
        </w:rPr>
      </w:pPr>
      <w:r>
        <w:rPr>
          <w:rFonts w:ascii="Aptos" w:eastAsia="Aptos" w:hAnsi="Aptos" w:cs="Aptos"/>
          <w:lang w:val="de-DE"/>
        </w:rPr>
        <w:t>This meant that Hitler was free to make decisions without any check and balances and more importantly, without oversight.</w:t>
      </w:r>
    </w:p>
    <w:p w14:paraId="25B6115C" w14:textId="524E94FB" w:rsidR="003C77D1" w:rsidRDefault="003C77D1" w:rsidP="0C83BCDB">
      <w:pPr>
        <w:rPr>
          <w:rFonts w:ascii="Aptos" w:eastAsia="Aptos" w:hAnsi="Aptos" w:cs="Aptos"/>
          <w:lang w:val="de-DE"/>
        </w:rPr>
      </w:pPr>
      <w:r>
        <w:rPr>
          <w:rFonts w:ascii="Aptos" w:eastAsia="Aptos" w:hAnsi="Aptos" w:cs="Aptos"/>
          <w:lang w:val="de-DE"/>
        </w:rPr>
        <w:t xml:space="preserve">Out of the three events, scholars often agree that the Enabling Act is the most influential event as it gave Hitler legal dictatorial powers. However, it could be argued that without the </w:t>
      </w:r>
      <w:r>
        <w:rPr>
          <w:rFonts w:ascii="Aptos" w:eastAsia="Aptos" w:hAnsi="Aptos" w:cs="Aptos"/>
          <w:lang w:val="de-DE"/>
        </w:rPr>
        <w:lastRenderedPageBreak/>
        <w:t>Rechstag fire decree, the enabling act may not have found passage so easy , and indeed could have died on the parliament floor. Giving members of the gestapo (secret police) the ability to legally arrest anyone believed to be inspiring or citing violence meant it was easier to round up those who were diametrically opposed to Hitler and his views, as well as those who were on Hitler’s side but had the potentiality to be an obstacle to Hitler‘s meteoric rise to power.</w:t>
      </w:r>
    </w:p>
    <w:p w14:paraId="06DDC493" w14:textId="5CDEA08E" w:rsidR="003C77D1" w:rsidRDefault="003C77D1" w:rsidP="0C83BCDB">
      <w:pPr>
        <w:rPr>
          <w:rFonts w:ascii="Aptos" w:eastAsia="Aptos" w:hAnsi="Aptos" w:cs="Aptos"/>
          <w:lang w:val="de-DE"/>
        </w:rPr>
      </w:pPr>
      <w:r>
        <w:rPr>
          <w:rFonts w:ascii="Aptos" w:eastAsia="Aptos" w:hAnsi="Aptos" w:cs="Aptos"/>
          <w:lang w:val="de-DE"/>
        </w:rPr>
        <w:t xml:space="preserve">In conclusion, scholars often agree that all 3 events combined were vital to the creation of Nazi Germany in 1934 and that without any of the three occuring, Hitler’s </w:t>
      </w:r>
      <w:r w:rsidR="00EF1EF7">
        <w:rPr>
          <w:rFonts w:ascii="Aptos" w:eastAsia="Aptos" w:hAnsi="Aptos" w:cs="Aptos"/>
          <w:lang w:val="de-DE"/>
        </w:rPr>
        <w:t xml:space="preserve">Nazi party </w:t>
      </w:r>
      <w:r>
        <w:rPr>
          <w:rFonts w:ascii="Aptos" w:eastAsia="Aptos" w:hAnsi="Aptos" w:cs="Aptos"/>
          <w:lang w:val="de-DE"/>
        </w:rPr>
        <w:t xml:space="preserve">may not have got the powerful grasp on the country that </w:t>
      </w:r>
      <w:r w:rsidR="00EF1EF7">
        <w:rPr>
          <w:rFonts w:ascii="Aptos" w:eastAsia="Aptos" w:hAnsi="Aptos" w:cs="Aptos"/>
          <w:lang w:val="de-DE"/>
        </w:rPr>
        <w:t>it</w:t>
      </w:r>
      <w:r>
        <w:rPr>
          <w:rFonts w:ascii="Aptos" w:eastAsia="Aptos" w:hAnsi="Aptos" w:cs="Aptos"/>
          <w:lang w:val="de-DE"/>
        </w:rPr>
        <w:t xml:space="preserve"> did. However, the Reichstag fire decree was the first </w:t>
      </w:r>
      <w:r w:rsidR="00EF1EF7">
        <w:rPr>
          <w:rFonts w:ascii="Aptos" w:eastAsia="Aptos" w:hAnsi="Aptos" w:cs="Aptos"/>
          <w:lang w:val="de-DE"/>
        </w:rPr>
        <w:t>event that solidified Hitler’s chance at a dictatorship. Without it and the groundwork it laid then the enabling act may have never passed and therefore the ‘Night of the Long Knives‘ may never have happened. Making it , ultimately, the most important event. The fire decree ensured that Hitler had a path to power. And whilst Hitoler may have carried on trying it definetly would have made it harder for Hitler to become the Fuhrer.</w:t>
      </w:r>
    </w:p>
    <w:p w14:paraId="75BFBBFD" w14:textId="77777777" w:rsidR="003C77D1" w:rsidRPr="003C77D1" w:rsidRDefault="003C77D1" w:rsidP="0C83BCDB">
      <w:pPr>
        <w:rPr>
          <w:rFonts w:ascii="Aptos" w:eastAsia="Aptos" w:hAnsi="Aptos" w:cs="Aptos"/>
          <w:lang w:val="de-DE"/>
        </w:rPr>
      </w:pPr>
    </w:p>
    <w:p w14:paraId="005CD3C9" w14:textId="1D65A02B" w:rsidR="00181C19" w:rsidRDefault="00181C19" w:rsidP="0C83BCDB">
      <w:pPr>
        <w:rPr>
          <w:rFonts w:ascii="Aptos" w:eastAsia="Aptos" w:hAnsi="Aptos" w:cs="Aptos"/>
        </w:rPr>
      </w:pPr>
    </w:p>
    <w:p w14:paraId="1240B1CA" w14:textId="77777777" w:rsidR="00181C19" w:rsidRDefault="00181C19" w:rsidP="73C9EB47">
      <w:pPr>
        <w:rPr>
          <w:rFonts w:ascii="Aptos" w:eastAsia="Aptos" w:hAnsi="Aptos" w:cs="Aptos"/>
        </w:rPr>
      </w:pPr>
    </w:p>
    <w:p w14:paraId="001CFB9C" w14:textId="77777777" w:rsidR="00181C19" w:rsidRDefault="00181C19" w:rsidP="73C9EB47">
      <w:pPr>
        <w:rPr>
          <w:rFonts w:ascii="Aptos" w:eastAsia="Aptos" w:hAnsi="Aptos" w:cs="Aptos"/>
        </w:rPr>
      </w:pPr>
    </w:p>
    <w:p w14:paraId="27B8D704" w14:textId="3D0583F8" w:rsidR="008E6B29" w:rsidRPr="00F56B48" w:rsidRDefault="00181C19" w:rsidP="00F56B48">
      <w:pPr>
        <w:rPr>
          <w:rFonts w:ascii="Aptos" w:eastAsia="Aptos" w:hAnsi="Aptos" w:cs="Aptos"/>
          <w:u w:val="single"/>
        </w:rPr>
      </w:pPr>
      <w:r w:rsidRPr="00F56B48">
        <w:rPr>
          <w:rFonts w:ascii="Aptos" w:eastAsia="Aptos" w:hAnsi="Aptos" w:cs="Aptos"/>
          <w:u w:val="single"/>
        </w:rPr>
        <w:t>Bibliography</w:t>
      </w:r>
    </w:p>
    <w:p w14:paraId="09EB427B" w14:textId="17A493AB" w:rsidR="00F56B48" w:rsidRDefault="008E6B29" w:rsidP="00F56B48">
      <w:pPr>
        <w:rPr>
          <w:rFonts w:eastAsia="Aptos" w:cs="Aptos"/>
          <w:color w:val="000000" w:themeColor="text1"/>
        </w:rPr>
      </w:pPr>
      <w:r w:rsidRPr="008E6B29">
        <w:rPr>
          <w:rFonts w:eastAsia="Aptos" w:cs="Aptos"/>
          <w:color w:val="000000" w:themeColor="text1"/>
        </w:rPr>
        <w:t>Chief Counsel for prosecution of Axis Criminality USA, ‘</w:t>
      </w:r>
      <w:r w:rsidR="002C3D30" w:rsidRPr="008E6B29">
        <w:rPr>
          <w:rFonts w:eastAsia="Aptos" w:cs="Aptos"/>
          <w:i/>
          <w:iCs/>
          <w:color w:val="000000" w:themeColor="text1"/>
        </w:rPr>
        <w:t>Nazi Conspiracy &amp; Aggression Volume I Chapter VII: Means Used by the Nazi Conspirators in Gaining Control of the German State</w:t>
      </w:r>
      <w:r w:rsidRPr="008E6B29">
        <w:rPr>
          <w:rFonts w:eastAsia="Aptos" w:cs="Aptos"/>
          <w:i/>
          <w:iCs/>
          <w:color w:val="000000" w:themeColor="text1"/>
        </w:rPr>
        <w:t>’</w:t>
      </w:r>
      <w:r w:rsidRPr="008E6B29">
        <w:rPr>
          <w:rFonts w:eastAsia="Aptos" w:cs="Aptos"/>
          <w:color w:val="000000" w:themeColor="text1"/>
        </w:rPr>
        <w:t>(</w:t>
      </w:r>
      <w:r w:rsidR="002C3D30" w:rsidRPr="008E6B29">
        <w:rPr>
          <w:rFonts w:eastAsia="Aptos" w:cs="Aptos"/>
          <w:color w:val="000000" w:themeColor="text1"/>
        </w:rPr>
        <w:t>U.S. Government Printing Office, Washington</w:t>
      </w:r>
      <w:r w:rsidRPr="008E6B29">
        <w:rPr>
          <w:rFonts w:eastAsia="Aptos" w:cs="Aptos"/>
          <w:color w:val="000000" w:themeColor="text1"/>
        </w:rPr>
        <w:t xml:space="preserve"> </w:t>
      </w:r>
      <w:r w:rsidR="002C3D30" w:rsidRPr="008E6B29">
        <w:rPr>
          <w:rFonts w:eastAsia="Aptos" w:cs="Aptos"/>
          <w:color w:val="000000" w:themeColor="text1"/>
        </w:rPr>
        <w:t>1946</w:t>
      </w:r>
      <w:r w:rsidRPr="008E6B29">
        <w:rPr>
          <w:rFonts w:eastAsia="Aptos" w:cs="Aptos"/>
          <w:color w:val="000000" w:themeColor="text1"/>
        </w:rPr>
        <w:t>)</w:t>
      </w:r>
      <w:r w:rsidR="002C3D30" w:rsidRPr="008E6B29">
        <w:rPr>
          <w:rFonts w:eastAsia="Aptos" w:cs="Aptos"/>
          <w:color w:val="000000" w:themeColor="text1"/>
        </w:rPr>
        <w:t xml:space="preserve"> </w:t>
      </w:r>
    </w:p>
    <w:p w14:paraId="454B6E02" w14:textId="1FC1C10B" w:rsidR="00F56B48" w:rsidRPr="00F56B48" w:rsidRDefault="00F56B48" w:rsidP="00F56B48">
      <w:pPr>
        <w:shd w:val="clear" w:color="auto" w:fill="FFFFFF"/>
        <w:spacing w:after="24" w:line="360" w:lineRule="auto"/>
        <w:rPr>
          <w:rFonts w:cs="Arial"/>
          <w:color w:val="000000" w:themeColor="text1"/>
        </w:rPr>
      </w:pPr>
      <w:r w:rsidRPr="008E6B29">
        <w:rPr>
          <w:rFonts w:cs="Arial"/>
          <w:color w:val="000000" w:themeColor="text1"/>
        </w:rPr>
        <w:t> </w:t>
      </w:r>
      <w:r w:rsidRPr="008E6B29">
        <w:rPr>
          <w:rStyle w:val="HTMLCite"/>
          <w:rFonts w:cs="Arial"/>
          <w:i w:val="0"/>
          <w:iCs w:val="0"/>
          <w:color w:val="000000" w:themeColor="text1"/>
        </w:rPr>
        <w:t>Lentz, Harris M.</w:t>
      </w:r>
      <w:r w:rsidRPr="008E6B29">
        <w:rPr>
          <w:rStyle w:val="HTMLCite"/>
          <w:rFonts w:cs="Arial"/>
          <w:color w:val="000000" w:themeColor="text1"/>
        </w:rPr>
        <w:t xml:space="preserve"> ‘</w:t>
      </w:r>
      <w:r w:rsidRPr="008E6B29">
        <w:rPr>
          <w:rStyle w:val="id-lock-registration"/>
          <w:rFonts w:cs="Arial"/>
          <w:i/>
          <w:iCs/>
          <w:color w:val="000000" w:themeColor="text1"/>
        </w:rPr>
        <w:t>Assassinations and executions: an encyclopedia of political violence’</w:t>
      </w:r>
      <w:r w:rsidRPr="008E6B29">
        <w:rPr>
          <w:rStyle w:val="HTMLCite"/>
          <w:rFonts w:cs="Arial"/>
          <w:color w:val="000000" w:themeColor="text1"/>
        </w:rPr>
        <w:t xml:space="preserve"> </w:t>
      </w:r>
      <w:r w:rsidRPr="008E6B29">
        <w:rPr>
          <w:rStyle w:val="HTMLCite"/>
          <w:rFonts w:cs="Arial"/>
          <w:i w:val="0"/>
          <w:iCs w:val="0"/>
          <w:color w:val="000000" w:themeColor="text1"/>
        </w:rPr>
        <w:t xml:space="preserve">(Jefferson MC, McFarland,1988) </w:t>
      </w:r>
    </w:p>
    <w:p w14:paraId="31F5AD53" w14:textId="77777777" w:rsidR="00F56B48" w:rsidRDefault="00F56B48" w:rsidP="00F56B48">
      <w:pPr>
        <w:rPr>
          <w:rFonts w:eastAsia="Aptos" w:cs="Aptos"/>
          <w:color w:val="000000" w:themeColor="text1"/>
          <w:lang w:val="en-GB"/>
        </w:rPr>
      </w:pPr>
      <w:r w:rsidRPr="008E6B29">
        <w:rPr>
          <w:rFonts w:eastAsia="Aptos" w:cs="Aptos"/>
          <w:color w:val="000000" w:themeColor="text1"/>
          <w:lang w:val="en-GB"/>
        </w:rPr>
        <w:t>Shirer, William L ‘The Rise and Fall of the Third Reich’ (Simon and Schuster, New York, 1960)</w:t>
      </w:r>
    </w:p>
    <w:p w14:paraId="0B02CF1D" w14:textId="68F59F85" w:rsidR="00F56B48" w:rsidRDefault="00F56B48" w:rsidP="00F56B48">
      <w:pPr>
        <w:rPr>
          <w:rFonts w:eastAsia="Aptos" w:cs="Aptos"/>
          <w:color w:val="000000" w:themeColor="text1"/>
          <w:lang w:val="en-GB"/>
        </w:rPr>
      </w:pPr>
      <w:r w:rsidRPr="00F56B48">
        <w:rPr>
          <w:rFonts w:eastAsia="Aptos" w:cs="Aptos"/>
          <w:color w:val="000000" w:themeColor="text1"/>
          <w:lang w:val="en-GB"/>
        </w:rPr>
        <w:t>United States Census Bureau</w:t>
      </w:r>
      <w:r w:rsidRPr="008E6B29">
        <w:rPr>
          <w:rFonts w:eastAsia="Aptos" w:cs="Aptos"/>
          <w:i/>
          <w:iCs/>
          <w:color w:val="000000" w:themeColor="text1"/>
          <w:lang w:val="en-GB"/>
        </w:rPr>
        <w:t xml:space="preserve">, “International Programs – Historical Estimates of World Population – US Census – WW2” </w:t>
      </w:r>
      <w:r w:rsidRPr="008E6B29">
        <w:rPr>
          <w:rFonts w:eastAsia="Aptos" w:cs="Aptos"/>
          <w:color w:val="000000" w:themeColor="text1"/>
          <w:lang w:val="en-GB"/>
        </w:rPr>
        <w:t xml:space="preserve"> (US Census Bureau, Washington DC 03/06/2013) Retrieved 28/11/24</w:t>
      </w:r>
    </w:p>
    <w:p w14:paraId="5F9FF56C" w14:textId="3C47A29E" w:rsidR="00F56B48" w:rsidRPr="008E6B29" w:rsidRDefault="00F56B48" w:rsidP="00F56B48">
      <w:pPr>
        <w:rPr>
          <w:rFonts w:eastAsia="Aptos" w:cs="Aptos"/>
          <w:color w:val="000000" w:themeColor="text1"/>
          <w:lang w:val="en-GB"/>
        </w:rPr>
      </w:pPr>
      <w:r w:rsidRPr="008E6B29">
        <w:rPr>
          <w:rFonts w:eastAsia="Aptos" w:cs="Aptos"/>
          <w:color w:val="000000" w:themeColor="text1"/>
          <w:lang w:val="en-GB"/>
        </w:rPr>
        <w:t xml:space="preserve">Von Hindenburg, Paul </w:t>
      </w:r>
      <w:r w:rsidRPr="008E6B29">
        <w:rPr>
          <w:rFonts w:eastAsia="Aptos" w:cs="Aptos"/>
          <w:i/>
          <w:iCs/>
          <w:color w:val="000000" w:themeColor="text1"/>
          <w:lang w:val="en-GB"/>
        </w:rPr>
        <w:t>‘Reichstag Fire Decree’ (</w:t>
      </w:r>
      <w:r w:rsidRPr="008E6B29">
        <w:rPr>
          <w:rFonts w:eastAsia="Aptos" w:cs="Aptos"/>
          <w:color w:val="000000" w:themeColor="text1"/>
        </w:rPr>
        <w:t>German Reichstag, Berlin 1933)</w:t>
      </w:r>
    </w:p>
    <w:p w14:paraId="68F1F49F" w14:textId="77777777" w:rsidR="00F56B48" w:rsidRPr="00CA3D63" w:rsidRDefault="00F56B48" w:rsidP="00F56B48">
      <w:pPr>
        <w:spacing w:line="360" w:lineRule="auto"/>
        <w:rPr>
          <w:rFonts w:eastAsia="Aptos" w:cs="Aptos"/>
          <w:color w:val="000000" w:themeColor="text1"/>
          <w:lang w:val="en-GB"/>
        </w:rPr>
      </w:pPr>
      <w:r w:rsidRPr="008E6B29">
        <w:rPr>
          <w:rFonts w:eastAsia="Aptos" w:cs="Aptos"/>
          <w:color w:val="000000" w:themeColor="text1"/>
          <w:lang w:val="en-GB"/>
        </w:rPr>
        <w:t>Von Papen, Franz, ‘Memoirs’ ( E.P</w:t>
      </w:r>
      <w:r w:rsidRPr="00CA3D63">
        <w:rPr>
          <w:rFonts w:eastAsia="Aptos" w:cs="Aptos"/>
          <w:color w:val="000000" w:themeColor="text1"/>
          <w:lang w:val="en-GB"/>
        </w:rPr>
        <w:t xml:space="preserve">. </w:t>
      </w:r>
      <w:r w:rsidRPr="008E6B29">
        <w:rPr>
          <w:rFonts w:eastAsia="Aptos" w:cs="Aptos"/>
          <w:color w:val="000000" w:themeColor="text1"/>
          <w:lang w:val="en-GB"/>
        </w:rPr>
        <w:t>D</w:t>
      </w:r>
      <w:r w:rsidRPr="00CA3D63">
        <w:rPr>
          <w:rFonts w:eastAsia="Aptos" w:cs="Aptos"/>
          <w:color w:val="000000" w:themeColor="text1"/>
          <w:lang w:val="en-GB"/>
        </w:rPr>
        <w:t>utton &amp; company, inc.</w:t>
      </w:r>
      <w:r w:rsidRPr="008E6B29">
        <w:rPr>
          <w:rFonts w:eastAsia="Aptos" w:cs="Aptos"/>
          <w:color w:val="000000" w:themeColor="text1"/>
          <w:lang w:val="en-GB"/>
        </w:rPr>
        <w:t>, New York, 1953)</w:t>
      </w:r>
    </w:p>
    <w:p w14:paraId="45F3B183" w14:textId="77777777" w:rsidR="00F56B48" w:rsidRPr="00F56B48" w:rsidRDefault="00F56B48" w:rsidP="00F56B48">
      <w:pPr>
        <w:shd w:val="clear" w:color="auto" w:fill="FFFFFF"/>
        <w:spacing w:after="24" w:line="360" w:lineRule="auto"/>
        <w:rPr>
          <w:rFonts w:cs="Arial"/>
          <w:color w:val="000000" w:themeColor="text1"/>
        </w:rPr>
      </w:pPr>
    </w:p>
    <w:p w14:paraId="6F63EE7D" w14:textId="77777777" w:rsidR="00F56B48" w:rsidRPr="00F56B48" w:rsidRDefault="00F56B48" w:rsidP="00F56B48">
      <w:pPr>
        <w:ind w:left="360"/>
        <w:rPr>
          <w:rFonts w:eastAsia="Aptos" w:cs="Aptos"/>
          <w:color w:val="000000" w:themeColor="text1"/>
          <w:lang w:val="en-GB"/>
        </w:rPr>
      </w:pPr>
    </w:p>
    <w:p w14:paraId="3CB3200A" w14:textId="77777777" w:rsidR="00F56B48" w:rsidRPr="008E6B29" w:rsidRDefault="00F56B48" w:rsidP="00F56B48">
      <w:pPr>
        <w:rPr>
          <w:rFonts w:eastAsia="Aptos" w:cs="Aptos"/>
          <w:color w:val="000000" w:themeColor="text1"/>
          <w:lang w:val="en-GB"/>
        </w:rPr>
      </w:pPr>
    </w:p>
    <w:sectPr w:rsidR="00F56B48" w:rsidRPr="008E6B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7907A" w14:textId="77777777" w:rsidR="000A28C1" w:rsidRDefault="000A28C1" w:rsidP="008E6B29">
      <w:pPr>
        <w:spacing w:after="0" w:line="240" w:lineRule="auto"/>
      </w:pPr>
      <w:r>
        <w:separator/>
      </w:r>
    </w:p>
  </w:endnote>
  <w:endnote w:type="continuationSeparator" w:id="0">
    <w:p w14:paraId="02433C5C" w14:textId="77777777" w:rsidR="000A28C1" w:rsidRDefault="000A28C1" w:rsidP="008E6B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01154" w14:textId="77777777" w:rsidR="000A28C1" w:rsidRDefault="000A28C1" w:rsidP="008E6B29">
      <w:pPr>
        <w:spacing w:after="0" w:line="240" w:lineRule="auto"/>
      </w:pPr>
      <w:r>
        <w:separator/>
      </w:r>
    </w:p>
  </w:footnote>
  <w:footnote w:type="continuationSeparator" w:id="0">
    <w:p w14:paraId="32AC0BB3" w14:textId="77777777" w:rsidR="000A28C1" w:rsidRDefault="000A28C1" w:rsidP="008E6B29">
      <w:pPr>
        <w:spacing w:after="0" w:line="240" w:lineRule="auto"/>
      </w:pPr>
      <w:r>
        <w:continuationSeparator/>
      </w:r>
    </w:p>
  </w:footnote>
  <w:footnote w:id="1">
    <w:p w14:paraId="211F70EF" w14:textId="77777777" w:rsidR="008E6B29" w:rsidRPr="008E6B29" w:rsidRDefault="008E6B29" w:rsidP="008E6B29">
      <w:pPr>
        <w:rPr>
          <w:rFonts w:eastAsia="Aptos" w:cs="Aptos"/>
          <w:color w:val="000000" w:themeColor="text1"/>
          <w:lang w:val="en-GB"/>
        </w:rPr>
      </w:pPr>
      <w:r w:rsidRPr="008E6B29">
        <w:rPr>
          <w:rStyle w:val="FootnoteReference"/>
        </w:rPr>
        <w:footnoteRef/>
      </w:r>
      <w:r w:rsidRPr="008E6B29">
        <w:t xml:space="preserve"> </w:t>
      </w:r>
      <w:r w:rsidRPr="008E6B29">
        <w:rPr>
          <w:rFonts w:eastAsia="Aptos" w:cs="Aptos"/>
          <w:i/>
          <w:iCs/>
          <w:color w:val="000000" w:themeColor="text1"/>
          <w:lang w:val="en-GB"/>
        </w:rPr>
        <w:t xml:space="preserve">United States Census Bureau, “International Programs – Historical Estimates of World Population – US Census – WW2” </w:t>
      </w:r>
      <w:r w:rsidRPr="008E6B29">
        <w:rPr>
          <w:rFonts w:eastAsia="Aptos" w:cs="Aptos"/>
          <w:color w:val="000000" w:themeColor="text1"/>
          <w:lang w:val="en-GB"/>
        </w:rPr>
        <w:t xml:space="preserve"> (US Census Bureau, Washington DC 03/06/2013) Retrieved 28/11/24</w:t>
      </w:r>
    </w:p>
    <w:p w14:paraId="31488B7C" w14:textId="4E3C41F0" w:rsidR="008E6B29" w:rsidRPr="008E6B29" w:rsidRDefault="008E6B29">
      <w:pPr>
        <w:pStyle w:val="FootnoteText"/>
        <w:rPr>
          <w:sz w:val="24"/>
          <w:szCs w:val="24"/>
          <w:lang w:val="en-GB"/>
        </w:rPr>
      </w:pPr>
    </w:p>
  </w:footnote>
  <w:footnote w:id="2">
    <w:p w14:paraId="48ACDBFD" w14:textId="77777777" w:rsidR="008E6B29" w:rsidRPr="008E6B29" w:rsidRDefault="008E6B29" w:rsidP="008E6B29">
      <w:pPr>
        <w:rPr>
          <w:rFonts w:eastAsia="Aptos" w:cs="Aptos"/>
          <w:color w:val="000000" w:themeColor="text1"/>
          <w:lang w:val="en-GB"/>
        </w:rPr>
      </w:pPr>
      <w:r w:rsidRPr="008E6B29">
        <w:rPr>
          <w:rStyle w:val="FootnoteReference"/>
        </w:rPr>
        <w:footnoteRef/>
      </w:r>
      <w:r w:rsidRPr="008E6B29">
        <w:t xml:space="preserve"> </w:t>
      </w:r>
      <w:r w:rsidRPr="008E6B29">
        <w:rPr>
          <w:rFonts w:eastAsia="Aptos" w:cs="Aptos"/>
          <w:color w:val="000000" w:themeColor="text1"/>
          <w:lang w:val="en-GB"/>
        </w:rPr>
        <w:t xml:space="preserve">Von Hindenburg, Paul </w:t>
      </w:r>
      <w:r w:rsidRPr="008E6B29">
        <w:rPr>
          <w:rFonts w:eastAsia="Aptos" w:cs="Aptos"/>
          <w:i/>
          <w:iCs/>
          <w:color w:val="000000" w:themeColor="text1"/>
          <w:lang w:val="en-GB"/>
        </w:rPr>
        <w:t>‘Reichstag Fire Decree’ (</w:t>
      </w:r>
      <w:r w:rsidRPr="008E6B29">
        <w:rPr>
          <w:rFonts w:eastAsia="Aptos" w:cs="Aptos"/>
          <w:color w:val="000000" w:themeColor="text1"/>
        </w:rPr>
        <w:t>German Reichstag, Berlin 1933)</w:t>
      </w:r>
    </w:p>
    <w:p w14:paraId="46465FD2" w14:textId="2A804BB5" w:rsidR="008E6B29" w:rsidRPr="008E6B29" w:rsidRDefault="008E6B29">
      <w:pPr>
        <w:pStyle w:val="FootnoteText"/>
        <w:rPr>
          <w:sz w:val="24"/>
          <w:szCs w:val="24"/>
          <w:lang w:val="en-GB"/>
        </w:rPr>
      </w:pPr>
    </w:p>
  </w:footnote>
  <w:footnote w:id="3">
    <w:p w14:paraId="48F37993" w14:textId="56DF872C" w:rsidR="008E6B29" w:rsidRPr="008E6B29" w:rsidRDefault="008E6B29">
      <w:pPr>
        <w:pStyle w:val="FootnoteText"/>
        <w:rPr>
          <w:lang w:val="en-GB"/>
        </w:rPr>
      </w:pPr>
      <w:r w:rsidRPr="008E6B29">
        <w:rPr>
          <w:rStyle w:val="FootnoteReference"/>
          <w:sz w:val="24"/>
          <w:szCs w:val="24"/>
        </w:rPr>
        <w:footnoteRef/>
      </w:r>
      <w:r w:rsidRPr="008E6B29">
        <w:rPr>
          <w:sz w:val="24"/>
          <w:szCs w:val="24"/>
        </w:rPr>
        <w:t xml:space="preserve"> Ibid.</w:t>
      </w:r>
    </w:p>
  </w:footnote>
  <w:footnote w:id="4">
    <w:p w14:paraId="33DFF4B1" w14:textId="248FEA72" w:rsidR="008E6B29" w:rsidRPr="00F56B48" w:rsidRDefault="008E6B29">
      <w:pPr>
        <w:pStyle w:val="FootnoteText"/>
        <w:rPr>
          <w:sz w:val="24"/>
          <w:szCs w:val="24"/>
          <w:lang w:val="en-GB"/>
        </w:rPr>
      </w:pPr>
      <w:r w:rsidRPr="00F56B48">
        <w:rPr>
          <w:rStyle w:val="FootnoteReference"/>
          <w:sz w:val="24"/>
          <w:szCs w:val="24"/>
        </w:rPr>
        <w:footnoteRef/>
      </w:r>
      <w:r w:rsidRPr="00F56B48">
        <w:rPr>
          <w:sz w:val="24"/>
          <w:szCs w:val="24"/>
        </w:rPr>
        <w:t xml:space="preserve"> </w:t>
      </w:r>
      <w:r w:rsidRPr="00F56B48">
        <w:rPr>
          <w:sz w:val="24"/>
          <w:szCs w:val="24"/>
          <w:lang w:val="en-GB"/>
        </w:rPr>
        <w:t>Ibid</w:t>
      </w:r>
    </w:p>
  </w:footnote>
  <w:footnote w:id="5">
    <w:p w14:paraId="24EB9135" w14:textId="447A187F" w:rsidR="008E6B29" w:rsidRPr="00F56B48" w:rsidRDefault="008E6B29" w:rsidP="00F56B48">
      <w:pPr>
        <w:shd w:val="clear" w:color="auto" w:fill="FFFFFF"/>
        <w:spacing w:after="24" w:line="360" w:lineRule="auto"/>
        <w:rPr>
          <w:rFonts w:cs="Arial"/>
          <w:i/>
          <w:iCs/>
          <w:color w:val="000000" w:themeColor="text1"/>
        </w:rPr>
      </w:pPr>
      <w:r w:rsidRPr="00F56B48">
        <w:rPr>
          <w:rStyle w:val="FootnoteReference"/>
        </w:rPr>
        <w:footnoteRef/>
      </w:r>
      <w:r w:rsidRPr="00F56B48">
        <w:t xml:space="preserve"> </w:t>
      </w:r>
      <w:r w:rsidRPr="00F56B48">
        <w:rPr>
          <w:rFonts w:cs="Arial"/>
          <w:color w:val="000000" w:themeColor="text1"/>
        </w:rPr>
        <w:t> </w:t>
      </w:r>
      <w:r w:rsidRPr="00F56B48">
        <w:rPr>
          <w:rStyle w:val="HTMLCite"/>
          <w:rFonts w:cs="Arial"/>
          <w:i w:val="0"/>
          <w:iCs w:val="0"/>
          <w:color w:val="000000" w:themeColor="text1"/>
        </w:rPr>
        <w:t>Lentz, Harris M.</w:t>
      </w:r>
      <w:r w:rsidRPr="00F56B48">
        <w:rPr>
          <w:rStyle w:val="HTMLCite"/>
          <w:rFonts w:cs="Arial"/>
          <w:color w:val="000000" w:themeColor="text1"/>
        </w:rPr>
        <w:t xml:space="preserve"> ‘</w:t>
      </w:r>
      <w:r w:rsidRPr="00F56B48">
        <w:rPr>
          <w:rStyle w:val="id-lock-registration"/>
          <w:rFonts w:cs="Arial"/>
          <w:i/>
          <w:iCs/>
          <w:color w:val="000000" w:themeColor="text1"/>
        </w:rPr>
        <w:t>Assassinations and executions: an encyclopedia of political violence’</w:t>
      </w:r>
      <w:r w:rsidRPr="00F56B48">
        <w:rPr>
          <w:rStyle w:val="HTMLCite"/>
          <w:rFonts w:cs="Arial"/>
          <w:color w:val="000000" w:themeColor="text1"/>
        </w:rPr>
        <w:t xml:space="preserve"> </w:t>
      </w:r>
      <w:r w:rsidRPr="00F56B48">
        <w:rPr>
          <w:rStyle w:val="HTMLCite"/>
          <w:rFonts w:cs="Arial"/>
          <w:i w:val="0"/>
          <w:iCs w:val="0"/>
          <w:color w:val="000000" w:themeColor="text1"/>
        </w:rPr>
        <w:t>(Jefferson MC, McFarland,1988) p. 74.</w:t>
      </w:r>
    </w:p>
  </w:footnote>
  <w:footnote w:id="6">
    <w:p w14:paraId="32E6887C" w14:textId="77777777" w:rsidR="00F56B48" w:rsidRDefault="00F56B48">
      <w:pPr>
        <w:pStyle w:val="FootnoteText"/>
        <w:rPr>
          <w:sz w:val="24"/>
          <w:szCs w:val="24"/>
        </w:rPr>
      </w:pPr>
    </w:p>
    <w:p w14:paraId="3C373A36" w14:textId="56B32D87" w:rsidR="00F56B48" w:rsidRDefault="00F56B48">
      <w:pPr>
        <w:pStyle w:val="FootnoteText"/>
        <w:rPr>
          <w:sz w:val="22"/>
          <w:szCs w:val="22"/>
          <w:lang w:val="en-GB"/>
        </w:rPr>
      </w:pPr>
      <w:r w:rsidRPr="00F56B48">
        <w:rPr>
          <w:rStyle w:val="FootnoteReference"/>
          <w:sz w:val="24"/>
          <w:szCs w:val="24"/>
        </w:rPr>
        <w:footnoteRef/>
      </w:r>
      <w:r w:rsidRPr="00F56B48">
        <w:rPr>
          <w:sz w:val="24"/>
          <w:szCs w:val="24"/>
        </w:rPr>
        <w:t xml:space="preserve"> </w:t>
      </w:r>
      <w:r w:rsidRPr="00F56B48">
        <w:rPr>
          <w:sz w:val="24"/>
          <w:szCs w:val="24"/>
          <w:lang w:val="en-GB"/>
        </w:rPr>
        <w:t>United States Holocaust Memorial Museum</w:t>
      </w:r>
      <w:r w:rsidRPr="00F56B48">
        <w:rPr>
          <w:sz w:val="22"/>
          <w:szCs w:val="22"/>
          <w:lang w:val="en-GB"/>
        </w:rPr>
        <w:t>, ‘</w:t>
      </w:r>
      <w:r w:rsidRPr="00F56B48">
        <w:rPr>
          <w:i/>
          <w:iCs/>
          <w:sz w:val="22"/>
          <w:szCs w:val="22"/>
          <w:lang w:val="en-GB"/>
        </w:rPr>
        <w:t>The Enabling Act</w:t>
      </w:r>
      <w:r w:rsidRPr="00F56B48">
        <w:rPr>
          <w:sz w:val="22"/>
          <w:szCs w:val="22"/>
          <w:lang w:val="en-GB"/>
        </w:rPr>
        <w:t>’, Holocaust Encyclopaedia</w:t>
      </w:r>
    </w:p>
    <w:p w14:paraId="44EFDFF0" w14:textId="2DC0EF01" w:rsidR="00F56B48" w:rsidRPr="00F56B48" w:rsidRDefault="00F56B48">
      <w:pPr>
        <w:pStyle w:val="FootnoteText"/>
        <w:rPr>
          <w:lang w:val="en-GB"/>
        </w:rPr>
      </w:pPr>
      <w:r w:rsidRPr="00F56B48">
        <w:rPr>
          <w:sz w:val="24"/>
          <w:szCs w:val="24"/>
          <w:lang w:val="en-GB"/>
        </w:rPr>
        <w:t>&lt;</w:t>
      </w:r>
      <w:r w:rsidRPr="00F56B48">
        <w:rPr>
          <w:sz w:val="24"/>
          <w:szCs w:val="24"/>
          <w:lang w:val="en-GB"/>
        </w:rPr>
        <w:t>https://encyclopedia.ushmm.org/content/en/article/the-enabling-act</w:t>
      </w:r>
      <w:r w:rsidRPr="00F56B48">
        <w:rPr>
          <w:sz w:val="24"/>
          <w:szCs w:val="24"/>
          <w:lang w:val="en-GB"/>
        </w:rPr>
        <w:t>&gt; (Accessed 29/11/24)</w:t>
      </w:r>
    </w:p>
  </w:footnote>
  <w:footnote w:id="7">
    <w:p w14:paraId="75C640F4" w14:textId="77777777" w:rsidR="00F56B48" w:rsidRPr="00CA3D63" w:rsidRDefault="00F56B48" w:rsidP="00F56B48">
      <w:pPr>
        <w:spacing w:line="360" w:lineRule="auto"/>
        <w:rPr>
          <w:rFonts w:eastAsia="Aptos" w:cs="Aptos"/>
          <w:color w:val="000000" w:themeColor="text1"/>
          <w:lang w:val="en-GB"/>
        </w:rPr>
      </w:pPr>
      <w:r>
        <w:rPr>
          <w:rStyle w:val="FootnoteReference"/>
        </w:rPr>
        <w:footnoteRef/>
      </w:r>
      <w:r>
        <w:t xml:space="preserve"> </w:t>
      </w:r>
      <w:r w:rsidRPr="008E6B29">
        <w:rPr>
          <w:rFonts w:eastAsia="Aptos" w:cs="Aptos"/>
          <w:color w:val="000000" w:themeColor="text1"/>
          <w:lang w:val="en-GB"/>
        </w:rPr>
        <w:t>Von Papen, Franz, ‘</w:t>
      </w:r>
      <w:r w:rsidRPr="00F56B48">
        <w:rPr>
          <w:rFonts w:eastAsia="Aptos" w:cs="Aptos"/>
          <w:i/>
          <w:iCs/>
          <w:color w:val="000000" w:themeColor="text1"/>
          <w:lang w:val="en-GB"/>
        </w:rPr>
        <w:t>Memoirs</w:t>
      </w:r>
      <w:r w:rsidRPr="008E6B29">
        <w:rPr>
          <w:rFonts w:eastAsia="Aptos" w:cs="Aptos"/>
          <w:color w:val="000000" w:themeColor="text1"/>
          <w:lang w:val="en-GB"/>
        </w:rPr>
        <w:t>’ ( E.P</w:t>
      </w:r>
      <w:r w:rsidRPr="00CA3D63">
        <w:rPr>
          <w:rFonts w:eastAsia="Aptos" w:cs="Aptos"/>
          <w:color w:val="000000" w:themeColor="text1"/>
          <w:lang w:val="en-GB"/>
        </w:rPr>
        <w:t xml:space="preserve">. </w:t>
      </w:r>
      <w:r w:rsidRPr="008E6B29">
        <w:rPr>
          <w:rFonts w:eastAsia="Aptos" w:cs="Aptos"/>
          <w:color w:val="000000" w:themeColor="text1"/>
          <w:lang w:val="en-GB"/>
        </w:rPr>
        <w:t>D</w:t>
      </w:r>
      <w:r w:rsidRPr="00CA3D63">
        <w:rPr>
          <w:rFonts w:eastAsia="Aptos" w:cs="Aptos"/>
          <w:color w:val="000000" w:themeColor="text1"/>
          <w:lang w:val="en-GB"/>
        </w:rPr>
        <w:t>utton &amp; company, inc.</w:t>
      </w:r>
      <w:r w:rsidRPr="008E6B29">
        <w:rPr>
          <w:rFonts w:eastAsia="Aptos" w:cs="Aptos"/>
          <w:color w:val="000000" w:themeColor="text1"/>
          <w:lang w:val="en-GB"/>
        </w:rPr>
        <w:t>, New York, 1953)</w:t>
      </w:r>
    </w:p>
    <w:p w14:paraId="48678AD8" w14:textId="51B6D796" w:rsidR="00F56B48" w:rsidRPr="00F56B48" w:rsidRDefault="00F56B48">
      <w:pPr>
        <w:pStyle w:val="FootnoteText"/>
        <w:rPr>
          <w:lang w:val="en-GB"/>
        </w:rPr>
      </w:pPr>
    </w:p>
  </w:footnote>
  <w:footnote w:id="8">
    <w:p w14:paraId="66B831D9" w14:textId="77777777" w:rsidR="00F56B48" w:rsidRPr="008E6B29" w:rsidRDefault="00F56B48" w:rsidP="00F56B48">
      <w:pPr>
        <w:rPr>
          <w:rFonts w:eastAsia="Aptos" w:cs="Aptos"/>
          <w:color w:val="000000" w:themeColor="text1"/>
          <w:lang w:val="en-GB"/>
        </w:rPr>
      </w:pPr>
      <w:r>
        <w:rPr>
          <w:rStyle w:val="FootnoteReference"/>
        </w:rPr>
        <w:footnoteRef/>
      </w:r>
      <w:r>
        <w:t xml:space="preserve"> </w:t>
      </w:r>
      <w:r w:rsidRPr="008E6B29">
        <w:rPr>
          <w:rFonts w:eastAsia="Aptos" w:cs="Aptos"/>
          <w:color w:val="000000" w:themeColor="text1"/>
          <w:lang w:val="en-GB"/>
        </w:rPr>
        <w:t>Shirer, William L ‘</w:t>
      </w:r>
      <w:r w:rsidRPr="00F56B48">
        <w:rPr>
          <w:rFonts w:eastAsia="Aptos" w:cs="Aptos"/>
          <w:i/>
          <w:iCs/>
          <w:color w:val="000000" w:themeColor="text1"/>
          <w:lang w:val="en-GB"/>
        </w:rPr>
        <w:t>The Rise and Fall of the Third Reich’</w:t>
      </w:r>
      <w:r w:rsidRPr="008E6B29">
        <w:rPr>
          <w:rFonts w:eastAsia="Aptos" w:cs="Aptos"/>
          <w:color w:val="000000" w:themeColor="text1"/>
          <w:lang w:val="en-GB"/>
        </w:rPr>
        <w:t xml:space="preserve"> (Simon and Schuster, New York, 1960)</w:t>
      </w:r>
    </w:p>
    <w:p w14:paraId="3D051275" w14:textId="435D3EA1" w:rsidR="00F56B48" w:rsidRPr="00F56B48" w:rsidRDefault="00F56B48">
      <w:pPr>
        <w:pStyle w:val="FootnoteText"/>
        <w:rPr>
          <w:lang w:val="en-GB"/>
        </w:rPr>
      </w:pPr>
    </w:p>
  </w:footnote>
  <w:footnote w:id="9">
    <w:p w14:paraId="4C24FD6A" w14:textId="6410FE83" w:rsidR="00F56B48" w:rsidRPr="00F56B48" w:rsidRDefault="00F56B48">
      <w:pPr>
        <w:pStyle w:val="FootnoteText"/>
        <w:rPr>
          <w:color w:val="000000" w:themeColor="text1"/>
          <w:sz w:val="24"/>
          <w:szCs w:val="24"/>
          <w:lang w:val="en-GB"/>
        </w:rPr>
      </w:pPr>
      <w:r w:rsidRPr="00F56B48">
        <w:rPr>
          <w:rStyle w:val="FootnoteReference"/>
          <w:color w:val="000000" w:themeColor="text1"/>
          <w:sz w:val="24"/>
          <w:szCs w:val="24"/>
        </w:rPr>
        <w:footnoteRef/>
      </w:r>
      <w:r w:rsidRPr="00F56B48">
        <w:rPr>
          <w:color w:val="000000" w:themeColor="text1"/>
          <w:sz w:val="24"/>
          <w:szCs w:val="24"/>
        </w:rPr>
        <w:t xml:space="preserve"> </w:t>
      </w:r>
      <w:r w:rsidRPr="00F56B48">
        <w:rPr>
          <w:color w:val="000000" w:themeColor="text1"/>
          <w:sz w:val="24"/>
          <w:szCs w:val="24"/>
          <w:lang w:val="en-GB"/>
        </w:rPr>
        <w:t>IBID.</w:t>
      </w:r>
    </w:p>
  </w:footnote>
  <w:footnote w:id="10">
    <w:p w14:paraId="0B88CC84" w14:textId="77777777" w:rsidR="00F56B48" w:rsidRPr="00F56B48" w:rsidRDefault="00F56B48" w:rsidP="00F56B48">
      <w:pPr>
        <w:rPr>
          <w:rFonts w:eastAsia="Aptos" w:cs="Aptos"/>
          <w:color w:val="000000" w:themeColor="text1"/>
          <w:lang w:val="en-GB"/>
        </w:rPr>
      </w:pPr>
      <w:r w:rsidRPr="00F56B48">
        <w:rPr>
          <w:rStyle w:val="FootnoteReference"/>
          <w:color w:val="000000" w:themeColor="text1"/>
        </w:rPr>
        <w:footnoteRef/>
      </w:r>
      <w:r w:rsidRPr="00F56B48">
        <w:rPr>
          <w:color w:val="000000" w:themeColor="text1"/>
        </w:rPr>
        <w:t xml:space="preserve"> </w:t>
      </w:r>
      <w:r w:rsidRPr="00F56B48">
        <w:rPr>
          <w:rFonts w:eastAsia="Aptos" w:cs="Aptos"/>
          <w:color w:val="000000" w:themeColor="text1"/>
        </w:rPr>
        <w:t>Chief Counsel for prosecution of Axis Criminality USA, ‘</w:t>
      </w:r>
      <w:r w:rsidRPr="00F56B48">
        <w:rPr>
          <w:rFonts w:eastAsia="Aptos" w:cs="Aptos"/>
          <w:i/>
          <w:iCs/>
          <w:color w:val="000000" w:themeColor="text1"/>
        </w:rPr>
        <w:t>Nazi Conspiracy &amp; Aggression Volume I Chapter VII: Means Used by the Nazi Conspirators in Gaining Control of the German State’</w:t>
      </w:r>
      <w:r w:rsidRPr="00F56B48">
        <w:rPr>
          <w:rFonts w:eastAsia="Aptos" w:cs="Aptos"/>
          <w:color w:val="000000" w:themeColor="text1"/>
        </w:rPr>
        <w:t>(U.S. Government Printing Office, Washington 1946) P191 </w:t>
      </w:r>
    </w:p>
    <w:p w14:paraId="4F071862" w14:textId="1A1A97BB" w:rsidR="00F56B48" w:rsidRPr="00F56B48" w:rsidRDefault="00F56B48">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C3E28"/>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87D30"/>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399374"/>
    <w:multiLevelType w:val="hybridMultilevel"/>
    <w:tmpl w:val="044AF47A"/>
    <w:lvl w:ilvl="0" w:tplc="8A9627B4">
      <w:start w:val="1"/>
      <w:numFmt w:val="bullet"/>
      <w:lvlText w:val=""/>
      <w:lvlJc w:val="left"/>
      <w:pPr>
        <w:ind w:left="720" w:hanging="360"/>
      </w:pPr>
      <w:rPr>
        <w:rFonts w:ascii="Symbol" w:hAnsi="Symbol" w:hint="default"/>
      </w:rPr>
    </w:lvl>
    <w:lvl w:ilvl="1" w:tplc="AE4E67F4">
      <w:start w:val="1"/>
      <w:numFmt w:val="bullet"/>
      <w:lvlText w:val="o"/>
      <w:lvlJc w:val="left"/>
      <w:pPr>
        <w:ind w:left="1440" w:hanging="360"/>
      </w:pPr>
      <w:rPr>
        <w:rFonts w:ascii="Courier New" w:hAnsi="Courier New" w:hint="default"/>
      </w:rPr>
    </w:lvl>
    <w:lvl w:ilvl="2" w:tplc="9656DAC8">
      <w:start w:val="1"/>
      <w:numFmt w:val="bullet"/>
      <w:lvlText w:val=""/>
      <w:lvlJc w:val="left"/>
      <w:pPr>
        <w:ind w:left="2160" w:hanging="360"/>
      </w:pPr>
      <w:rPr>
        <w:rFonts w:ascii="Wingdings" w:hAnsi="Wingdings" w:hint="default"/>
      </w:rPr>
    </w:lvl>
    <w:lvl w:ilvl="3" w:tplc="EB3AB5E4">
      <w:start w:val="1"/>
      <w:numFmt w:val="bullet"/>
      <w:lvlText w:val=""/>
      <w:lvlJc w:val="left"/>
      <w:pPr>
        <w:ind w:left="2880" w:hanging="360"/>
      </w:pPr>
      <w:rPr>
        <w:rFonts w:ascii="Symbol" w:hAnsi="Symbol" w:hint="default"/>
      </w:rPr>
    </w:lvl>
    <w:lvl w:ilvl="4" w:tplc="698EDDAA">
      <w:start w:val="1"/>
      <w:numFmt w:val="bullet"/>
      <w:lvlText w:val="o"/>
      <w:lvlJc w:val="left"/>
      <w:pPr>
        <w:ind w:left="3600" w:hanging="360"/>
      </w:pPr>
      <w:rPr>
        <w:rFonts w:ascii="Courier New" w:hAnsi="Courier New" w:hint="default"/>
      </w:rPr>
    </w:lvl>
    <w:lvl w:ilvl="5" w:tplc="61440B68">
      <w:start w:val="1"/>
      <w:numFmt w:val="bullet"/>
      <w:lvlText w:val=""/>
      <w:lvlJc w:val="left"/>
      <w:pPr>
        <w:ind w:left="4320" w:hanging="360"/>
      </w:pPr>
      <w:rPr>
        <w:rFonts w:ascii="Wingdings" w:hAnsi="Wingdings" w:hint="default"/>
      </w:rPr>
    </w:lvl>
    <w:lvl w:ilvl="6" w:tplc="0AA4B8C0">
      <w:start w:val="1"/>
      <w:numFmt w:val="bullet"/>
      <w:lvlText w:val=""/>
      <w:lvlJc w:val="left"/>
      <w:pPr>
        <w:ind w:left="5040" w:hanging="360"/>
      </w:pPr>
      <w:rPr>
        <w:rFonts w:ascii="Symbol" w:hAnsi="Symbol" w:hint="default"/>
      </w:rPr>
    </w:lvl>
    <w:lvl w:ilvl="7" w:tplc="196202C0">
      <w:start w:val="1"/>
      <w:numFmt w:val="bullet"/>
      <w:lvlText w:val="o"/>
      <w:lvlJc w:val="left"/>
      <w:pPr>
        <w:ind w:left="5760" w:hanging="360"/>
      </w:pPr>
      <w:rPr>
        <w:rFonts w:ascii="Courier New" w:hAnsi="Courier New" w:hint="default"/>
      </w:rPr>
    </w:lvl>
    <w:lvl w:ilvl="8" w:tplc="EB6E7B1C">
      <w:start w:val="1"/>
      <w:numFmt w:val="bullet"/>
      <w:lvlText w:val=""/>
      <w:lvlJc w:val="left"/>
      <w:pPr>
        <w:ind w:left="6480" w:hanging="360"/>
      </w:pPr>
      <w:rPr>
        <w:rFonts w:ascii="Wingdings" w:hAnsi="Wingdings" w:hint="default"/>
      </w:rPr>
    </w:lvl>
  </w:abstractNum>
  <w:abstractNum w:abstractNumId="3" w15:restartNumberingAfterBreak="0">
    <w:nsid w:val="36CC6A3B"/>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C3025C"/>
    <w:multiLevelType w:val="multilevel"/>
    <w:tmpl w:val="4FBA1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D241A6"/>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2569240">
    <w:abstractNumId w:val="2"/>
  </w:num>
  <w:num w:numId="2" w16cid:durableId="1113552532">
    <w:abstractNumId w:val="0"/>
  </w:num>
  <w:num w:numId="3" w16cid:durableId="121651272">
    <w:abstractNumId w:val="4"/>
  </w:num>
  <w:num w:numId="4" w16cid:durableId="760680965">
    <w:abstractNumId w:val="5"/>
  </w:num>
  <w:num w:numId="5" w16cid:durableId="19816732">
    <w:abstractNumId w:val="1"/>
  </w:num>
  <w:num w:numId="6" w16cid:durableId="7552038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814D79"/>
    <w:rsid w:val="000A28C1"/>
    <w:rsid w:val="001444EF"/>
    <w:rsid w:val="00181C19"/>
    <w:rsid w:val="00254BB4"/>
    <w:rsid w:val="002C20C6"/>
    <w:rsid w:val="002C3D30"/>
    <w:rsid w:val="00383D6D"/>
    <w:rsid w:val="00397485"/>
    <w:rsid w:val="003C77D1"/>
    <w:rsid w:val="004148D0"/>
    <w:rsid w:val="004A70FD"/>
    <w:rsid w:val="00562005"/>
    <w:rsid w:val="008D1D50"/>
    <w:rsid w:val="008E6B29"/>
    <w:rsid w:val="00A36E56"/>
    <w:rsid w:val="00CA3D63"/>
    <w:rsid w:val="00CD4C85"/>
    <w:rsid w:val="00DC6C76"/>
    <w:rsid w:val="00EA0DE1"/>
    <w:rsid w:val="00EA35BD"/>
    <w:rsid w:val="00EA3E47"/>
    <w:rsid w:val="00EF1EF7"/>
    <w:rsid w:val="00F56B48"/>
    <w:rsid w:val="028F1E88"/>
    <w:rsid w:val="02C79124"/>
    <w:rsid w:val="0428E6E5"/>
    <w:rsid w:val="05C55FD1"/>
    <w:rsid w:val="0634029B"/>
    <w:rsid w:val="08DF506A"/>
    <w:rsid w:val="096BB4BF"/>
    <w:rsid w:val="09B53FBF"/>
    <w:rsid w:val="09D12745"/>
    <w:rsid w:val="0C01A216"/>
    <w:rsid w:val="0C83BCDB"/>
    <w:rsid w:val="0D0D5073"/>
    <w:rsid w:val="0FEDC93E"/>
    <w:rsid w:val="1210BF3B"/>
    <w:rsid w:val="121474C1"/>
    <w:rsid w:val="1473A26E"/>
    <w:rsid w:val="14A0B2B8"/>
    <w:rsid w:val="15782816"/>
    <w:rsid w:val="15B51335"/>
    <w:rsid w:val="1684D135"/>
    <w:rsid w:val="17021AC9"/>
    <w:rsid w:val="1A954783"/>
    <w:rsid w:val="1AE6AFF4"/>
    <w:rsid w:val="1B814D79"/>
    <w:rsid w:val="1D1F88AB"/>
    <w:rsid w:val="1F7F683E"/>
    <w:rsid w:val="231C1B6B"/>
    <w:rsid w:val="25A6EE4A"/>
    <w:rsid w:val="28CD9AE6"/>
    <w:rsid w:val="2A0535B7"/>
    <w:rsid w:val="2A4E570E"/>
    <w:rsid w:val="2DD682CE"/>
    <w:rsid w:val="2F0EA562"/>
    <w:rsid w:val="2F6BD087"/>
    <w:rsid w:val="2FADCB01"/>
    <w:rsid w:val="30619A2B"/>
    <w:rsid w:val="3691AFA0"/>
    <w:rsid w:val="3719EA01"/>
    <w:rsid w:val="374A4D7C"/>
    <w:rsid w:val="38F33513"/>
    <w:rsid w:val="3B90BC57"/>
    <w:rsid w:val="3C357ADC"/>
    <w:rsid w:val="40611CC7"/>
    <w:rsid w:val="4728A77A"/>
    <w:rsid w:val="47372F41"/>
    <w:rsid w:val="47E622C7"/>
    <w:rsid w:val="486928AF"/>
    <w:rsid w:val="4A77088D"/>
    <w:rsid w:val="4AEF7038"/>
    <w:rsid w:val="4CD56131"/>
    <w:rsid w:val="4D792D43"/>
    <w:rsid w:val="4DAE4D5E"/>
    <w:rsid w:val="4E974645"/>
    <w:rsid w:val="503B2ACD"/>
    <w:rsid w:val="5087961F"/>
    <w:rsid w:val="52BDC3B3"/>
    <w:rsid w:val="52C05310"/>
    <w:rsid w:val="52C36ECA"/>
    <w:rsid w:val="52ED9FF2"/>
    <w:rsid w:val="5348C043"/>
    <w:rsid w:val="534EA7E4"/>
    <w:rsid w:val="57700257"/>
    <w:rsid w:val="5A02FA0C"/>
    <w:rsid w:val="5A127A9B"/>
    <w:rsid w:val="5D846578"/>
    <w:rsid w:val="5FE3B7EB"/>
    <w:rsid w:val="6080569C"/>
    <w:rsid w:val="61A809F0"/>
    <w:rsid w:val="63B2A730"/>
    <w:rsid w:val="65B55888"/>
    <w:rsid w:val="6798DA5D"/>
    <w:rsid w:val="691003B5"/>
    <w:rsid w:val="692B4997"/>
    <w:rsid w:val="6A075D50"/>
    <w:rsid w:val="6A22A1C0"/>
    <w:rsid w:val="708B9C6E"/>
    <w:rsid w:val="73C9EB47"/>
    <w:rsid w:val="770CB4C7"/>
    <w:rsid w:val="78AA6904"/>
    <w:rsid w:val="7C8495AC"/>
    <w:rsid w:val="7F5C81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FCB06"/>
  <w15:chartTrackingRefBased/>
  <w15:docId w15:val="{9FF2C503-1195-4E9F-B507-5B59B9283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181C19"/>
    <w:rPr>
      <w:color w:val="605E5C"/>
      <w:shd w:val="clear" w:color="auto" w:fill="E1DFDD"/>
    </w:rPr>
  </w:style>
  <w:style w:type="character" w:styleId="FollowedHyperlink">
    <w:name w:val="FollowedHyperlink"/>
    <w:basedOn w:val="DefaultParagraphFont"/>
    <w:uiPriority w:val="99"/>
    <w:semiHidden/>
    <w:unhideWhenUsed/>
    <w:rsid w:val="00181C19"/>
    <w:rPr>
      <w:color w:val="96607D" w:themeColor="followedHyperlink"/>
      <w:u w:val="single"/>
    </w:rPr>
  </w:style>
  <w:style w:type="paragraph" w:styleId="ListParagraph">
    <w:name w:val="List Paragraph"/>
    <w:basedOn w:val="Normal"/>
    <w:uiPriority w:val="34"/>
    <w:qFormat/>
    <w:rsid w:val="00397485"/>
    <w:pPr>
      <w:ind w:left="720"/>
      <w:contextualSpacing/>
    </w:pPr>
  </w:style>
  <w:style w:type="character" w:styleId="HTMLCite">
    <w:name w:val="HTML Cite"/>
    <w:basedOn w:val="DefaultParagraphFont"/>
    <w:uiPriority w:val="99"/>
    <w:semiHidden/>
    <w:unhideWhenUsed/>
    <w:rsid w:val="00CA3D63"/>
    <w:rPr>
      <w:i/>
      <w:iCs/>
    </w:rPr>
  </w:style>
  <w:style w:type="character" w:customStyle="1" w:styleId="id-lock-registration">
    <w:name w:val="id-lock-registration"/>
    <w:basedOn w:val="DefaultParagraphFont"/>
    <w:rsid w:val="00CA3D63"/>
  </w:style>
  <w:style w:type="paragraph" w:styleId="FootnoteText">
    <w:name w:val="footnote text"/>
    <w:basedOn w:val="Normal"/>
    <w:link w:val="FootnoteTextChar"/>
    <w:uiPriority w:val="99"/>
    <w:semiHidden/>
    <w:unhideWhenUsed/>
    <w:rsid w:val="008E6B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6B29"/>
    <w:rPr>
      <w:sz w:val="20"/>
      <w:szCs w:val="20"/>
    </w:rPr>
  </w:style>
  <w:style w:type="character" w:styleId="FootnoteReference">
    <w:name w:val="footnote reference"/>
    <w:basedOn w:val="DefaultParagraphFont"/>
    <w:uiPriority w:val="99"/>
    <w:semiHidden/>
    <w:unhideWhenUsed/>
    <w:rsid w:val="008E6B29"/>
    <w:rPr>
      <w:vertAlign w:val="superscript"/>
    </w:rPr>
  </w:style>
  <w:style w:type="paragraph" w:styleId="EndnoteText">
    <w:name w:val="endnote text"/>
    <w:basedOn w:val="Normal"/>
    <w:link w:val="EndnoteTextChar"/>
    <w:uiPriority w:val="99"/>
    <w:semiHidden/>
    <w:unhideWhenUsed/>
    <w:rsid w:val="008E6B2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E6B29"/>
    <w:rPr>
      <w:sz w:val="20"/>
      <w:szCs w:val="20"/>
    </w:rPr>
  </w:style>
  <w:style w:type="character" w:styleId="EndnoteReference">
    <w:name w:val="endnote reference"/>
    <w:basedOn w:val="DefaultParagraphFont"/>
    <w:uiPriority w:val="99"/>
    <w:semiHidden/>
    <w:unhideWhenUsed/>
    <w:rsid w:val="008E6B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49650">
      <w:bodyDiv w:val="1"/>
      <w:marLeft w:val="0"/>
      <w:marRight w:val="0"/>
      <w:marTop w:val="0"/>
      <w:marBottom w:val="0"/>
      <w:divBdr>
        <w:top w:val="none" w:sz="0" w:space="0" w:color="auto"/>
        <w:left w:val="none" w:sz="0" w:space="0" w:color="auto"/>
        <w:bottom w:val="none" w:sz="0" w:space="0" w:color="auto"/>
        <w:right w:val="none" w:sz="0" w:space="0" w:color="auto"/>
      </w:divBdr>
    </w:div>
    <w:div w:id="1084687851">
      <w:bodyDiv w:val="1"/>
      <w:marLeft w:val="0"/>
      <w:marRight w:val="0"/>
      <w:marTop w:val="0"/>
      <w:marBottom w:val="0"/>
      <w:divBdr>
        <w:top w:val="none" w:sz="0" w:space="0" w:color="auto"/>
        <w:left w:val="none" w:sz="0" w:space="0" w:color="auto"/>
        <w:bottom w:val="none" w:sz="0" w:space="0" w:color="auto"/>
        <w:right w:val="none" w:sz="0" w:space="0" w:color="auto"/>
      </w:divBdr>
    </w:div>
    <w:div w:id="1113355916">
      <w:bodyDiv w:val="1"/>
      <w:marLeft w:val="0"/>
      <w:marRight w:val="0"/>
      <w:marTop w:val="0"/>
      <w:marBottom w:val="0"/>
      <w:divBdr>
        <w:top w:val="none" w:sz="0" w:space="0" w:color="auto"/>
        <w:left w:val="none" w:sz="0" w:space="0" w:color="auto"/>
        <w:bottom w:val="none" w:sz="0" w:space="0" w:color="auto"/>
        <w:right w:val="none" w:sz="0" w:space="0" w:color="auto"/>
      </w:divBdr>
    </w:div>
    <w:div w:id="1431972277">
      <w:bodyDiv w:val="1"/>
      <w:marLeft w:val="0"/>
      <w:marRight w:val="0"/>
      <w:marTop w:val="0"/>
      <w:marBottom w:val="0"/>
      <w:divBdr>
        <w:top w:val="none" w:sz="0" w:space="0" w:color="auto"/>
        <w:left w:val="none" w:sz="0" w:space="0" w:color="auto"/>
        <w:bottom w:val="none" w:sz="0" w:space="0" w:color="auto"/>
        <w:right w:val="none" w:sz="0" w:space="0" w:color="auto"/>
      </w:divBdr>
    </w:div>
    <w:div w:id="1778789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EB7E6-77B1-428D-89F8-8CF4E171C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6</Pages>
  <Words>1375</Words>
  <Characters>7841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Dickinson (2405437)</dc:creator>
  <cp:keywords/>
  <dc:description/>
  <cp:lastModifiedBy>Mr O Dickinson</cp:lastModifiedBy>
  <cp:revision>4</cp:revision>
  <dcterms:created xsi:type="dcterms:W3CDTF">2024-11-29T17:48:00Z</dcterms:created>
  <dcterms:modified xsi:type="dcterms:W3CDTF">2024-12-01T00:01:00Z</dcterms:modified>
</cp:coreProperties>
</file>