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8CE4C" w14:textId="77777777" w:rsidR="001E7BBD" w:rsidRPr="00CD5837" w:rsidRDefault="001E7BBD" w:rsidP="001E7BBD">
      <w:pPr>
        <w:jc w:val="center"/>
        <w:rPr>
          <w:rFonts w:ascii="Times New Roman" w:hAnsi="Times New Roman" w:cs="Times New Roman"/>
          <w:b/>
          <w:bCs/>
          <w:sz w:val="32"/>
          <w:szCs w:val="32"/>
          <w:u w:val="single"/>
        </w:rPr>
      </w:pPr>
      <w:r w:rsidRPr="00CD5837">
        <w:rPr>
          <w:rFonts w:ascii="Times New Roman" w:hAnsi="Times New Roman" w:cs="Times New Roman"/>
          <w:b/>
          <w:bCs/>
          <w:sz w:val="32"/>
          <w:szCs w:val="32"/>
          <w:u w:val="single"/>
        </w:rPr>
        <w:t>On the Monarchy and Free Speech</w:t>
      </w:r>
    </w:p>
    <w:p w14:paraId="59EC3BCC" w14:textId="1E98C6B8" w:rsidR="000A34A4" w:rsidRPr="00CD5837" w:rsidRDefault="00EE41A4" w:rsidP="001E7BBD">
      <w:pPr>
        <w:jc w:val="both"/>
        <w:rPr>
          <w:rFonts w:ascii="Times New Roman" w:hAnsi="Times New Roman" w:cs="Times New Roman"/>
          <w:sz w:val="24"/>
          <w:szCs w:val="24"/>
        </w:rPr>
      </w:pPr>
      <w:r w:rsidRPr="00CD5837">
        <w:rPr>
          <w:rFonts w:ascii="Times New Roman" w:hAnsi="Times New Roman" w:cs="Times New Roman"/>
          <w:noProof/>
          <w:sz w:val="24"/>
          <w:szCs w:val="24"/>
        </w:rPr>
        <w:drawing>
          <wp:anchor distT="0" distB="0" distL="114300" distR="114300" simplePos="0" relativeHeight="251661312" behindDoc="1" locked="0" layoutInCell="1" allowOverlap="1" wp14:anchorId="77D91BA8" wp14:editId="6D855F27">
            <wp:simplePos x="0" y="0"/>
            <wp:positionH relativeFrom="margin">
              <wp:posOffset>4226767</wp:posOffset>
            </wp:positionH>
            <wp:positionV relativeFrom="page">
              <wp:posOffset>1824135</wp:posOffset>
            </wp:positionV>
            <wp:extent cx="1506855" cy="1007110"/>
            <wp:effectExtent l="0" t="0" r="0" b="2540"/>
            <wp:wrapTight wrapText="bothSides">
              <wp:wrapPolygon edited="0">
                <wp:start x="0" y="0"/>
                <wp:lineTo x="0" y="21246"/>
                <wp:lineTo x="21300" y="21246"/>
                <wp:lineTo x="2130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06855" cy="1007110"/>
                    </a:xfrm>
                    <a:prstGeom prst="rect">
                      <a:avLst/>
                    </a:prstGeom>
                  </pic:spPr>
                </pic:pic>
              </a:graphicData>
            </a:graphic>
            <wp14:sizeRelH relativeFrom="margin">
              <wp14:pctWidth>0</wp14:pctWidth>
            </wp14:sizeRelH>
            <wp14:sizeRelV relativeFrom="margin">
              <wp14:pctHeight>0</wp14:pctHeight>
            </wp14:sizeRelV>
          </wp:anchor>
        </w:drawing>
      </w:r>
      <w:r w:rsidR="001E7BBD" w:rsidRPr="00CD5837">
        <w:rPr>
          <w:rFonts w:ascii="Times New Roman" w:hAnsi="Times New Roman" w:cs="Times New Roman"/>
          <w:sz w:val="24"/>
          <w:szCs w:val="24"/>
        </w:rPr>
        <w:t xml:space="preserve">There are two ways of looking at this article, the obvious opposing opinions of monarchists and anti-monarchists are the fundamental opposing poles. </w:t>
      </w:r>
      <w:r w:rsidR="00F63FD8" w:rsidRPr="00CD5837">
        <w:rPr>
          <w:rFonts w:ascii="Times New Roman" w:hAnsi="Times New Roman" w:cs="Times New Roman"/>
          <w:sz w:val="24"/>
          <w:szCs w:val="24"/>
        </w:rPr>
        <w:t xml:space="preserve">A Republican will </w:t>
      </w:r>
      <w:r w:rsidR="001E7BBD" w:rsidRPr="00CD5837">
        <w:rPr>
          <w:rFonts w:ascii="Times New Roman" w:hAnsi="Times New Roman" w:cs="Times New Roman"/>
          <w:sz w:val="24"/>
          <w:szCs w:val="24"/>
        </w:rPr>
        <w:t xml:space="preserve">look at the </w:t>
      </w:r>
      <w:r w:rsidR="003E0564" w:rsidRPr="00CD5837">
        <w:rPr>
          <w:rFonts w:ascii="Times New Roman" w:hAnsi="Times New Roman" w:cs="Times New Roman"/>
          <w:sz w:val="24"/>
          <w:szCs w:val="24"/>
        </w:rPr>
        <w:t>anti-monarchist</w:t>
      </w:r>
      <w:r w:rsidR="001E7BBD" w:rsidRPr="00CD5837">
        <w:rPr>
          <w:rFonts w:ascii="Times New Roman" w:hAnsi="Times New Roman" w:cs="Times New Roman"/>
          <w:sz w:val="24"/>
          <w:szCs w:val="24"/>
        </w:rPr>
        <w:t xml:space="preserve"> view from two standpoints. One view is </w:t>
      </w:r>
      <w:r w:rsidR="001F6374" w:rsidRPr="00CD5837">
        <w:rPr>
          <w:rFonts w:ascii="Times New Roman" w:hAnsi="Times New Roman" w:cs="Times New Roman"/>
          <w:sz w:val="24"/>
          <w:szCs w:val="24"/>
        </w:rPr>
        <w:t xml:space="preserve">of course as a </w:t>
      </w:r>
      <w:r w:rsidR="001E7BBD" w:rsidRPr="00CD5837">
        <w:rPr>
          <w:rFonts w:ascii="Times New Roman" w:hAnsi="Times New Roman" w:cs="Times New Roman"/>
          <w:sz w:val="24"/>
          <w:szCs w:val="24"/>
        </w:rPr>
        <w:t xml:space="preserve">Republican and the other view is as a supporter of free speech. </w:t>
      </w:r>
    </w:p>
    <w:p w14:paraId="0AD63CEF" w14:textId="3B1EF690" w:rsidR="001E7BBD" w:rsidRPr="00CD5837" w:rsidRDefault="00C439C9" w:rsidP="001E7BBD">
      <w:pPr>
        <w:jc w:val="both"/>
        <w:rPr>
          <w:rFonts w:ascii="Times New Roman" w:hAnsi="Times New Roman" w:cs="Times New Roman"/>
          <w:sz w:val="24"/>
          <w:szCs w:val="24"/>
        </w:rPr>
      </w:pPr>
      <w:r w:rsidRPr="00CD5837">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14:anchorId="6C4AED36" wp14:editId="2DE5BF1E">
                <wp:simplePos x="0" y="0"/>
                <wp:positionH relativeFrom="margin">
                  <wp:align>right</wp:align>
                </wp:positionH>
                <wp:positionV relativeFrom="paragraph">
                  <wp:posOffset>739374</wp:posOffset>
                </wp:positionV>
                <wp:extent cx="1497330" cy="340360"/>
                <wp:effectExtent l="0" t="0" r="26670" b="215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7330" cy="340360"/>
                        </a:xfrm>
                        <a:prstGeom prst="rect">
                          <a:avLst/>
                        </a:prstGeom>
                        <a:solidFill>
                          <a:srgbClr val="FFFFFF"/>
                        </a:solidFill>
                        <a:ln w="9525">
                          <a:solidFill>
                            <a:srgbClr val="000000"/>
                          </a:solidFill>
                          <a:miter lim="800000"/>
                          <a:headEnd/>
                          <a:tailEnd/>
                        </a:ln>
                      </wps:spPr>
                      <wps:txbx>
                        <w:txbxContent>
                          <w:p w14:paraId="52F3E75F" w14:textId="29E1555C" w:rsidR="00EE41A4" w:rsidRPr="00CD5837" w:rsidRDefault="00EE41A4" w:rsidP="00EE41A4">
                            <w:pPr>
                              <w:rPr>
                                <w:sz w:val="12"/>
                                <w:szCs w:val="12"/>
                              </w:rPr>
                            </w:pPr>
                            <w:r w:rsidRPr="00CD5837">
                              <w:rPr>
                                <w:sz w:val="12"/>
                                <w:szCs w:val="12"/>
                              </w:rPr>
                              <w:t>https://www.bing.com/images/blob?bcid=qGK7rRu3-68EHYFyS-Zp-gTXupoR......c</w:t>
                            </w:r>
                          </w:p>
                          <w:p w14:paraId="3991CD90" w14:textId="77777777" w:rsidR="00EE41A4" w:rsidRDefault="00EE41A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4AED36" id="_x0000_t202" coordsize="21600,21600" o:spt="202" path="m,l,21600r21600,l21600,xe">
                <v:stroke joinstyle="miter"/>
                <v:path gradientshapeok="t" o:connecttype="rect"/>
              </v:shapetype>
              <v:shape id="Text Box 2" o:spid="_x0000_s1026" type="#_x0000_t202" style="position:absolute;left:0;text-align:left;margin-left:66.7pt;margin-top:58.2pt;width:117.9pt;height:26.8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">
                <v:textbox>
                  <w:txbxContent>
                    <w:p w14:paraId="52F3E75F" w14:textId="29E1555C" w:rsidR="00EE41A4" w:rsidRPr="00CD5837" w:rsidRDefault="00EE41A4" w:rsidP="00EE41A4">
                      <w:pPr>
                        <w:rPr>
                          <w:sz w:val="12"/>
                          <w:szCs w:val="12"/>
                        </w:rPr>
                      </w:pPr>
                      <w:r w:rsidRPr="00CD5837">
                        <w:rPr>
                          <w:sz w:val="12"/>
                          <w:szCs w:val="12"/>
                        </w:rPr>
                        <w:t>https://www.bing.com/images/blob?bcid=qGK7rRu3-68EHYFyS-Zp-gTXupoR......c</w:t>
                      </w:r>
                    </w:p>
                    <w:p w14:paraId="3991CD90" w14:textId="77777777" w:rsidR="00EE41A4" w:rsidRDefault="00EE41A4"/>
                  </w:txbxContent>
                </v:textbox>
                <w10:wrap type="square" anchorx="margin"/>
              </v:shape>
            </w:pict>
          </mc:Fallback>
        </mc:AlternateContent>
      </w:r>
      <w:r w:rsidR="001E7BBD" w:rsidRPr="00CD5837">
        <w:rPr>
          <w:rFonts w:ascii="Times New Roman" w:hAnsi="Times New Roman" w:cs="Times New Roman"/>
          <w:sz w:val="24"/>
          <w:szCs w:val="24"/>
        </w:rPr>
        <w:t xml:space="preserve">The erection by </w:t>
      </w:r>
      <w:r w:rsidR="001E7BBD" w:rsidRPr="00CD5837">
        <w:rPr>
          <w:rFonts w:ascii="Times New Roman" w:hAnsi="Times New Roman" w:cs="Times New Roman"/>
          <w:sz w:val="24"/>
          <w:szCs w:val="24"/>
          <w:lang w:eastAsia="en-GB"/>
        </w:rPr>
        <w:t>Edward I of the fearsome Iron ring of colossal fortresses represents Europe's most ambitious and concentrated medieval building project</w:t>
      </w:r>
      <w:r w:rsidR="00670C0F" w:rsidRPr="00CD5837">
        <w:rPr>
          <w:rFonts w:ascii="Times New Roman" w:hAnsi="Times New Roman" w:cs="Times New Roman"/>
          <w:sz w:val="24"/>
          <w:szCs w:val="24"/>
          <w:lang w:eastAsia="en-GB"/>
        </w:rPr>
        <w:t>.</w:t>
      </w:r>
      <w:r w:rsidR="001E7BBD" w:rsidRPr="00CD5837">
        <w:rPr>
          <w:rFonts w:ascii="Times New Roman" w:hAnsi="Times New Roman" w:cs="Times New Roman"/>
          <w:sz w:val="24"/>
          <w:szCs w:val="24"/>
        </w:rPr>
        <w:t xml:space="preserve"> </w:t>
      </w:r>
      <w:r w:rsidR="000A34A4" w:rsidRPr="00CD5837">
        <w:rPr>
          <w:rFonts w:ascii="Times New Roman" w:hAnsi="Times New Roman" w:cs="Times New Roman"/>
          <w:sz w:val="24"/>
          <w:szCs w:val="24"/>
        </w:rPr>
        <w:t>The exclusion of the Welsh populace from the walled towns was a form of segregation that would be repulsive today</w:t>
      </w:r>
      <w:r w:rsidR="001E7BBD" w:rsidRPr="00CD5837">
        <w:rPr>
          <w:rFonts w:ascii="Times New Roman" w:hAnsi="Times New Roman" w:cs="Times New Roman"/>
          <w:sz w:val="24"/>
          <w:szCs w:val="24"/>
        </w:rPr>
        <w:t xml:space="preserve">. </w:t>
      </w:r>
    </w:p>
    <w:p w14:paraId="2B68DED5" w14:textId="7CEA1470" w:rsidR="000A34A4" w:rsidRPr="00CD5837" w:rsidRDefault="000A34A4" w:rsidP="001E7BBD">
      <w:pPr>
        <w:jc w:val="both"/>
        <w:rPr>
          <w:rFonts w:ascii="Times New Roman" w:hAnsi="Times New Roman" w:cs="Times New Roman"/>
          <w:sz w:val="24"/>
          <w:szCs w:val="24"/>
        </w:rPr>
      </w:pPr>
      <w:r w:rsidRPr="00CD5837">
        <w:rPr>
          <w:rFonts w:ascii="Times New Roman" w:hAnsi="Times New Roman" w:cs="Times New Roman"/>
          <w:noProof/>
          <w:sz w:val="24"/>
          <w:szCs w:val="24"/>
        </w:rPr>
        <w:drawing>
          <wp:anchor distT="0" distB="0" distL="114300" distR="114300" simplePos="0" relativeHeight="251658240" behindDoc="1" locked="0" layoutInCell="1" allowOverlap="1" wp14:anchorId="13A521FE" wp14:editId="63BD8D48">
            <wp:simplePos x="0" y="0"/>
            <wp:positionH relativeFrom="margin">
              <wp:posOffset>0</wp:posOffset>
            </wp:positionH>
            <wp:positionV relativeFrom="page">
              <wp:posOffset>3172408</wp:posOffset>
            </wp:positionV>
            <wp:extent cx="2289810" cy="1618615"/>
            <wp:effectExtent l="0" t="0" r="0" b="635"/>
            <wp:wrapTight wrapText="bothSides">
              <wp:wrapPolygon edited="0">
                <wp:start x="0" y="0"/>
                <wp:lineTo x="0" y="21354"/>
                <wp:lineTo x="21384" y="21354"/>
                <wp:lineTo x="2138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flipH="1">
                      <a:off x="0" y="0"/>
                      <a:ext cx="2303081" cy="1627999"/>
                    </a:xfrm>
                    <a:prstGeom prst="rect">
                      <a:avLst/>
                    </a:prstGeom>
                  </pic:spPr>
                </pic:pic>
              </a:graphicData>
            </a:graphic>
            <wp14:sizeRelH relativeFrom="margin">
              <wp14:pctWidth>0</wp14:pctWidth>
            </wp14:sizeRelH>
            <wp14:sizeRelV relativeFrom="margin">
              <wp14:pctHeight>0</wp14:pctHeight>
            </wp14:sizeRelV>
          </wp:anchor>
        </w:drawing>
      </w:r>
    </w:p>
    <w:p w14:paraId="37E0FAC2" w14:textId="37664D59" w:rsidR="000A34A4" w:rsidRPr="00CD5837" w:rsidRDefault="00EE41A4" w:rsidP="001E7BBD">
      <w:pPr>
        <w:jc w:val="both"/>
        <w:rPr>
          <w:rFonts w:ascii="Times New Roman" w:hAnsi="Times New Roman" w:cs="Times New Roman"/>
          <w:sz w:val="24"/>
          <w:szCs w:val="24"/>
        </w:rPr>
      </w:pPr>
      <w:r w:rsidRPr="00CD5837">
        <w:rPr>
          <w:rFonts w:ascii="Times New Roman" w:hAnsi="Times New Roman" w:cs="Times New Roman"/>
          <w:noProof/>
          <w:sz w:val="24"/>
          <w:szCs w:val="24"/>
        </w:rPr>
        <mc:AlternateContent>
          <mc:Choice Requires="wps">
            <w:drawing>
              <wp:anchor distT="45720" distB="45720" distL="114300" distR="114300" simplePos="0" relativeHeight="251660288" behindDoc="1" locked="0" layoutInCell="1" allowOverlap="1" wp14:anchorId="792D10D1" wp14:editId="4F1ED773">
                <wp:simplePos x="0" y="0"/>
                <wp:positionH relativeFrom="margin">
                  <wp:posOffset>-635</wp:posOffset>
                </wp:positionH>
                <wp:positionV relativeFrom="paragraph">
                  <wp:posOffset>1359794</wp:posOffset>
                </wp:positionV>
                <wp:extent cx="2280920" cy="400685"/>
                <wp:effectExtent l="0" t="0" r="24130" b="18415"/>
                <wp:wrapTight wrapText="bothSides">
                  <wp:wrapPolygon edited="0">
                    <wp:start x="0" y="0"/>
                    <wp:lineTo x="0" y="21566"/>
                    <wp:lineTo x="21648" y="21566"/>
                    <wp:lineTo x="21648"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0920" cy="400685"/>
                        </a:xfrm>
                        <a:prstGeom prst="rect">
                          <a:avLst/>
                        </a:prstGeom>
                        <a:solidFill>
                          <a:srgbClr val="FFFFFF"/>
                        </a:solidFill>
                        <a:ln w="9525">
                          <a:solidFill>
                            <a:srgbClr val="000000"/>
                          </a:solidFill>
                          <a:miter lim="800000"/>
                          <a:headEnd/>
                          <a:tailEnd/>
                        </a:ln>
                      </wps:spPr>
                      <wps:txbx>
                        <w:txbxContent>
                          <w:p w14:paraId="04DFABFB" w14:textId="77777777" w:rsidR="003F4F13" w:rsidRPr="003F4F13" w:rsidRDefault="003F4F13" w:rsidP="003F4F13">
                            <w:pPr>
                              <w:jc w:val="both"/>
                              <w:rPr>
                                <w:sz w:val="12"/>
                                <w:szCs w:val="12"/>
                              </w:rPr>
                            </w:pPr>
                            <w:r w:rsidRPr="003F4F13">
                              <w:rPr>
                                <w:sz w:val="12"/>
                                <w:szCs w:val="12"/>
                              </w:rPr>
                              <w:t>A family at the ruins of their house in Killarney, 1888 - as the effects of the Great Famine continued to ravage Ireland for decades.  Credit: ALAMY</w:t>
                            </w:r>
                          </w:p>
                          <w:p w14:paraId="5C174C3A" w14:textId="788441DD" w:rsidR="000A34A4" w:rsidRDefault="000A34A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2D10D1" id="_x0000_s1027" type="#_x0000_t202" style="position:absolute;left:0;text-align:left;margin-left:-.05pt;margin-top:107.05pt;width:179.6pt;height:31.55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">
                <v:textbox>
                  <w:txbxContent>
                    <w:p w14:paraId="04DFABFB" w14:textId="77777777" w:rsidR="003F4F13" w:rsidRPr="003F4F13" w:rsidRDefault="003F4F13" w:rsidP="003F4F13">
                      <w:pPr>
                        <w:jc w:val="both"/>
                        <w:rPr>
                          <w:sz w:val="12"/>
                          <w:szCs w:val="12"/>
                        </w:rPr>
                      </w:pPr>
                      <w:r w:rsidRPr="003F4F13">
                        <w:rPr>
                          <w:sz w:val="12"/>
                          <w:szCs w:val="12"/>
                        </w:rPr>
                        <w:t>A family at the ruins of their house in Killarney, 1888 - as the effects of the Great Famine continued to ravage Ireland for decades.  Credit: ALAMY</w:t>
                      </w:r>
                    </w:p>
                    <w:p w14:paraId="5C174C3A" w14:textId="788441DD" w:rsidR="000A34A4" w:rsidRDefault="000A34A4"/>
                  </w:txbxContent>
                </v:textbox>
                <w10:wrap type="tight" anchorx="margin"/>
              </v:shape>
            </w:pict>
          </mc:Fallback>
        </mc:AlternateContent>
      </w:r>
      <w:r w:rsidR="001E7BBD" w:rsidRPr="00CD5837">
        <w:rPr>
          <w:rFonts w:ascii="Times New Roman" w:hAnsi="Times New Roman" w:cs="Times New Roman"/>
          <w:sz w:val="24"/>
          <w:szCs w:val="24"/>
        </w:rPr>
        <w:t xml:space="preserve">Nor can any civilized person condone an institution which allowed over 1 million people to die in atrocious and inhumane conditions between 1846 and 1851 in the Irish potato famine. Then in 1914-18, the estimates range from around 15 to 22 million deaths and about 23 million wounded military personnel, ranking it among the deadliest conflicts in human history. </w:t>
      </w:r>
      <w:r w:rsidR="001470CB" w:rsidRPr="00CD5837">
        <w:rPr>
          <w:rStyle w:val="FootnoteReference"/>
          <w:rFonts w:ascii="Times New Roman" w:hAnsi="Times New Roman" w:cs="Times New Roman"/>
          <w:sz w:val="24"/>
          <w:szCs w:val="24"/>
        </w:rPr>
        <w:footnoteReference w:id="1"/>
      </w:r>
    </w:p>
    <w:p w14:paraId="6EE3E66B" w14:textId="30B8A6C8" w:rsidR="00091A03" w:rsidRPr="00091A03" w:rsidRDefault="00CD5837" w:rsidP="00091A03">
      <w:pPr>
        <w:pStyle w:val="ssrcss-1q0x1qg-paragraph"/>
        <w:shd w:val="clear" w:color="auto" w:fill="FFFFFF"/>
        <w:spacing w:before="0" w:beforeAutospacing="0" w:after="0" w:afterAutospacing="0"/>
        <w:jc w:val="both"/>
        <w:textAlignment w:val="baseline"/>
        <w:rPr>
          <w:color w:val="141414"/>
        </w:rPr>
      </w:pPr>
      <w:r w:rsidRPr="00091A03">
        <w:rPr>
          <w:noProof/>
        </w:rPr>
        <mc:AlternateContent>
          <mc:Choice Requires="wps">
            <w:drawing>
              <wp:anchor distT="45720" distB="45720" distL="114300" distR="114300" simplePos="0" relativeHeight="251666432" behindDoc="0" locked="0" layoutInCell="1" allowOverlap="1" wp14:anchorId="37AAA07D" wp14:editId="58CC2BBE">
                <wp:simplePos x="0" y="0"/>
                <wp:positionH relativeFrom="column">
                  <wp:posOffset>4072255</wp:posOffset>
                </wp:positionH>
                <wp:positionV relativeFrom="paragraph">
                  <wp:posOffset>1157605</wp:posOffset>
                </wp:positionV>
                <wp:extent cx="1660525" cy="316865"/>
                <wp:effectExtent l="0" t="0" r="15875" b="2603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0525" cy="316865"/>
                        </a:xfrm>
                        <a:prstGeom prst="rect">
                          <a:avLst/>
                        </a:prstGeom>
                        <a:solidFill>
                          <a:srgbClr val="FFFFFF"/>
                        </a:solidFill>
                        <a:ln w="9525">
                          <a:solidFill>
                            <a:srgbClr val="000000"/>
                          </a:solidFill>
                          <a:miter lim="800000"/>
                          <a:headEnd/>
                          <a:tailEnd/>
                        </a:ln>
                      </wps:spPr>
                      <wps:txbx>
                        <w:txbxContent>
                          <w:p w14:paraId="1133DE3A" w14:textId="4C244BB8" w:rsidR="00CD5837" w:rsidRPr="00CD5837" w:rsidRDefault="001B7294">
                            <w:pPr>
                              <w:rPr>
                                <w:sz w:val="14"/>
                                <w:szCs w:val="14"/>
                              </w:rPr>
                            </w:pPr>
                            <w:hyperlink r:id="rId9" w:history="1">
                              <w:r w:rsidR="00CD5837" w:rsidRPr="00CD5837">
                                <w:rPr>
                                  <w:color w:val="0563C1" w:themeColor="hyperlink"/>
                                  <w:sz w:val="14"/>
                                  <w:szCs w:val="14"/>
                                  <w:u w:val="single"/>
                                </w:rPr>
                                <w:t>https://en.wikipedia.org/wiki/Second_Boer_War_concentration_camps</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AAA07D" id="_x0000_s1028" type="#_x0000_t202" style="position:absolute;left:0;text-align:left;margin-left:320.65pt;margin-top:91.15pt;width:130.75pt;height:24.9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">
                <v:textbox>
                  <w:txbxContent>
                    <w:p w14:paraId="1133DE3A" w14:textId="4C244BB8" w:rsidR="00CD5837" w:rsidRPr="00CD5837" w:rsidRDefault="00CD5837">
                      <w:pPr>
                        <w:rPr>
                          <w:sz w:val="14"/>
                          <w:szCs w:val="14"/>
                        </w:rPr>
                      </w:pPr>
                      <w:hyperlink r:id="rId10" w:history="1">
                        <w:r w:rsidRPr="00CD5837">
                          <w:rPr>
                            <w:color w:val="0563C1" w:themeColor="hyperlink"/>
                            <w:sz w:val="14"/>
                            <w:szCs w:val="14"/>
                            <w:u w:val="single"/>
                          </w:rPr>
                          <w:t>https://en.wikipedia.org/wiki/Second_Boer_War_concentration_camps</w:t>
                        </w:r>
                      </w:hyperlink>
                    </w:p>
                  </w:txbxContent>
                </v:textbox>
                <w10:wrap type="square"/>
              </v:shape>
            </w:pict>
          </mc:Fallback>
        </mc:AlternateContent>
      </w:r>
      <w:r w:rsidRPr="00091A03">
        <w:rPr>
          <w:noProof/>
          <w:lang w:val="fr-FR"/>
        </w:rPr>
        <w:drawing>
          <wp:anchor distT="0" distB="0" distL="114300" distR="114300" simplePos="0" relativeHeight="251664384" behindDoc="1" locked="0" layoutInCell="1" allowOverlap="1" wp14:anchorId="1030FCCF" wp14:editId="2E2BD492">
            <wp:simplePos x="0" y="0"/>
            <wp:positionH relativeFrom="margin">
              <wp:posOffset>4072812</wp:posOffset>
            </wp:positionH>
            <wp:positionV relativeFrom="page">
              <wp:posOffset>5089849</wp:posOffset>
            </wp:positionV>
            <wp:extent cx="1660525" cy="1113790"/>
            <wp:effectExtent l="0" t="0" r="0" b="0"/>
            <wp:wrapTight wrapText="bothSides">
              <wp:wrapPolygon edited="0">
                <wp:start x="0" y="0"/>
                <wp:lineTo x="0" y="21058"/>
                <wp:lineTo x="21311" y="21058"/>
                <wp:lineTo x="2131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60525" cy="1113790"/>
                    </a:xfrm>
                    <a:prstGeom prst="rect">
                      <a:avLst/>
                    </a:prstGeom>
                    <a:noFill/>
                    <a:ln>
                      <a:noFill/>
                    </a:ln>
                  </pic:spPr>
                </pic:pic>
              </a:graphicData>
            </a:graphic>
          </wp:anchor>
        </w:drawing>
      </w:r>
      <w:r w:rsidR="001E7BBD" w:rsidRPr="00091A03">
        <w:t xml:space="preserve">During the Boar war, in one year, 10 per cent of the entire Boer population died in the British concentration camps, including 22,000 children. </w:t>
      </w:r>
      <w:r w:rsidR="00091A03" w:rsidRPr="00091A03">
        <w:rPr>
          <w:color w:val="141414"/>
        </w:rPr>
        <w:t xml:space="preserve">At least 25,000 Afrikaners died in the war, most of them in concentration camps. The war also claimed 22,000 British and 12,000 African lives. This set of records details the injuries of 23,000 British soldiers. </w:t>
      </w:r>
      <w:r w:rsidR="001E7BBD" w:rsidRPr="00091A03">
        <w:t>The British also detain any native Africans they encountered, of whom were worked to death in slave labour camps. British policy in the war killed 48,000 civilians</w:t>
      </w:r>
      <w:r w:rsidR="00091A03">
        <w:rPr>
          <w:rStyle w:val="FootnoteReference"/>
        </w:rPr>
        <w:footnoteReference w:id="2"/>
      </w:r>
      <w:r w:rsidR="001E7BBD" w:rsidRPr="00091A03">
        <w:t xml:space="preserve">, and what about Amritsar, Cyprus, and Iraq in 1920, the slave trade, the list could go on about the atrocities implemented in the name of the monarchy and empire. </w:t>
      </w:r>
    </w:p>
    <w:p w14:paraId="1D956562" w14:textId="380B8564" w:rsidR="001E7BBD" w:rsidRPr="00CD5837" w:rsidRDefault="001E7BBD" w:rsidP="001E7BBD">
      <w:pPr>
        <w:jc w:val="both"/>
        <w:rPr>
          <w:rFonts w:ascii="Times New Roman" w:hAnsi="Times New Roman" w:cs="Times New Roman"/>
          <w:sz w:val="24"/>
          <w:szCs w:val="24"/>
        </w:rPr>
      </w:pPr>
    </w:p>
    <w:p w14:paraId="075F2218" w14:textId="79EA43D6" w:rsidR="001E7BBD" w:rsidRPr="00CD5837" w:rsidRDefault="001E7BBD" w:rsidP="001E7BBD">
      <w:pPr>
        <w:jc w:val="both"/>
        <w:rPr>
          <w:rFonts w:ascii="Times New Roman" w:hAnsi="Times New Roman" w:cs="Times New Roman"/>
          <w:color w:val="333333"/>
          <w:sz w:val="24"/>
          <w:szCs w:val="24"/>
          <w:shd w:val="clear" w:color="auto" w:fill="FFFFFF"/>
        </w:rPr>
      </w:pPr>
      <w:r w:rsidRPr="00CD5837">
        <w:rPr>
          <w:rFonts w:ascii="Times New Roman" w:hAnsi="Times New Roman" w:cs="Times New Roman"/>
          <w:sz w:val="24"/>
          <w:szCs w:val="24"/>
        </w:rPr>
        <w:t xml:space="preserve">But most of all my sympathy does not extend to a </w:t>
      </w:r>
      <w:r w:rsidR="00F2465C" w:rsidRPr="00CD5837">
        <w:rPr>
          <w:rFonts w:ascii="Times New Roman" w:hAnsi="Times New Roman" w:cs="Times New Roman"/>
          <w:sz w:val="24"/>
          <w:szCs w:val="24"/>
        </w:rPr>
        <w:t>person</w:t>
      </w:r>
      <w:r w:rsidRPr="00CD5837">
        <w:rPr>
          <w:rFonts w:ascii="Times New Roman" w:hAnsi="Times New Roman" w:cs="Times New Roman"/>
          <w:sz w:val="24"/>
          <w:szCs w:val="24"/>
        </w:rPr>
        <w:t xml:space="preserve"> who </w:t>
      </w:r>
      <w:r w:rsidR="000A34A4" w:rsidRPr="00CD5837">
        <w:rPr>
          <w:rFonts w:ascii="Times New Roman" w:hAnsi="Times New Roman" w:cs="Times New Roman"/>
          <w:sz w:val="24"/>
          <w:szCs w:val="24"/>
        </w:rPr>
        <w:t>was at the top tier of the three estates which govern the UK and who implemented these atrocities during her own life</w:t>
      </w:r>
      <w:r w:rsidRPr="00CD5837">
        <w:rPr>
          <w:rFonts w:ascii="Times New Roman" w:hAnsi="Times New Roman" w:cs="Times New Roman"/>
          <w:sz w:val="24"/>
          <w:szCs w:val="24"/>
        </w:rPr>
        <w:t>. But there is a fourth estate</w:t>
      </w:r>
      <w:r w:rsidR="00755D20" w:rsidRPr="00115E6F">
        <w:rPr>
          <w:rStyle w:val="FootnoteReference"/>
          <w:rFonts w:ascii="Times New Roman" w:hAnsi="Times New Roman" w:cs="Times New Roman"/>
          <w:sz w:val="28"/>
          <w:szCs w:val="28"/>
        </w:rPr>
        <w:footnoteReference w:id="3"/>
      </w:r>
      <w:r w:rsidRPr="00CD5837">
        <w:rPr>
          <w:rFonts w:ascii="Times New Roman" w:hAnsi="Times New Roman" w:cs="Times New Roman"/>
          <w:sz w:val="24"/>
          <w:szCs w:val="24"/>
        </w:rPr>
        <w:t xml:space="preserve"> which is the media which brings me to the subject of free speech. </w:t>
      </w:r>
      <w:r w:rsidRPr="00CD5837">
        <w:rPr>
          <w:rFonts w:ascii="Times New Roman" w:hAnsi="Times New Roman" w:cs="Times New Roman"/>
          <w:color w:val="333333"/>
          <w:sz w:val="24"/>
          <w:szCs w:val="24"/>
          <w:shd w:val="clear" w:color="auto" w:fill="FFFFFF"/>
        </w:rPr>
        <w:t>In the UK the right to freedom of speech is guaranteed under Article 10 of the European Convention on Human Rights (ECHR</w:t>
      </w:r>
      <w:r w:rsidR="00924C32">
        <w:rPr>
          <w:rFonts w:ascii="Times New Roman" w:hAnsi="Times New Roman" w:cs="Times New Roman"/>
          <w:color w:val="333333"/>
          <w:sz w:val="24"/>
          <w:szCs w:val="24"/>
          <w:shd w:val="clear" w:color="auto" w:fill="FFFFFF"/>
        </w:rPr>
        <w:t xml:space="preserve"> 1948</w:t>
      </w:r>
      <w:r w:rsidRPr="00CD5837">
        <w:rPr>
          <w:rFonts w:ascii="Times New Roman" w:hAnsi="Times New Roman" w:cs="Times New Roman"/>
          <w:color w:val="333333"/>
          <w:sz w:val="24"/>
          <w:szCs w:val="24"/>
          <w:shd w:val="clear" w:color="auto" w:fill="FFFFFF"/>
        </w:rPr>
        <w:t>)</w:t>
      </w:r>
      <w:r w:rsidR="00755D20" w:rsidRPr="00CD5837">
        <w:rPr>
          <w:rStyle w:val="FootnoteReference"/>
          <w:rFonts w:ascii="Times New Roman" w:hAnsi="Times New Roman" w:cs="Times New Roman"/>
          <w:color w:val="333333"/>
          <w:sz w:val="24"/>
          <w:szCs w:val="24"/>
          <w:shd w:val="clear" w:color="auto" w:fill="FFFFFF"/>
        </w:rPr>
        <w:footnoteReference w:id="4"/>
      </w:r>
      <w:r w:rsidRPr="00CD5837">
        <w:rPr>
          <w:rFonts w:ascii="Times New Roman" w:hAnsi="Times New Roman" w:cs="Times New Roman"/>
          <w:color w:val="333333"/>
          <w:sz w:val="24"/>
          <w:szCs w:val="24"/>
          <w:shd w:val="clear" w:color="auto" w:fill="FFFFFF"/>
        </w:rPr>
        <w:t>.</w:t>
      </w:r>
    </w:p>
    <w:p w14:paraId="67AB9CC0" w14:textId="25DEB855" w:rsidR="001E7BBD" w:rsidRPr="00546A50" w:rsidRDefault="00CD23C6" w:rsidP="001E7BBD">
      <w:pPr>
        <w:jc w:val="both"/>
        <w:rPr>
          <w:rFonts w:ascii="Times New Roman" w:hAnsi="Times New Roman" w:cs="Times New Roman"/>
        </w:rPr>
      </w:pPr>
      <w:r w:rsidRPr="00CD5837">
        <w:rPr>
          <w:rFonts w:ascii="Times New Roman" w:hAnsi="Times New Roman" w:cs="Times New Roman"/>
          <w:sz w:val="24"/>
          <w:szCs w:val="24"/>
        </w:rPr>
        <w:lastRenderedPageBreak/>
        <w:t xml:space="preserve">In the chosen article it mentions that </w:t>
      </w:r>
      <w:r w:rsidR="007B2C0E" w:rsidRPr="007B2C0E">
        <w:rPr>
          <w:rFonts w:ascii="Times New Roman" w:hAnsi="Times New Roman" w:cs="Times New Roman"/>
          <w:sz w:val="24"/>
          <w:szCs w:val="24"/>
        </w:rPr>
        <w:t>(</w:t>
      </w:r>
      <w:r w:rsidR="000F12BE" w:rsidRPr="007B2C0E">
        <w:rPr>
          <w:rFonts w:ascii="Times New Roman" w:eastAsia="Times New Roman" w:hAnsi="Times New Roman" w:cs="Times New Roman"/>
          <w:color w:val="000000"/>
          <w:sz w:val="24"/>
          <w:szCs w:val="24"/>
        </w:rPr>
        <w:t>S</w:t>
      </w:r>
      <w:r w:rsidRPr="007B2C0E">
        <w:rPr>
          <w:rFonts w:ascii="Times New Roman" w:eastAsia="Times New Roman" w:hAnsi="Times New Roman" w:cs="Times New Roman"/>
          <w:color w:val="000000"/>
          <w:sz w:val="24"/>
          <w:szCs w:val="24"/>
        </w:rPr>
        <w:t>ection 5 of the Public Order Act 1986</w:t>
      </w:r>
      <w:r w:rsidR="007B2C0E" w:rsidRPr="007B2C0E">
        <w:rPr>
          <w:rFonts w:ascii="Times New Roman" w:eastAsia="Times New Roman" w:hAnsi="Times New Roman" w:cs="Times New Roman"/>
          <w:color w:val="000000"/>
          <w:sz w:val="24"/>
          <w:szCs w:val="24"/>
        </w:rPr>
        <w:t>)</w:t>
      </w:r>
      <w:r w:rsidRPr="007B2C0E">
        <w:rPr>
          <w:rFonts w:ascii="Times New Roman" w:eastAsia="Times New Roman" w:hAnsi="Times New Roman" w:cs="Times New Roman"/>
          <w:color w:val="000000"/>
          <w:sz w:val="24"/>
          <w:szCs w:val="24"/>
        </w:rPr>
        <w:t>, public nuisance (under the new </w:t>
      </w:r>
      <w:r w:rsidRPr="007B2C0E">
        <w:rPr>
          <w:rFonts w:ascii="Times New Roman" w:eastAsia="Times New Roman" w:hAnsi="Times New Roman" w:cs="Times New Roman"/>
          <w:sz w:val="24"/>
          <w:szCs w:val="24"/>
        </w:rPr>
        <w:t>Police, Crime, Sentencing and Courts Act 2022</w:t>
      </w:r>
      <w:r w:rsidR="007B2C0E" w:rsidRPr="007B2C0E">
        <w:rPr>
          <w:rFonts w:ascii="Times New Roman" w:eastAsia="Times New Roman" w:hAnsi="Times New Roman" w:cs="Times New Roman"/>
          <w:sz w:val="24"/>
          <w:szCs w:val="24"/>
        </w:rPr>
        <w:t>)</w:t>
      </w:r>
      <w:r w:rsidRPr="007B2C0E">
        <w:rPr>
          <w:rFonts w:ascii="Times New Roman" w:eastAsia="Times New Roman" w:hAnsi="Times New Roman" w:cs="Times New Roman"/>
          <w:color w:val="000000"/>
          <w:sz w:val="24"/>
          <w:szCs w:val="24"/>
        </w:rPr>
        <w:t>,</w:t>
      </w:r>
      <w:r w:rsidRPr="00CD5837">
        <w:rPr>
          <w:rFonts w:ascii="Times New Roman" w:eastAsia="Times New Roman" w:hAnsi="Times New Roman" w:cs="Times New Roman"/>
          <w:color w:val="000000"/>
          <w:sz w:val="24"/>
          <w:szCs w:val="24"/>
        </w:rPr>
        <w:t xml:space="preserve"> and arrest to prevent a breach </w:t>
      </w:r>
      <w:r w:rsidRPr="007B2C0E">
        <w:rPr>
          <w:rFonts w:ascii="Times New Roman" w:eastAsia="Times New Roman" w:hAnsi="Times New Roman" w:cs="Times New Roman"/>
          <w:color w:val="000000"/>
          <w:sz w:val="24"/>
          <w:szCs w:val="24"/>
        </w:rPr>
        <w:t>of the peace</w:t>
      </w:r>
      <w:r w:rsidRPr="00CD5837">
        <w:rPr>
          <w:rFonts w:ascii="Times New Roman" w:hAnsi="Times New Roman" w:cs="Times New Roman"/>
          <w:sz w:val="28"/>
          <w:szCs w:val="28"/>
        </w:rPr>
        <w:t xml:space="preserve"> </w:t>
      </w:r>
      <w:r w:rsidR="001E7BBD" w:rsidRPr="00546A50">
        <w:rPr>
          <w:rFonts w:ascii="Times New Roman" w:hAnsi="Times New Roman" w:cs="Times New Roman"/>
        </w:rPr>
        <w:t xml:space="preserve">‘European case law makes clear that these protections cover speech that offends, shocks or disturbs the state or any sector of the population.’ </w:t>
      </w:r>
      <w:r w:rsidR="001E7BBD" w:rsidRPr="00546A50">
        <w:rPr>
          <w:rFonts w:ascii="Times New Roman" w:hAnsi="Times New Roman" w:cs="Times New Roman"/>
          <w:color w:val="333333"/>
          <w:shd w:val="clear" w:color="auto" w:fill="FFFFFF"/>
        </w:rPr>
        <w:t>There is no definition of “hate speech”, but it is generally understood to describe any form of expression which incites violence, hatred or discrimination against other persons and groups. Particularly defined by reference to their colour, race, language, ethnicity, nationality, immigration status, religious belief, gender or sexual orientation</w:t>
      </w:r>
      <w:r w:rsidR="00223609" w:rsidRPr="00546A50">
        <w:rPr>
          <w:rStyle w:val="FootnoteReference"/>
          <w:rFonts w:ascii="Times New Roman" w:hAnsi="Times New Roman" w:cs="Times New Roman"/>
          <w:color w:val="333333"/>
          <w:shd w:val="clear" w:color="auto" w:fill="FFFFFF"/>
        </w:rPr>
        <w:footnoteReference w:id="5"/>
      </w:r>
      <w:r w:rsidR="001E7BBD" w:rsidRPr="00546A50">
        <w:rPr>
          <w:rFonts w:ascii="Times New Roman" w:hAnsi="Times New Roman" w:cs="Times New Roman"/>
          <w:color w:val="333333"/>
          <w:shd w:val="clear" w:color="auto" w:fill="FFFFFF"/>
        </w:rPr>
        <w:t>. I see nothing of that in this protest.</w:t>
      </w:r>
      <w:r w:rsidR="002B1704" w:rsidRPr="00546A50">
        <w:rPr>
          <w:rFonts w:ascii="Times New Roman" w:hAnsi="Times New Roman" w:cs="Times New Roman"/>
          <w:color w:val="333333"/>
          <w:shd w:val="clear" w:color="auto" w:fill="FFFFFF"/>
        </w:rPr>
        <w:t xml:space="preserve"> I can’t see any instance of public nuisance</w:t>
      </w:r>
      <w:r w:rsidR="00822706">
        <w:rPr>
          <w:rStyle w:val="FootnoteReference"/>
          <w:rFonts w:ascii="Times New Roman" w:hAnsi="Times New Roman" w:cs="Times New Roman"/>
          <w:color w:val="333333"/>
          <w:shd w:val="clear" w:color="auto" w:fill="FFFFFF"/>
        </w:rPr>
        <w:footnoteReference w:id="6"/>
      </w:r>
      <w:r w:rsidR="00633428" w:rsidRPr="00546A50">
        <w:rPr>
          <w:rFonts w:ascii="Times New Roman" w:hAnsi="Times New Roman" w:cs="Times New Roman"/>
          <w:color w:val="333333"/>
          <w:shd w:val="clear" w:color="auto" w:fill="FFFFFF"/>
        </w:rPr>
        <w:t>.</w:t>
      </w:r>
      <w:r w:rsidR="002B1704" w:rsidRPr="00546A50">
        <w:rPr>
          <w:rFonts w:ascii="Times New Roman" w:hAnsi="Times New Roman" w:cs="Times New Roman"/>
          <w:color w:val="333333"/>
          <w:shd w:val="clear" w:color="auto" w:fill="FFFFFF"/>
        </w:rPr>
        <w:t xml:space="preserve"> </w:t>
      </w:r>
      <w:r w:rsidR="00633428" w:rsidRPr="00546A50">
        <w:rPr>
          <w:rFonts w:ascii="Times New Roman" w:eastAsia="Times New Roman" w:hAnsi="Times New Roman" w:cs="Times New Roman"/>
          <w:color w:val="000000"/>
        </w:rPr>
        <w:t>To breach </w:t>
      </w:r>
      <w:r w:rsidR="007B2C0E">
        <w:rPr>
          <w:rFonts w:ascii="Times New Roman" w:eastAsia="Times New Roman" w:hAnsi="Times New Roman" w:cs="Times New Roman"/>
          <w:color w:val="000000"/>
        </w:rPr>
        <w:t>(</w:t>
      </w:r>
      <w:r w:rsidR="00633428" w:rsidRPr="00546A50">
        <w:rPr>
          <w:rFonts w:ascii="Times New Roman" w:eastAsia="Times New Roman" w:hAnsi="Times New Roman" w:cs="Times New Roman"/>
        </w:rPr>
        <w:t>section 5 of the Public Order Act</w:t>
      </w:r>
      <w:r w:rsidR="007B2C0E">
        <w:rPr>
          <w:rFonts w:ascii="Times New Roman" w:eastAsia="Times New Roman" w:hAnsi="Times New Roman" w:cs="Times New Roman"/>
        </w:rPr>
        <w:t>”</w:t>
      </w:r>
      <w:r w:rsidR="00633428" w:rsidRPr="00546A50">
        <w:rPr>
          <w:rFonts w:ascii="Times New Roman" w:eastAsia="Times New Roman" w:hAnsi="Times New Roman" w:cs="Times New Roman"/>
          <w:color w:val="000000"/>
        </w:rPr>
        <w:t>, one has to be using threatening or abusive language that likely causes someone else harassment, alarm or distress (or engages in disorderly behaviour)</w:t>
      </w:r>
      <w:r w:rsidR="000233F5">
        <w:rPr>
          <w:rFonts w:ascii="Times New Roman" w:eastAsia="Times New Roman" w:hAnsi="Times New Roman" w:cs="Times New Roman"/>
          <w:color w:val="000000"/>
        </w:rPr>
        <w:t>)</w:t>
      </w:r>
      <w:r w:rsidR="00633428" w:rsidRPr="00546A50">
        <w:rPr>
          <w:rFonts w:ascii="Times New Roman" w:eastAsia="Times New Roman" w:hAnsi="Times New Roman" w:cs="Times New Roman"/>
          <w:color w:val="000000"/>
        </w:rPr>
        <w:t>.</w:t>
      </w:r>
    </w:p>
    <w:p w14:paraId="1048B259" w14:textId="378E1D0B" w:rsidR="001E7BBD" w:rsidRPr="00546A50" w:rsidRDefault="001E7BBD" w:rsidP="001E7BBD">
      <w:pPr>
        <w:jc w:val="both"/>
        <w:rPr>
          <w:rFonts w:ascii="Times New Roman" w:hAnsi="Times New Roman" w:cs="Times New Roman"/>
        </w:rPr>
      </w:pPr>
      <w:r w:rsidRPr="00546A50">
        <w:rPr>
          <w:rFonts w:ascii="Times New Roman" w:eastAsia="Times New Roman" w:hAnsi="Times New Roman" w:cs="Times New Roman"/>
          <w:color w:val="000000"/>
        </w:rPr>
        <w:t xml:space="preserve">In this situation, we do see a precedent in the </w:t>
      </w:r>
      <w:r w:rsidRPr="00546A50">
        <w:rPr>
          <w:rFonts w:ascii="Times New Roman" w:eastAsia="Times New Roman" w:hAnsi="Times New Roman" w:cs="Times New Roman"/>
        </w:rPr>
        <w:t>1999 case</w:t>
      </w:r>
      <w:r w:rsidRPr="00546A50">
        <w:rPr>
          <w:rFonts w:ascii="Times New Roman" w:eastAsia="Times New Roman" w:hAnsi="Times New Roman" w:cs="Times New Roman"/>
          <w:color w:val="000000"/>
        </w:rPr>
        <w:t xml:space="preserve">, Redmond-Bate v Director of Public Prosecutions where they were acquitted. </w:t>
      </w:r>
      <w:r w:rsidRPr="00546A50">
        <w:rPr>
          <w:rFonts w:ascii="Times New Roman" w:hAnsi="Times New Roman" w:cs="Times New Roman"/>
        </w:rPr>
        <w:t>Non-violent, peaceful protesting and speaking have proved effective throughout history and continue to do so throughout the world. From picket signs to public demonstrations and mass marching, the right to a peaceful protest is an intrinsic part of a democratic society. Even speakers Corner at Hyde Park</w:t>
      </w:r>
      <w:r w:rsidR="00D66F89" w:rsidRPr="00546A50">
        <w:rPr>
          <w:rStyle w:val="FootnoteReference"/>
          <w:rFonts w:ascii="Times New Roman" w:hAnsi="Times New Roman" w:cs="Times New Roman"/>
        </w:rPr>
        <w:footnoteReference w:id="7"/>
      </w:r>
      <w:r w:rsidRPr="00546A50">
        <w:rPr>
          <w:rFonts w:ascii="Times New Roman" w:hAnsi="Times New Roman" w:cs="Times New Roman"/>
        </w:rPr>
        <w:t xml:space="preserve"> is a long and respected tradition within the UK.</w:t>
      </w:r>
      <w:r w:rsidR="006401ED">
        <w:rPr>
          <w:rFonts w:ascii="Times New Roman" w:hAnsi="Times New Roman" w:cs="Times New Roman"/>
          <w:noProof/>
        </w:rPr>
        <w:drawing>
          <wp:anchor distT="0" distB="0" distL="114300" distR="114300" simplePos="0" relativeHeight="251667456" behindDoc="1" locked="0" layoutInCell="1" allowOverlap="1" wp14:anchorId="61FD030E" wp14:editId="7CB50B18">
            <wp:simplePos x="0" y="0"/>
            <wp:positionH relativeFrom="column">
              <wp:posOffset>0</wp:posOffset>
            </wp:positionH>
            <wp:positionV relativeFrom="page">
              <wp:posOffset>3662265</wp:posOffset>
            </wp:positionV>
            <wp:extent cx="1451610" cy="2061210"/>
            <wp:effectExtent l="0" t="0" r="0" b="0"/>
            <wp:wrapTight wrapText="bothSides">
              <wp:wrapPolygon edited="0">
                <wp:start x="0" y="0"/>
                <wp:lineTo x="0" y="21360"/>
                <wp:lineTo x="21260" y="21360"/>
                <wp:lineTo x="2126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51610" cy="2061210"/>
                    </a:xfrm>
                    <a:prstGeom prst="rect">
                      <a:avLst/>
                    </a:prstGeom>
                  </pic:spPr>
                </pic:pic>
              </a:graphicData>
            </a:graphic>
          </wp:anchor>
        </w:drawing>
      </w:r>
    </w:p>
    <w:p w14:paraId="1488D175" w14:textId="4606E86D" w:rsidR="001E7BBD" w:rsidRPr="00546A50" w:rsidRDefault="001E7BBD" w:rsidP="001E7BBD">
      <w:pPr>
        <w:jc w:val="both"/>
        <w:rPr>
          <w:rFonts w:ascii="Times New Roman" w:hAnsi="Times New Roman" w:cs="Times New Roman"/>
        </w:rPr>
      </w:pPr>
      <w:r w:rsidRPr="00546A50">
        <w:rPr>
          <w:rFonts w:ascii="Times New Roman" w:eastAsia="Times New Roman" w:hAnsi="Times New Roman" w:cs="Times New Roman"/>
          <w:color w:val="000000"/>
        </w:rPr>
        <w:t>Should the police have thought “Fuck imperialism, abolish monarchy” placard a form of ‘hate placard or expression.’ Then I should recommend they go and arrest every American film actor who uses the expression ‘Mother F</w:t>
      </w:r>
      <w:r w:rsidR="00167C66">
        <w:rPr>
          <w:rFonts w:ascii="Times New Roman" w:eastAsia="Times New Roman" w:hAnsi="Times New Roman" w:cs="Times New Roman"/>
          <w:color w:val="000000"/>
        </w:rPr>
        <w:t>uck</w:t>
      </w:r>
      <w:r w:rsidRPr="00546A50">
        <w:rPr>
          <w:rFonts w:ascii="Times New Roman" w:eastAsia="Times New Roman" w:hAnsi="Times New Roman" w:cs="Times New Roman"/>
          <w:color w:val="000000"/>
        </w:rPr>
        <w:t xml:space="preserve">er.’ This is State control, one law for them and one law for us, and with the use of ambiguous legislation. There should be a constitution to protect the freedom of speech and the right to criticism, this is what holds the government accountable. </w:t>
      </w:r>
    </w:p>
    <w:p w14:paraId="48C6D68C" w14:textId="42128BD3" w:rsidR="00B40F8C" w:rsidRPr="0027402D" w:rsidRDefault="003F3691" w:rsidP="005C72E9">
      <w:pPr>
        <w:jc w:val="both"/>
        <w:rPr>
          <w:rFonts w:ascii="Times New Roman" w:hAnsi="Times New Roman" w:cs="Times New Roman"/>
          <w:sz w:val="24"/>
          <w:szCs w:val="24"/>
          <w:lang w:eastAsia="en-GB"/>
        </w:rPr>
      </w:pPr>
      <w:r w:rsidRPr="00546A50">
        <w:rPr>
          <w:rFonts w:ascii="Times New Roman" w:hAnsi="Times New Roman" w:cs="Times New Roman"/>
        </w:rPr>
        <w:t>The British Empire started with Elizabeth I and should have ended with Elizabeth II</w:t>
      </w:r>
      <w:r w:rsidR="0027402D" w:rsidRPr="0027402D">
        <w:rPr>
          <w:rFonts w:ascii="Lato" w:eastAsia="Times New Roman" w:hAnsi="Lato" w:cs="Times New Roman"/>
          <w:color w:val="666666"/>
          <w:sz w:val="24"/>
          <w:szCs w:val="24"/>
          <w:lang w:eastAsia="en-GB"/>
        </w:rPr>
        <w:t xml:space="preserve"> </w:t>
      </w:r>
      <w:r w:rsidR="0027402D">
        <w:rPr>
          <w:rFonts w:ascii="Lato" w:eastAsia="Times New Roman" w:hAnsi="Lato" w:cs="Times New Roman"/>
          <w:color w:val="666666"/>
          <w:sz w:val="24"/>
          <w:szCs w:val="24"/>
          <w:lang w:eastAsia="en-GB"/>
        </w:rPr>
        <w:t>(</w:t>
      </w:r>
      <w:r w:rsidR="0027402D" w:rsidRPr="0027402D">
        <w:rPr>
          <w:rFonts w:ascii="Times New Roman" w:hAnsi="Times New Roman" w:cs="Times New Roman"/>
          <w:sz w:val="24"/>
          <w:szCs w:val="24"/>
          <w:lang w:eastAsia="en-GB"/>
        </w:rPr>
        <w:t xml:space="preserve">Niall </w:t>
      </w:r>
      <w:proofErr w:type="spellStart"/>
      <w:r w:rsidR="0027402D" w:rsidRPr="0027402D">
        <w:rPr>
          <w:rFonts w:ascii="Times New Roman" w:hAnsi="Times New Roman" w:cs="Times New Roman"/>
          <w:sz w:val="24"/>
          <w:szCs w:val="24"/>
          <w:lang w:eastAsia="en-GB"/>
        </w:rPr>
        <w:t>O'Dowd@IrishCentral</w:t>
      </w:r>
      <w:proofErr w:type="spellEnd"/>
      <w:r w:rsidR="0027402D">
        <w:rPr>
          <w:rFonts w:ascii="Times New Roman" w:hAnsi="Times New Roman" w:cs="Times New Roman"/>
          <w:sz w:val="24"/>
          <w:szCs w:val="24"/>
          <w:lang w:eastAsia="en-GB"/>
        </w:rPr>
        <w:t xml:space="preserve"> </w:t>
      </w:r>
      <w:r w:rsidR="0027402D" w:rsidRPr="0027402D">
        <w:rPr>
          <w:rFonts w:ascii="Times New Roman" w:hAnsi="Times New Roman" w:cs="Times New Roman"/>
          <w:sz w:val="24"/>
          <w:szCs w:val="24"/>
          <w:lang w:eastAsia="en-GB"/>
        </w:rPr>
        <w:t>Jun 04, 2012)</w:t>
      </w:r>
      <w:r w:rsidR="005C72E9">
        <w:rPr>
          <w:rStyle w:val="FootnoteReference"/>
          <w:rFonts w:ascii="Times New Roman" w:hAnsi="Times New Roman" w:cs="Times New Roman"/>
          <w:sz w:val="24"/>
          <w:szCs w:val="24"/>
          <w:lang w:eastAsia="en-GB"/>
        </w:rPr>
        <w:footnoteReference w:id="8"/>
      </w:r>
      <w:r w:rsidRPr="00546A50">
        <w:rPr>
          <w:rFonts w:ascii="Times New Roman" w:hAnsi="Times New Roman" w:cs="Times New Roman"/>
        </w:rPr>
        <w:t>, this would have been a</w:t>
      </w:r>
      <w:r w:rsidR="00170338" w:rsidRPr="00546A50">
        <w:rPr>
          <w:rFonts w:ascii="Times New Roman" w:hAnsi="Times New Roman" w:cs="Times New Roman"/>
        </w:rPr>
        <w:t xml:space="preserve"> timely way of re-uniting the country and starting to dismantle the class structure which is so hated. Britain is now a multi-cultural society and consists of many people from </w:t>
      </w:r>
      <w:r w:rsidR="00FC5499" w:rsidRPr="00546A50">
        <w:rPr>
          <w:rFonts w:ascii="Times New Roman" w:hAnsi="Times New Roman" w:cs="Times New Roman"/>
        </w:rPr>
        <w:t>post-colonial</w:t>
      </w:r>
      <w:r w:rsidR="00170338" w:rsidRPr="00546A50">
        <w:rPr>
          <w:rFonts w:ascii="Times New Roman" w:hAnsi="Times New Roman" w:cs="Times New Roman"/>
        </w:rPr>
        <w:t xml:space="preserve"> countries, many as mentioned have suffered </w:t>
      </w:r>
      <w:r w:rsidR="00FC5499" w:rsidRPr="00546A50">
        <w:rPr>
          <w:rFonts w:ascii="Times New Roman" w:hAnsi="Times New Roman" w:cs="Times New Roman"/>
        </w:rPr>
        <w:t>atrocious</w:t>
      </w:r>
      <w:r w:rsidR="005C72E9">
        <w:rPr>
          <w:rFonts w:ascii="Times New Roman" w:hAnsi="Times New Roman" w:cs="Times New Roman"/>
        </w:rPr>
        <w:t xml:space="preserve"> </w:t>
      </w:r>
      <w:r w:rsidR="00C439C9">
        <w:rPr>
          <w:rFonts w:ascii="Times New Roman" w:hAnsi="Times New Roman" w:cs="Times New Roman"/>
          <w:noProof/>
        </w:rPr>
        <w:lastRenderedPageBreak/>
        <w:drawing>
          <wp:anchor distT="0" distB="0" distL="114300" distR="114300" simplePos="0" relativeHeight="251668480" behindDoc="1" locked="0" layoutInCell="1" allowOverlap="1" wp14:anchorId="5C8AF82A" wp14:editId="4B33C181">
            <wp:simplePos x="0" y="0"/>
            <wp:positionH relativeFrom="column">
              <wp:posOffset>0</wp:posOffset>
            </wp:positionH>
            <wp:positionV relativeFrom="page">
              <wp:posOffset>914400</wp:posOffset>
            </wp:positionV>
            <wp:extent cx="2870200" cy="1618615"/>
            <wp:effectExtent l="0" t="0" r="6350" b="635"/>
            <wp:wrapTight wrapText="bothSides">
              <wp:wrapPolygon edited="0">
                <wp:start x="0" y="0"/>
                <wp:lineTo x="0" y="21354"/>
                <wp:lineTo x="21504" y="21354"/>
                <wp:lineTo x="2150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70200" cy="1618615"/>
                    </a:xfrm>
                    <a:prstGeom prst="rect">
                      <a:avLst/>
                    </a:prstGeom>
                  </pic:spPr>
                </pic:pic>
              </a:graphicData>
            </a:graphic>
          </wp:anchor>
        </w:drawing>
      </w:r>
      <w:r w:rsidR="00170338" w:rsidRPr="00546A50">
        <w:rPr>
          <w:rFonts w:ascii="Times New Roman" w:hAnsi="Times New Roman" w:cs="Times New Roman"/>
        </w:rPr>
        <w:t xml:space="preserve">inhuman treatment from </w:t>
      </w:r>
      <w:r w:rsidR="00FC5499" w:rsidRPr="00546A50">
        <w:rPr>
          <w:rFonts w:ascii="Times New Roman" w:hAnsi="Times New Roman" w:cs="Times New Roman"/>
        </w:rPr>
        <w:t>Empire</w:t>
      </w:r>
      <w:r w:rsidR="00266CE4">
        <w:rPr>
          <w:rFonts w:ascii="Times New Roman" w:hAnsi="Times New Roman" w:cs="Times New Roman"/>
        </w:rPr>
        <w:t xml:space="preserve"> (</w:t>
      </w:r>
      <w:r w:rsidR="00266CE4" w:rsidRPr="00266CE4">
        <w:rPr>
          <w:rFonts w:ascii="Times New Roman" w:hAnsi="Times New Roman" w:cs="Times New Roman"/>
          <w:color w:val="191919"/>
          <w:sz w:val="24"/>
          <w:szCs w:val="24"/>
          <w:shd w:val="clear" w:color="auto" w:fill="FFFFFF"/>
        </w:rPr>
        <w:t>Niklas Müller</w:t>
      </w:r>
      <w:r w:rsidR="00266CE4" w:rsidRPr="00266CE4">
        <w:rPr>
          <w:rFonts w:ascii="Helvetica" w:hAnsi="Helvetica"/>
          <w:color w:val="757575"/>
          <w:sz w:val="21"/>
          <w:szCs w:val="21"/>
          <w:shd w:val="clear" w:color="auto" w:fill="FFFFFF"/>
        </w:rPr>
        <w:t xml:space="preserve"> </w:t>
      </w:r>
      <w:r w:rsidR="00266CE4" w:rsidRPr="00266CE4">
        <w:rPr>
          <w:rFonts w:ascii="Times New Roman" w:hAnsi="Times New Roman" w:cs="Times New Roman"/>
          <w:sz w:val="24"/>
          <w:szCs w:val="24"/>
          <w:shd w:val="clear" w:color="auto" w:fill="FFFFFF"/>
        </w:rPr>
        <w:t>Apr 24, 2016</w:t>
      </w:r>
      <w:r w:rsidR="00266CE4">
        <w:rPr>
          <w:rFonts w:ascii="Times New Roman" w:hAnsi="Times New Roman" w:cs="Times New Roman"/>
          <w:sz w:val="24"/>
          <w:szCs w:val="24"/>
        </w:rPr>
        <w:t>)</w:t>
      </w:r>
      <w:r w:rsidR="00276C3B">
        <w:rPr>
          <w:rStyle w:val="FootnoteReference"/>
          <w:rFonts w:ascii="Times New Roman" w:hAnsi="Times New Roman" w:cs="Times New Roman"/>
        </w:rPr>
        <w:footnoteReference w:id="9"/>
      </w:r>
      <w:r w:rsidR="00FC5499" w:rsidRPr="00546A50">
        <w:rPr>
          <w:rFonts w:ascii="Times New Roman" w:hAnsi="Times New Roman" w:cs="Times New Roman"/>
        </w:rPr>
        <w:t>. M</w:t>
      </w:r>
      <w:r w:rsidR="00170338" w:rsidRPr="00546A50">
        <w:rPr>
          <w:rFonts w:ascii="Times New Roman" w:hAnsi="Times New Roman" w:cs="Times New Roman"/>
        </w:rPr>
        <w:t>ost of its past ill’s rested with the aristocracy, which held tight to the reins of Government</w:t>
      </w:r>
      <w:r w:rsidR="00FC5499" w:rsidRPr="00546A50">
        <w:rPr>
          <w:rFonts w:ascii="Times New Roman" w:hAnsi="Times New Roman" w:cs="Times New Roman"/>
        </w:rPr>
        <w:t xml:space="preserve"> and purse strings</w:t>
      </w:r>
      <w:r w:rsidR="00276C3B">
        <w:rPr>
          <w:rStyle w:val="FootnoteReference"/>
          <w:rFonts w:ascii="Times New Roman" w:hAnsi="Times New Roman" w:cs="Times New Roman"/>
        </w:rPr>
        <w:footnoteReference w:id="10"/>
      </w:r>
      <w:r w:rsidR="00FC5499" w:rsidRPr="00546A50">
        <w:rPr>
          <w:rFonts w:ascii="Times New Roman" w:hAnsi="Times New Roman" w:cs="Times New Roman"/>
        </w:rPr>
        <w:t>.</w:t>
      </w:r>
    </w:p>
    <w:p w14:paraId="6975CA34" w14:textId="7D89F79D" w:rsidR="00FC5499" w:rsidRPr="00546A50" w:rsidRDefault="00C439C9" w:rsidP="00266CE4">
      <w:pPr>
        <w:jc w:val="both"/>
        <w:rPr>
          <w:rFonts w:ascii="Times New Roman" w:hAnsi="Times New Roman" w:cs="Times New Roman"/>
        </w:rPr>
      </w:pPr>
      <w:r w:rsidRPr="00C439C9">
        <w:rPr>
          <w:rFonts w:ascii="Times New Roman" w:hAnsi="Times New Roman" w:cs="Times New Roman"/>
          <w:noProof/>
        </w:rPr>
        <mc:AlternateContent>
          <mc:Choice Requires="wps">
            <w:drawing>
              <wp:anchor distT="45720" distB="45720" distL="114300" distR="114300" simplePos="0" relativeHeight="251670528" behindDoc="0" locked="0" layoutInCell="1" allowOverlap="1" wp14:anchorId="30ED428A" wp14:editId="3E108845">
                <wp:simplePos x="0" y="0"/>
                <wp:positionH relativeFrom="margin">
                  <wp:align>left</wp:align>
                </wp:positionH>
                <wp:positionV relativeFrom="paragraph">
                  <wp:posOffset>807720</wp:posOffset>
                </wp:positionV>
                <wp:extent cx="2870200" cy="610870"/>
                <wp:effectExtent l="0" t="0" r="25400" b="1778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0200" cy="611155"/>
                        </a:xfrm>
                        <a:prstGeom prst="rect">
                          <a:avLst/>
                        </a:prstGeom>
                        <a:solidFill>
                          <a:srgbClr val="FFFFFF"/>
                        </a:solidFill>
                        <a:ln w="9525">
                          <a:solidFill>
                            <a:srgbClr val="000000"/>
                          </a:solidFill>
                          <a:miter lim="800000"/>
                          <a:headEnd/>
                          <a:tailEnd/>
                        </a:ln>
                      </wps:spPr>
                      <wps:txbx>
                        <w:txbxContent>
                          <w:p w14:paraId="3247783E" w14:textId="177D6562" w:rsidR="00C439C9" w:rsidRPr="00C439C9" w:rsidRDefault="00C439C9">
                            <w:pPr>
                              <w:rPr>
                                <w:sz w:val="12"/>
                                <w:szCs w:val="12"/>
                              </w:rPr>
                            </w:pPr>
                            <w:r w:rsidRPr="00C439C9">
                              <w:rPr>
                                <w:sz w:val="12"/>
                                <w:szCs w:val="12"/>
                              </w:rPr>
                              <w:t>https://th.bing.com/th/id/R.5905b5ab2704fa7593c878609f04f451?rik=73iY%2bGs6MShGTg&amp;riu=http%3a%2f%2fbrewminate.com%2fwp-content%2fuploads%2f2018%2f04%2f042818-06-Children-Slave-Trade-History-Slavery.jpg&amp;ehk=SIn5SfqRc%2baVTeYEBSrFOZqKhU7a8%2bEuNAemWK6y6QM%3d&amp;risl=&amp;pid=ImgRaw&amp;r=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ED428A" id="_x0000_s1029" type="#_x0000_t202" style="position:absolute;left:0;text-align:left;margin-left:0;margin-top:63.6pt;width:226pt;height:48.1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">
                <v:textbox>
                  <w:txbxContent>
                    <w:p w14:paraId="3247783E" w14:textId="177D6562" w:rsidR="00C439C9" w:rsidRPr="00C439C9" w:rsidRDefault="00C439C9">
                      <w:pPr>
                        <w:rPr>
                          <w:sz w:val="12"/>
                          <w:szCs w:val="12"/>
                        </w:rPr>
                      </w:pPr>
                      <w:r w:rsidRPr="00C439C9">
                        <w:rPr>
                          <w:sz w:val="12"/>
                          <w:szCs w:val="12"/>
                        </w:rPr>
                        <w:t>https://th.bing.com/th/id/R.5905b5ab2704fa7593c878609f04f451?rik=73iY%2bGs6MShGTg&amp;riu=http%3a%2f%2fbrewminate.com%2fwp-content%2fuploads%2f2018%2f04%2f042818-06-Children-Slave-Trade-History-Slavery.jpg&amp;ehk=SIn5SfqRc%2baVTeYEBSrFOZqKhU7a8%2bEuNAemWK6y6QM%3d&amp;risl=&amp;pid=ImgRaw&amp;r=0</w:t>
                      </w:r>
                    </w:p>
                  </w:txbxContent>
                </v:textbox>
                <w10:wrap type="square" anchorx="margin"/>
              </v:shape>
            </w:pict>
          </mc:Fallback>
        </mc:AlternateContent>
      </w:r>
      <w:r w:rsidR="00FC5499" w:rsidRPr="00546A50">
        <w:rPr>
          <w:rFonts w:ascii="Times New Roman" w:hAnsi="Times New Roman" w:cs="Times New Roman"/>
        </w:rPr>
        <w:t xml:space="preserve">But while the government hold a tight lead on the media there cannot be a true expression of public feeling as there is only one side portrayed on television and </w:t>
      </w:r>
      <w:r w:rsidR="00AC1C80" w:rsidRPr="00546A50">
        <w:rPr>
          <w:rFonts w:ascii="Times New Roman" w:hAnsi="Times New Roman" w:cs="Times New Roman"/>
        </w:rPr>
        <w:t xml:space="preserve">in </w:t>
      </w:r>
      <w:r w:rsidR="00FC5499" w:rsidRPr="00546A50">
        <w:rPr>
          <w:rFonts w:ascii="Times New Roman" w:hAnsi="Times New Roman" w:cs="Times New Roman"/>
        </w:rPr>
        <w:t>the papers. A vision of false unity and a vision of love for a hated institution</w:t>
      </w:r>
      <w:r w:rsidR="00326DFD">
        <w:rPr>
          <w:rFonts w:ascii="Times New Roman" w:hAnsi="Times New Roman" w:cs="Times New Roman"/>
        </w:rPr>
        <w:t>,</w:t>
      </w:r>
      <w:r w:rsidR="00E33C19">
        <w:rPr>
          <w:rFonts w:ascii="Times New Roman" w:hAnsi="Times New Roman" w:cs="Times New Roman"/>
        </w:rPr>
        <w:t xml:space="preserve"> </w:t>
      </w:r>
      <w:r w:rsidR="00326DFD">
        <w:rPr>
          <w:rFonts w:ascii="Times New Roman" w:hAnsi="Times New Roman" w:cs="Times New Roman"/>
        </w:rPr>
        <w:t>w</w:t>
      </w:r>
      <w:r w:rsidR="00E33C19">
        <w:rPr>
          <w:rFonts w:ascii="Times New Roman" w:hAnsi="Times New Roman" w:cs="Times New Roman"/>
        </w:rPr>
        <w:t>hile that persists there can’t be justice for the underclass.</w:t>
      </w:r>
    </w:p>
    <w:sectPr w:rsidR="00FC5499" w:rsidRPr="00546A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A399E" w14:textId="77777777" w:rsidR="00A86CA5" w:rsidRDefault="00A86CA5" w:rsidP="001E7BBD">
      <w:pPr>
        <w:spacing w:after="0" w:line="240" w:lineRule="auto"/>
      </w:pPr>
      <w:r>
        <w:separator/>
      </w:r>
    </w:p>
  </w:endnote>
  <w:endnote w:type="continuationSeparator" w:id="0">
    <w:p w14:paraId="3BDC9856" w14:textId="77777777" w:rsidR="00A86CA5" w:rsidRDefault="00A86CA5" w:rsidP="001E7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BA5C7" w14:textId="77777777" w:rsidR="00A86CA5" w:rsidRDefault="00A86CA5" w:rsidP="001E7BBD">
      <w:pPr>
        <w:spacing w:after="0" w:line="240" w:lineRule="auto"/>
      </w:pPr>
      <w:r>
        <w:separator/>
      </w:r>
    </w:p>
  </w:footnote>
  <w:footnote w:type="continuationSeparator" w:id="0">
    <w:p w14:paraId="002C355B" w14:textId="77777777" w:rsidR="00A86CA5" w:rsidRDefault="00A86CA5" w:rsidP="001E7BBD">
      <w:pPr>
        <w:spacing w:after="0" w:line="240" w:lineRule="auto"/>
      </w:pPr>
      <w:r>
        <w:continuationSeparator/>
      </w:r>
    </w:p>
  </w:footnote>
  <w:footnote w:id="1">
    <w:p w14:paraId="20EC72F3" w14:textId="4DBCC132" w:rsidR="001470CB" w:rsidRDefault="001470CB" w:rsidP="001470CB">
      <w:r w:rsidRPr="007B2C0E">
        <w:rPr>
          <w:rStyle w:val="FootnoteReference"/>
          <w:sz w:val="24"/>
          <w:szCs w:val="24"/>
        </w:rPr>
        <w:footnoteRef/>
      </w:r>
      <w:r>
        <w:t xml:space="preserve"> </w:t>
      </w:r>
      <w:hyperlink r:id="rId1" w:history="1">
        <w:r w:rsidRPr="00115E6F">
          <w:rPr>
            <w:sz w:val="16"/>
            <w:szCs w:val="16"/>
            <w:u w:val="single"/>
          </w:rPr>
          <w:t>World War I - Casualties of World War I | Britannica</w:t>
        </w:r>
      </w:hyperlink>
    </w:p>
  </w:footnote>
  <w:footnote w:id="2">
    <w:p w14:paraId="36E31F99" w14:textId="2265E6ED" w:rsidR="00091A03" w:rsidRPr="00115E6F" w:rsidRDefault="00091A03">
      <w:pPr>
        <w:pStyle w:val="FootnoteText"/>
      </w:pPr>
      <w:r w:rsidRPr="007B2C0E">
        <w:rPr>
          <w:rStyle w:val="FootnoteReference"/>
          <w:sz w:val="28"/>
          <w:szCs w:val="28"/>
        </w:rPr>
        <w:footnoteRef/>
      </w:r>
      <w:r>
        <w:t xml:space="preserve"> </w:t>
      </w:r>
      <w:hyperlink r:id="rId2" w:history="1">
        <w:r w:rsidRPr="00115E6F">
          <w:rPr>
            <w:sz w:val="16"/>
            <w:szCs w:val="16"/>
            <w:u w:val="single"/>
          </w:rPr>
          <w:t>Second Boer War records database goes online - BBC News</w:t>
        </w:r>
      </w:hyperlink>
    </w:p>
  </w:footnote>
  <w:footnote w:id="3">
    <w:p w14:paraId="6E28EFEC" w14:textId="754EE546" w:rsidR="00755D20" w:rsidRDefault="00755D20">
      <w:pPr>
        <w:pStyle w:val="FootnoteText"/>
      </w:pPr>
      <w:r w:rsidRPr="00780114">
        <w:rPr>
          <w:rStyle w:val="FootnoteReference"/>
          <w:sz w:val="28"/>
          <w:szCs w:val="28"/>
        </w:rPr>
        <w:footnoteRef/>
      </w:r>
      <w:r w:rsidRPr="00546A50">
        <w:rPr>
          <w:sz w:val="32"/>
          <w:szCs w:val="32"/>
        </w:rPr>
        <w:t xml:space="preserve"> </w:t>
      </w:r>
      <w:bookmarkStart w:id="0" w:name="_Hlk114824887"/>
      <w:r w:rsidRPr="00780114">
        <w:rPr>
          <w:rFonts w:ascii="Times New Roman" w:hAnsi="Times New Roman" w:cs="Times New Roman"/>
          <w:color w:val="444444"/>
          <w:sz w:val="14"/>
          <w:szCs w:val="14"/>
          <w:shd w:val="clear" w:color="auto" w:fill="FFFFFF"/>
        </w:rPr>
        <w:t>Thomas Carlyle, in "Heroes and Hero-Worship in History," writes: Burke said that there were three Estates in Parliament, but in the Reporters' Gallery yonder, there sat a fourth Estate more important far than them all. The Oxford English Dictionary attributes the term fourth estate to Lord Brougham in 1823.</w:t>
      </w:r>
      <w:bookmarkEnd w:id="0"/>
    </w:p>
  </w:footnote>
  <w:footnote w:id="4">
    <w:p w14:paraId="7049BDE1" w14:textId="4F2F406A" w:rsidR="00755D20" w:rsidRPr="00BE46E4" w:rsidRDefault="00755D20" w:rsidP="00BE46E4">
      <w:pPr>
        <w:pStyle w:val="FootnoteText"/>
        <w:jc w:val="both"/>
        <w:rPr>
          <w:sz w:val="18"/>
          <w:szCs w:val="18"/>
        </w:rPr>
      </w:pPr>
      <w:r w:rsidRPr="00780114">
        <w:rPr>
          <w:rStyle w:val="FootnoteReference"/>
          <w:sz w:val="28"/>
          <w:szCs w:val="28"/>
        </w:rPr>
        <w:footnoteRef/>
      </w:r>
      <w:r w:rsidRPr="00546A50">
        <w:rPr>
          <w:sz w:val="32"/>
          <w:szCs w:val="32"/>
        </w:rPr>
        <w:t xml:space="preserve"> </w:t>
      </w:r>
      <w:bookmarkStart w:id="1" w:name="_Hlk114824981"/>
      <w:r w:rsidRPr="00780114">
        <w:rPr>
          <w:rFonts w:ascii="Times New Roman" w:hAnsi="Times New Roman" w:cs="Times New Roman"/>
          <w:sz w:val="14"/>
          <w:szCs w:val="14"/>
        </w:rPr>
        <w:t>ARTICLE 10 of the declaration of Human Rights. Freedom of expression 1. Everyone has the right to freedom of expression. This right shall include the freedom to hold opinions and to receive and impart information and ideas without interference by public authority and regardless of frontiers. This Article shall not prevent States from requiring the licensing of broadcasting, television or cinema enterprises. 2. The exercise of these freedoms, since it carries with it duties and responsibilities, may be subject to such formalities, conditions, restrictions or penalties as are prescribed by law and are necessary for a democratic society, in the interests of national security, territorial integrity or public safety, for the prevention of disorder or crime, for the protection of health or morals, for the protection of the reputation or rights of others, for preventing the disclosure of information received in confidence, or for maintaining the authority and impartiality of the judiciary.</w:t>
      </w:r>
      <w:bookmarkEnd w:id="1"/>
    </w:p>
  </w:footnote>
  <w:footnote w:id="5">
    <w:p w14:paraId="172AD26A" w14:textId="77777777" w:rsidR="00223609" w:rsidRPr="00780114" w:rsidRDefault="00223609" w:rsidP="00223609">
      <w:pPr>
        <w:spacing w:after="0"/>
        <w:jc w:val="both"/>
        <w:rPr>
          <w:rFonts w:ascii="Times New Roman" w:hAnsi="Times New Roman" w:cs="Times New Roman"/>
          <w:sz w:val="14"/>
          <w:szCs w:val="14"/>
          <w:lang w:eastAsia="en-GB"/>
        </w:rPr>
      </w:pPr>
      <w:r w:rsidRPr="00780114">
        <w:rPr>
          <w:rStyle w:val="FootnoteReference"/>
          <w:sz w:val="28"/>
          <w:szCs w:val="28"/>
        </w:rPr>
        <w:footnoteRef/>
      </w:r>
      <w:r w:rsidRPr="00780114">
        <w:rPr>
          <w:sz w:val="28"/>
          <w:szCs w:val="28"/>
        </w:rPr>
        <w:t xml:space="preserve"> </w:t>
      </w:r>
      <w:bookmarkStart w:id="2" w:name="_Hlk114825242"/>
      <w:r w:rsidRPr="00780114">
        <w:rPr>
          <w:rFonts w:ascii="Times New Roman" w:hAnsi="Times New Roman" w:cs="Times New Roman"/>
          <w:sz w:val="14"/>
          <w:szCs w:val="14"/>
        </w:rPr>
        <w:t>(1)</w:t>
      </w:r>
      <w:r w:rsidRPr="00780114">
        <w:rPr>
          <w:rFonts w:ascii="Times New Roman" w:hAnsi="Times New Roman" w:cs="Times New Roman"/>
          <w:sz w:val="14"/>
          <w:szCs w:val="14"/>
          <w:lang w:eastAsia="en-GB"/>
        </w:rPr>
        <w:t>A person is guilty of an offence if he, (a)uses threatening or abusive words or behaviour, or disorderly behaviour, or (b)displays any writing, sign or other visible representation which is threatening or abusive, within the hearing or sight of a person likely to be caused harassment, alarm or distress thereby.</w:t>
      </w:r>
    </w:p>
    <w:p w14:paraId="60D6E0A8" w14:textId="77777777" w:rsidR="00223609" w:rsidRPr="00780114" w:rsidRDefault="00223609" w:rsidP="00223609">
      <w:pPr>
        <w:spacing w:after="0"/>
        <w:jc w:val="both"/>
        <w:rPr>
          <w:rFonts w:ascii="Times New Roman" w:hAnsi="Times New Roman" w:cs="Times New Roman"/>
          <w:sz w:val="14"/>
          <w:szCs w:val="14"/>
          <w:lang w:eastAsia="en-GB"/>
        </w:rPr>
      </w:pPr>
      <w:r w:rsidRPr="00780114">
        <w:rPr>
          <w:rFonts w:ascii="Times New Roman" w:hAnsi="Times New Roman" w:cs="Times New Roman"/>
          <w:sz w:val="14"/>
          <w:szCs w:val="14"/>
          <w:lang w:eastAsia="en-GB"/>
        </w:rPr>
        <w:t>(2)</w:t>
      </w:r>
      <w:r w:rsidRPr="00780114">
        <w:rPr>
          <w:rFonts w:ascii="Times New Roman" w:hAnsi="Times New Roman" w:cs="Times New Roman"/>
          <w:sz w:val="14"/>
          <w:szCs w:val="14"/>
        </w:rPr>
        <w:t xml:space="preserve"> </w:t>
      </w:r>
      <w:r w:rsidRPr="00780114">
        <w:rPr>
          <w:rFonts w:ascii="Times New Roman" w:hAnsi="Times New Roman" w:cs="Times New Roman"/>
          <w:sz w:val="14"/>
          <w:szCs w:val="14"/>
          <w:lang w:eastAsia="en-GB"/>
        </w:rPr>
        <w:t>An offence under this section may be committed in a public or a private place, except that no offence is committed where the words or behaviour are used, or the writing, sign or other visible representation is displayed, by a person inside a dwelling and the other person is also inside that or another dwelling.</w:t>
      </w:r>
    </w:p>
    <w:p w14:paraId="2E75770E" w14:textId="77777777" w:rsidR="00223609" w:rsidRPr="00780114" w:rsidRDefault="00223609" w:rsidP="00223609">
      <w:pPr>
        <w:spacing w:after="0"/>
        <w:jc w:val="both"/>
        <w:rPr>
          <w:rFonts w:ascii="Times New Roman" w:hAnsi="Times New Roman" w:cs="Times New Roman"/>
          <w:sz w:val="14"/>
          <w:szCs w:val="14"/>
          <w:lang w:eastAsia="en-GB"/>
        </w:rPr>
      </w:pPr>
      <w:r w:rsidRPr="00780114">
        <w:rPr>
          <w:rFonts w:ascii="Times New Roman" w:hAnsi="Times New Roman" w:cs="Times New Roman"/>
          <w:sz w:val="14"/>
          <w:szCs w:val="14"/>
          <w:lang w:eastAsia="en-GB"/>
        </w:rPr>
        <w:t>(3) It is a defence for the accused to prove</w:t>
      </w:r>
      <w:r w:rsidRPr="00780114">
        <w:rPr>
          <w:rFonts w:ascii="Times New Roman" w:hAnsi="Times New Roman" w:cs="Times New Roman"/>
          <w:sz w:val="14"/>
          <w:szCs w:val="14"/>
        </w:rPr>
        <w:t xml:space="preserve"> </w:t>
      </w:r>
      <w:r w:rsidRPr="00780114">
        <w:rPr>
          <w:rFonts w:ascii="Times New Roman" w:hAnsi="Times New Roman" w:cs="Times New Roman"/>
          <w:sz w:val="14"/>
          <w:szCs w:val="14"/>
          <w:lang w:eastAsia="en-GB"/>
        </w:rPr>
        <w:t>(a)that he had no reason to believe that there was any person within hearing or sight who was likely to be caused harassment, alarm or distress or,</w:t>
      </w:r>
      <w:r w:rsidRPr="00780114">
        <w:rPr>
          <w:rFonts w:ascii="Times New Roman" w:hAnsi="Times New Roman" w:cs="Times New Roman"/>
          <w:sz w:val="14"/>
          <w:szCs w:val="14"/>
        </w:rPr>
        <w:t xml:space="preserve"> </w:t>
      </w:r>
      <w:r w:rsidRPr="00780114">
        <w:rPr>
          <w:rFonts w:ascii="Times New Roman" w:hAnsi="Times New Roman" w:cs="Times New Roman"/>
          <w:sz w:val="14"/>
          <w:szCs w:val="14"/>
          <w:lang w:eastAsia="en-GB"/>
        </w:rPr>
        <w:t>(b)that he was inside a dwelling and had no reason to believe that the words or behaviour used, or the writing, sign or other visible representation displayed, would be heard or seen by a person outside that or any other dwelling, or</w:t>
      </w:r>
      <w:r w:rsidRPr="00780114">
        <w:rPr>
          <w:rFonts w:ascii="Times New Roman" w:hAnsi="Times New Roman" w:cs="Times New Roman"/>
          <w:sz w:val="14"/>
          <w:szCs w:val="14"/>
        </w:rPr>
        <w:t xml:space="preserve"> </w:t>
      </w:r>
      <w:r w:rsidRPr="00780114">
        <w:rPr>
          <w:rFonts w:ascii="Times New Roman" w:hAnsi="Times New Roman" w:cs="Times New Roman"/>
          <w:sz w:val="14"/>
          <w:szCs w:val="14"/>
          <w:lang w:eastAsia="en-GB"/>
        </w:rPr>
        <w:t>(c)that his conduct was reasonable.</w:t>
      </w:r>
    </w:p>
    <w:p w14:paraId="6B652EBF" w14:textId="77777777" w:rsidR="00223609" w:rsidRPr="00780114" w:rsidRDefault="00223609" w:rsidP="00223609">
      <w:pPr>
        <w:spacing w:after="0"/>
        <w:jc w:val="both"/>
        <w:rPr>
          <w:rFonts w:ascii="Times New Roman" w:hAnsi="Times New Roman" w:cs="Times New Roman"/>
          <w:sz w:val="14"/>
          <w:szCs w:val="14"/>
          <w:lang w:eastAsia="en-GB"/>
        </w:rPr>
      </w:pPr>
      <w:r w:rsidRPr="00780114">
        <w:rPr>
          <w:rFonts w:ascii="Times New Roman" w:hAnsi="Times New Roman" w:cs="Times New Roman"/>
          <w:sz w:val="14"/>
          <w:szCs w:val="14"/>
          <w:lang w:eastAsia="en-GB"/>
        </w:rPr>
        <w:t>(4)</w:t>
      </w:r>
      <w:hyperlink r:id="rId3" w:anchor="commentary-c21446771" w:tooltip="View the commentary text for this item" w:history="1">
        <w:r w:rsidRPr="00780114">
          <w:rPr>
            <w:rStyle w:val="Hyperlink"/>
            <w:rFonts w:ascii="Times New Roman" w:hAnsi="Times New Roman" w:cs="Times New Roman"/>
            <w:color w:val="auto"/>
            <w:sz w:val="14"/>
            <w:szCs w:val="14"/>
            <w:lang w:eastAsia="en-GB"/>
          </w:rPr>
          <w:t>F6</w:t>
        </w:r>
      </w:hyperlink>
      <w:r w:rsidRPr="00780114">
        <w:rPr>
          <w:rFonts w:ascii="Times New Roman" w:hAnsi="Times New Roman" w:cs="Times New Roman"/>
          <w:sz w:val="14"/>
          <w:szCs w:val="14"/>
          <w:lang w:eastAsia="en-GB"/>
        </w:rPr>
        <w:t xml:space="preserve">. . . . . . . . . . . . . . . . . . . . . . . . . . . </w:t>
      </w:r>
      <w:proofErr w:type="gramStart"/>
      <w:r w:rsidRPr="00780114">
        <w:rPr>
          <w:rFonts w:ascii="Times New Roman" w:hAnsi="Times New Roman" w:cs="Times New Roman"/>
          <w:sz w:val="14"/>
          <w:szCs w:val="14"/>
          <w:lang w:eastAsia="en-GB"/>
        </w:rPr>
        <w:t>. . . .</w:t>
      </w:r>
      <w:proofErr w:type="gramEnd"/>
      <w:r w:rsidRPr="00780114">
        <w:rPr>
          <w:rFonts w:ascii="Times New Roman" w:hAnsi="Times New Roman" w:cs="Times New Roman"/>
          <w:sz w:val="14"/>
          <w:szCs w:val="14"/>
          <w:lang w:eastAsia="en-GB"/>
        </w:rPr>
        <w:t xml:space="preserve"> .</w:t>
      </w:r>
    </w:p>
    <w:p w14:paraId="23BF4D59" w14:textId="77777777" w:rsidR="00223609" w:rsidRPr="00780114" w:rsidRDefault="00223609" w:rsidP="00223609">
      <w:pPr>
        <w:spacing w:after="0"/>
        <w:jc w:val="both"/>
        <w:rPr>
          <w:rFonts w:ascii="Times New Roman" w:hAnsi="Times New Roman" w:cs="Times New Roman"/>
          <w:sz w:val="14"/>
          <w:szCs w:val="14"/>
          <w:lang w:eastAsia="en-GB"/>
        </w:rPr>
      </w:pPr>
      <w:r w:rsidRPr="00780114">
        <w:rPr>
          <w:rFonts w:ascii="Times New Roman" w:hAnsi="Times New Roman" w:cs="Times New Roman"/>
          <w:sz w:val="14"/>
          <w:szCs w:val="14"/>
          <w:lang w:eastAsia="en-GB"/>
        </w:rPr>
        <w:t>(5)</w:t>
      </w:r>
      <w:hyperlink r:id="rId4" w:anchor="commentary-c21446771" w:tooltip="View the commentary text for this item" w:history="1">
        <w:r w:rsidRPr="00780114">
          <w:rPr>
            <w:rStyle w:val="Hyperlink"/>
            <w:rFonts w:ascii="Times New Roman" w:hAnsi="Times New Roman" w:cs="Times New Roman"/>
            <w:color w:val="auto"/>
            <w:sz w:val="14"/>
            <w:szCs w:val="14"/>
            <w:lang w:eastAsia="en-GB"/>
          </w:rPr>
          <w:t>F6</w:t>
        </w:r>
      </w:hyperlink>
      <w:r w:rsidRPr="00780114">
        <w:rPr>
          <w:rFonts w:ascii="Times New Roman" w:hAnsi="Times New Roman" w:cs="Times New Roman"/>
          <w:sz w:val="14"/>
          <w:szCs w:val="14"/>
          <w:lang w:eastAsia="en-GB"/>
        </w:rPr>
        <w:t xml:space="preserve">. . . . . . . . . . . . . . . . . . . . . . . . . . . </w:t>
      </w:r>
      <w:proofErr w:type="gramStart"/>
      <w:r w:rsidRPr="00780114">
        <w:rPr>
          <w:rFonts w:ascii="Times New Roman" w:hAnsi="Times New Roman" w:cs="Times New Roman"/>
          <w:sz w:val="14"/>
          <w:szCs w:val="14"/>
          <w:lang w:eastAsia="en-GB"/>
        </w:rPr>
        <w:t>. . . .</w:t>
      </w:r>
      <w:proofErr w:type="gramEnd"/>
      <w:r w:rsidRPr="00780114">
        <w:rPr>
          <w:rFonts w:ascii="Times New Roman" w:hAnsi="Times New Roman" w:cs="Times New Roman"/>
          <w:sz w:val="14"/>
          <w:szCs w:val="14"/>
          <w:lang w:eastAsia="en-GB"/>
        </w:rPr>
        <w:t xml:space="preserve"> .</w:t>
      </w:r>
    </w:p>
    <w:p w14:paraId="47336FB9" w14:textId="786D7CF1" w:rsidR="00223609" w:rsidRPr="00546A50" w:rsidRDefault="00223609" w:rsidP="00546A50">
      <w:pPr>
        <w:spacing w:after="0"/>
        <w:jc w:val="both"/>
        <w:rPr>
          <w:rFonts w:ascii="Times New Roman" w:hAnsi="Times New Roman" w:cs="Times New Roman"/>
          <w:sz w:val="16"/>
          <w:szCs w:val="16"/>
          <w:lang w:eastAsia="en-GB"/>
        </w:rPr>
      </w:pPr>
      <w:r w:rsidRPr="00780114">
        <w:rPr>
          <w:rFonts w:ascii="Times New Roman" w:hAnsi="Times New Roman" w:cs="Times New Roman"/>
          <w:sz w:val="14"/>
          <w:szCs w:val="14"/>
          <w:lang w:eastAsia="en-GB"/>
        </w:rPr>
        <w:t>(6)A person guilty of an offence under this section is liable on summary conviction to a fine not exceeding level 3 on the standard scale.</w:t>
      </w:r>
      <w:bookmarkEnd w:id="2"/>
    </w:p>
  </w:footnote>
  <w:footnote w:id="6">
    <w:p w14:paraId="1D56742E" w14:textId="77777777" w:rsidR="00822706" w:rsidRDefault="00822706" w:rsidP="00780114">
      <w:pPr>
        <w:pStyle w:val="NormalWeb"/>
        <w:shd w:val="clear" w:color="auto" w:fill="FFFFFF"/>
        <w:spacing w:before="240" w:beforeAutospacing="0" w:after="0" w:afterAutospacing="0"/>
        <w:jc w:val="both"/>
        <w:textAlignment w:val="baseline"/>
      </w:pPr>
      <w:r w:rsidRPr="00780114">
        <w:rPr>
          <w:rStyle w:val="FootnoteReference"/>
          <w:sz w:val="28"/>
          <w:szCs w:val="28"/>
        </w:rPr>
        <w:footnoteRef/>
      </w:r>
      <w:r w:rsidRPr="00780114">
        <w:rPr>
          <w:sz w:val="32"/>
          <w:szCs w:val="32"/>
        </w:rPr>
        <w:t xml:space="preserve"> </w:t>
      </w:r>
      <w:r w:rsidRPr="00780114">
        <w:rPr>
          <w:sz w:val="14"/>
          <w:szCs w:val="14"/>
        </w:rPr>
        <w:t>PUBLIC NUISANCE 1.3 Public nuisance is a common law offence. It has been defined as follows: A person is guilty of a public nuisance (also known as a common nuisance), who (a) does an act not warranted by law, or (b) omits to discharge a legal duty, if the effect of the act or omission is to endanger the life, health, property or comfort of the public, or to obstruct the public in the exercise or enjoyment of rights common to all Her Majesty’s subjects.3 It typically consists either of an environmental nuisance, such as carrying on works producing excessive noise or smells, or of offensive or dangerous behaviour in public, such as noisy parties and hanging from bridges.</w:t>
      </w:r>
      <w:r w:rsidRPr="00780114">
        <w:rPr>
          <w:sz w:val="22"/>
          <w:szCs w:val="22"/>
        </w:rPr>
        <w:t xml:space="preserve"> </w:t>
      </w:r>
    </w:p>
    <w:p w14:paraId="5A7B6FE0" w14:textId="18B3DB5C" w:rsidR="00822706" w:rsidRDefault="00822706">
      <w:pPr>
        <w:pStyle w:val="FootnoteText"/>
      </w:pPr>
    </w:p>
  </w:footnote>
  <w:footnote w:id="7">
    <w:p w14:paraId="2939EBBC" w14:textId="679AF4E6" w:rsidR="00D66F89" w:rsidRDefault="00D66F89" w:rsidP="00D66F89">
      <w:pPr>
        <w:pStyle w:val="FootnoteText"/>
        <w:jc w:val="both"/>
      </w:pPr>
      <w:r w:rsidRPr="00780114">
        <w:rPr>
          <w:rStyle w:val="FootnoteReference"/>
          <w:sz w:val="28"/>
          <w:szCs w:val="28"/>
        </w:rPr>
        <w:footnoteRef/>
      </w:r>
      <w:r>
        <w:t xml:space="preserve"> </w:t>
      </w:r>
      <w:r w:rsidRPr="00780114">
        <w:rPr>
          <w:rFonts w:ascii="Times New Roman" w:hAnsi="Times New Roman" w:cs="Times New Roman"/>
          <w:color w:val="333333"/>
          <w:sz w:val="14"/>
          <w:szCs w:val="14"/>
          <w:shd w:val="clear" w:color="auto" w:fill="FFFFFF"/>
        </w:rPr>
        <w:t xml:space="preserve">Speakers Corner in London's Hyde Park is the oldest free speech platform in the world. People won the right to speak in mass protests in the 1860s and early 1870s. Some people believe the tradition is connected to the right of the condemned to the last speech before being hung at the </w:t>
      </w:r>
      <w:proofErr w:type="spellStart"/>
      <w:r w:rsidRPr="00780114">
        <w:rPr>
          <w:rFonts w:ascii="Times New Roman" w:hAnsi="Times New Roman" w:cs="Times New Roman"/>
          <w:color w:val="333333"/>
          <w:sz w:val="14"/>
          <w:szCs w:val="14"/>
          <w:shd w:val="clear" w:color="auto" w:fill="FFFFFF"/>
        </w:rPr>
        <w:t>Tyburn</w:t>
      </w:r>
      <w:proofErr w:type="spellEnd"/>
      <w:r w:rsidRPr="00780114">
        <w:rPr>
          <w:rFonts w:ascii="Times New Roman" w:hAnsi="Times New Roman" w:cs="Times New Roman"/>
          <w:color w:val="333333"/>
          <w:sz w:val="14"/>
          <w:szCs w:val="14"/>
          <w:shd w:val="clear" w:color="auto" w:fill="FFFFFF"/>
        </w:rPr>
        <w:t xml:space="preserve"> gallows, a practice that stopped at the end of the 18th century. Every Sunday people from all sorts of convictions come to Hyde Park in the afternoon to spread their message or to have fun.</w:t>
      </w:r>
    </w:p>
  </w:footnote>
  <w:footnote w:id="8">
    <w:p w14:paraId="04472485" w14:textId="4DF969AB" w:rsidR="005C72E9" w:rsidRDefault="005C72E9">
      <w:pPr>
        <w:pStyle w:val="FootnoteText"/>
      </w:pPr>
      <w:r>
        <w:rPr>
          <w:rStyle w:val="FootnoteReference"/>
        </w:rPr>
        <w:footnoteRef/>
      </w:r>
      <w:r>
        <w:t xml:space="preserve"> </w:t>
      </w:r>
      <w:hyperlink r:id="rId5" w:anchor=":~:text=If%20the%20Queen%20of%20England%20were%20an%20elected,1953%2C%20the%20year%20she%20came%20to%20the%20throne." w:history="1">
        <w:r w:rsidRPr="00115E6F">
          <w:rPr>
            <w:sz w:val="14"/>
            <w:szCs w:val="14"/>
            <w:u w:val="single"/>
          </w:rPr>
          <w:t>Why the queen who lost the British Empire is still revered -- Elizabeth II lucky she’s not locked in the Tower of London | IrishCentral.com</w:t>
        </w:r>
      </w:hyperlink>
    </w:p>
  </w:footnote>
  <w:footnote w:id="9">
    <w:p w14:paraId="2FA21D07" w14:textId="77777777" w:rsidR="00266CE4" w:rsidRPr="00281EBD" w:rsidRDefault="00276C3B" w:rsidP="00266CE4">
      <w:r w:rsidRPr="005153DC">
        <w:rPr>
          <w:rStyle w:val="FootnoteReference"/>
          <w:sz w:val="28"/>
          <w:szCs w:val="28"/>
        </w:rPr>
        <w:footnoteRef/>
      </w:r>
      <w:r w:rsidRPr="005153DC">
        <w:rPr>
          <w:sz w:val="28"/>
          <w:szCs w:val="28"/>
        </w:rPr>
        <w:t xml:space="preserve"> </w:t>
      </w:r>
      <w:hyperlink r:id="rId6" w:history="1">
        <w:r w:rsidR="00266CE4" w:rsidRPr="00A363F6">
          <w:rPr>
            <w:color w:val="0000FF"/>
            <w:u w:val="single"/>
          </w:rPr>
          <w:t>The Sun never sets on the Empire of Profit | by Niklas Müller | From Empire to Europe | Medium</w:t>
        </w:r>
      </w:hyperlink>
    </w:p>
    <w:p w14:paraId="74D6BB70" w14:textId="7940699C" w:rsidR="00276C3B" w:rsidRDefault="00276C3B">
      <w:pPr>
        <w:pStyle w:val="FootnoteText"/>
      </w:pPr>
    </w:p>
  </w:footnote>
  <w:footnote w:id="10">
    <w:p w14:paraId="40B91CF9" w14:textId="381CFB2E" w:rsidR="00276C3B" w:rsidRDefault="00276C3B" w:rsidP="0027402D">
      <w:pPr>
        <w:pStyle w:val="FootnoteText"/>
        <w:jc w:val="both"/>
      </w:pPr>
      <w:r w:rsidRPr="005153DC">
        <w:rPr>
          <w:rStyle w:val="FootnoteReference"/>
          <w:sz w:val="24"/>
          <w:szCs w:val="24"/>
        </w:rPr>
        <w:footnoteRef/>
      </w:r>
      <w:r w:rsidRPr="005153DC">
        <w:rPr>
          <w:sz w:val="24"/>
          <w:szCs w:val="24"/>
        </w:rPr>
        <w:t xml:space="preserve"> </w:t>
      </w:r>
      <w:r>
        <w:t>“</w:t>
      </w:r>
      <w:r w:rsidRPr="00276C3B">
        <w:t>It benefited the British. But a negative thing for the colonies. In Ireland</w:t>
      </w:r>
      <w:r>
        <w:t>,</w:t>
      </w:r>
      <w:r w:rsidRPr="00276C3B">
        <w:t xml:space="preserve"> a tactic of divide and conquer was implemented. Catholic and Protestant </w:t>
      </w:r>
      <w:r>
        <w:t>divides</w:t>
      </w:r>
      <w:r w:rsidRPr="00276C3B">
        <w:t xml:space="preserve"> </w:t>
      </w:r>
      <w:r>
        <w:t xml:space="preserve">are </w:t>
      </w:r>
      <w:r w:rsidRPr="00276C3B">
        <w:t xml:space="preserve">still felt today. In the 1840s over a million Irish people starved to death while enough food to feed the </w:t>
      </w:r>
      <w:r>
        <w:t>country’s</w:t>
      </w:r>
      <w:r w:rsidRPr="00276C3B">
        <w:t xml:space="preserve"> population twice over was being exported by the British. Ireland suffered horrendously because of an </w:t>
      </w:r>
      <w:r>
        <w:t>800-year</w:t>
      </w:r>
      <w:r w:rsidRPr="00276C3B">
        <w:t xml:space="preserve"> campaign to destroy the language, way of life and freedom of its people.</w:t>
      </w:r>
      <w:r>
        <w:t>”</w:t>
      </w:r>
      <w:r w:rsidRPr="00276C3B">
        <w:t xml:space="preserve"> Ó </w:t>
      </w:r>
      <w:proofErr w:type="spellStart"/>
      <w:r w:rsidRPr="00276C3B">
        <w:t>Dubhlaoich</w:t>
      </w:r>
      <w:proofErr w:type="spellEnd"/>
      <w:r w:rsidRPr="00276C3B">
        <w:t xml:space="preserve"> M </w:t>
      </w:r>
      <w:proofErr w:type="spellStart"/>
      <w:r w:rsidRPr="00276C3B">
        <w:t>Luucass</w:t>
      </w:r>
      <w:proofErr w:type="spellEnd"/>
      <w:r w:rsidRPr="00276C3B">
        <w:t xml:space="preserve"> 19/07/2018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BBD"/>
    <w:rsid w:val="000233F5"/>
    <w:rsid w:val="00091A03"/>
    <w:rsid w:val="000A34A4"/>
    <w:rsid w:val="000F12BE"/>
    <w:rsid w:val="000F29F1"/>
    <w:rsid w:val="00115E6F"/>
    <w:rsid w:val="001470CB"/>
    <w:rsid w:val="00167C66"/>
    <w:rsid w:val="00170338"/>
    <w:rsid w:val="001B7294"/>
    <w:rsid w:val="001E7BBD"/>
    <w:rsid w:val="001F6374"/>
    <w:rsid w:val="00223609"/>
    <w:rsid w:val="00266CE4"/>
    <w:rsid w:val="0027402D"/>
    <w:rsid w:val="00276C3B"/>
    <w:rsid w:val="002B1704"/>
    <w:rsid w:val="00326DFD"/>
    <w:rsid w:val="00357FF2"/>
    <w:rsid w:val="0037789E"/>
    <w:rsid w:val="003B6343"/>
    <w:rsid w:val="003E0564"/>
    <w:rsid w:val="003F3691"/>
    <w:rsid w:val="003F4F13"/>
    <w:rsid w:val="005153DC"/>
    <w:rsid w:val="00530A4A"/>
    <w:rsid w:val="00546A50"/>
    <w:rsid w:val="005C72E9"/>
    <w:rsid w:val="00633428"/>
    <w:rsid w:val="006401ED"/>
    <w:rsid w:val="00670C0F"/>
    <w:rsid w:val="00672279"/>
    <w:rsid w:val="00755D20"/>
    <w:rsid w:val="00780114"/>
    <w:rsid w:val="007B2C0E"/>
    <w:rsid w:val="007D7310"/>
    <w:rsid w:val="00822706"/>
    <w:rsid w:val="00924C32"/>
    <w:rsid w:val="00971B8E"/>
    <w:rsid w:val="00A22804"/>
    <w:rsid w:val="00A86CA5"/>
    <w:rsid w:val="00AA0F02"/>
    <w:rsid w:val="00AC1C80"/>
    <w:rsid w:val="00B40F8C"/>
    <w:rsid w:val="00BE46E4"/>
    <w:rsid w:val="00C439C9"/>
    <w:rsid w:val="00C94573"/>
    <w:rsid w:val="00CD23C6"/>
    <w:rsid w:val="00CD5837"/>
    <w:rsid w:val="00CF498C"/>
    <w:rsid w:val="00D66F89"/>
    <w:rsid w:val="00E33C19"/>
    <w:rsid w:val="00E834C9"/>
    <w:rsid w:val="00EE41A4"/>
    <w:rsid w:val="00F2465C"/>
    <w:rsid w:val="00F63FD8"/>
    <w:rsid w:val="00FA6969"/>
    <w:rsid w:val="00FC5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997E2"/>
  <w15:chartTrackingRefBased/>
  <w15:docId w15:val="{37DBE663-B40B-45AC-ABC5-CF5002E3E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4F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7BBD"/>
    <w:rPr>
      <w:color w:val="0000FF"/>
      <w:u w:val="single"/>
    </w:rPr>
  </w:style>
  <w:style w:type="paragraph" w:styleId="FootnoteText">
    <w:name w:val="footnote text"/>
    <w:basedOn w:val="Normal"/>
    <w:link w:val="FootnoteTextChar"/>
    <w:uiPriority w:val="99"/>
    <w:unhideWhenUsed/>
    <w:rsid w:val="001E7BBD"/>
    <w:pPr>
      <w:spacing w:after="0" w:line="240" w:lineRule="auto"/>
    </w:pPr>
    <w:rPr>
      <w:sz w:val="20"/>
      <w:szCs w:val="20"/>
    </w:rPr>
  </w:style>
  <w:style w:type="character" w:customStyle="1" w:styleId="FootnoteTextChar">
    <w:name w:val="Footnote Text Char"/>
    <w:basedOn w:val="DefaultParagraphFont"/>
    <w:link w:val="FootnoteText"/>
    <w:uiPriority w:val="99"/>
    <w:rsid w:val="001E7BBD"/>
    <w:rPr>
      <w:sz w:val="20"/>
      <w:szCs w:val="20"/>
    </w:rPr>
  </w:style>
  <w:style w:type="character" w:styleId="FootnoteReference">
    <w:name w:val="footnote reference"/>
    <w:basedOn w:val="DefaultParagraphFont"/>
    <w:uiPriority w:val="99"/>
    <w:semiHidden/>
    <w:unhideWhenUsed/>
    <w:rsid w:val="001E7BBD"/>
    <w:rPr>
      <w:vertAlign w:val="superscript"/>
    </w:rPr>
  </w:style>
  <w:style w:type="paragraph" w:styleId="NormalWeb">
    <w:name w:val="Normal (Web)"/>
    <w:basedOn w:val="Normal"/>
    <w:uiPriority w:val="99"/>
    <w:semiHidden/>
    <w:unhideWhenUsed/>
    <w:rsid w:val="008227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redit">
    <w:name w:val="credit"/>
    <w:basedOn w:val="DefaultParagraphFont"/>
    <w:rsid w:val="003F4F13"/>
  </w:style>
  <w:style w:type="character" w:customStyle="1" w:styleId="prefix">
    <w:name w:val="prefix"/>
    <w:basedOn w:val="DefaultParagraphFont"/>
    <w:rsid w:val="003F4F13"/>
  </w:style>
  <w:style w:type="paragraph" w:customStyle="1" w:styleId="ssrcss-1q0x1qg-paragraph">
    <w:name w:val="ssrcss-1q0x1qg-paragraph"/>
    <w:basedOn w:val="Normal"/>
    <w:rsid w:val="00091A0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458847">
      <w:bodyDiv w:val="1"/>
      <w:marLeft w:val="0"/>
      <w:marRight w:val="0"/>
      <w:marTop w:val="0"/>
      <w:marBottom w:val="0"/>
      <w:divBdr>
        <w:top w:val="none" w:sz="0" w:space="0" w:color="auto"/>
        <w:left w:val="none" w:sz="0" w:space="0" w:color="auto"/>
        <w:bottom w:val="none" w:sz="0" w:space="0" w:color="auto"/>
        <w:right w:val="none" w:sz="0" w:space="0" w:color="auto"/>
      </w:divBdr>
      <w:divsChild>
        <w:div w:id="43994651">
          <w:marLeft w:val="0"/>
          <w:marRight w:val="75"/>
          <w:marTop w:val="0"/>
          <w:marBottom w:val="0"/>
          <w:divBdr>
            <w:top w:val="none" w:sz="0" w:space="0" w:color="auto"/>
            <w:left w:val="none" w:sz="0" w:space="0" w:color="auto"/>
            <w:bottom w:val="none" w:sz="0" w:space="0" w:color="auto"/>
            <w:right w:val="none" w:sz="0" w:space="0" w:color="auto"/>
          </w:divBdr>
        </w:div>
        <w:div w:id="267933405">
          <w:marLeft w:val="0"/>
          <w:marRight w:val="75"/>
          <w:marTop w:val="0"/>
          <w:marBottom w:val="0"/>
          <w:divBdr>
            <w:top w:val="none" w:sz="0" w:space="0" w:color="auto"/>
            <w:left w:val="none" w:sz="0" w:space="0" w:color="auto"/>
            <w:bottom w:val="none" w:sz="0" w:space="0" w:color="auto"/>
            <w:right w:val="none" w:sz="0" w:space="0" w:color="auto"/>
          </w:divBdr>
        </w:div>
        <w:div w:id="2003049118">
          <w:marLeft w:val="0"/>
          <w:marRight w:val="0"/>
          <w:marTop w:val="0"/>
          <w:marBottom w:val="0"/>
          <w:divBdr>
            <w:top w:val="none" w:sz="0" w:space="0" w:color="auto"/>
            <w:left w:val="none" w:sz="0" w:space="0" w:color="auto"/>
            <w:bottom w:val="none" w:sz="0" w:space="0" w:color="auto"/>
            <w:right w:val="none" w:sz="0" w:space="0" w:color="auto"/>
          </w:divBdr>
        </w:div>
      </w:divsChild>
    </w:div>
    <w:div w:id="1843157775">
      <w:bodyDiv w:val="1"/>
      <w:marLeft w:val="0"/>
      <w:marRight w:val="0"/>
      <w:marTop w:val="0"/>
      <w:marBottom w:val="0"/>
      <w:divBdr>
        <w:top w:val="none" w:sz="0" w:space="0" w:color="auto"/>
        <w:left w:val="none" w:sz="0" w:space="0" w:color="auto"/>
        <w:bottom w:val="none" w:sz="0" w:space="0" w:color="auto"/>
        <w:right w:val="none" w:sz="0" w:space="0" w:color="auto"/>
      </w:divBdr>
      <w:divsChild>
        <w:div w:id="541135137">
          <w:marLeft w:val="0"/>
          <w:marRight w:val="0"/>
          <w:marTop w:val="0"/>
          <w:marBottom w:val="0"/>
          <w:divBdr>
            <w:top w:val="none" w:sz="0" w:space="0" w:color="auto"/>
            <w:left w:val="none" w:sz="0" w:space="0" w:color="auto"/>
            <w:bottom w:val="none" w:sz="0" w:space="0" w:color="auto"/>
            <w:right w:val="none" w:sz="0" w:space="0" w:color="auto"/>
          </w:divBdr>
          <w:divsChild>
            <w:div w:id="1654488033">
              <w:marLeft w:val="0"/>
              <w:marRight w:val="0"/>
              <w:marTop w:val="0"/>
              <w:marBottom w:val="0"/>
              <w:divBdr>
                <w:top w:val="none" w:sz="0" w:space="0" w:color="auto"/>
                <w:left w:val="none" w:sz="0" w:space="0" w:color="auto"/>
                <w:bottom w:val="none" w:sz="0" w:space="0" w:color="auto"/>
                <w:right w:val="none" w:sz="0" w:space="0" w:color="auto"/>
              </w:divBdr>
            </w:div>
          </w:divsChild>
        </w:div>
        <w:div w:id="1353796583">
          <w:marLeft w:val="0"/>
          <w:marRight w:val="0"/>
          <w:marTop w:val="0"/>
          <w:marBottom w:val="0"/>
          <w:divBdr>
            <w:top w:val="none" w:sz="0" w:space="0" w:color="auto"/>
            <w:left w:val="none" w:sz="0" w:space="0" w:color="auto"/>
            <w:bottom w:val="none" w:sz="0" w:space="0" w:color="auto"/>
            <w:right w:val="none" w:sz="0" w:space="0" w:color="auto"/>
          </w:divBdr>
          <w:divsChild>
            <w:div w:id="47502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n.wikipedia.org/wiki/Second_Boer_War_concentration_camps" TargetMode="External"/><Relationship Id="rId4" Type="http://schemas.openxmlformats.org/officeDocument/2006/relationships/webSettings" Target="webSettings.xml"/><Relationship Id="rId9" Type="http://schemas.openxmlformats.org/officeDocument/2006/relationships/hyperlink" Target="https://en.wikipedia.org/wiki/Second_Boer_War_concentration_camps"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legislation.gov.uk/ukpga/1986/64" TargetMode="External"/><Relationship Id="rId2" Type="http://schemas.openxmlformats.org/officeDocument/2006/relationships/hyperlink" Target="https://www.bbc.co.uk/news/10390469" TargetMode="External"/><Relationship Id="rId1" Type="http://schemas.openxmlformats.org/officeDocument/2006/relationships/hyperlink" Target="https://www.britannica.com/event/World-War-I/Killed-wounded-and-missing" TargetMode="External"/><Relationship Id="rId6" Type="http://schemas.openxmlformats.org/officeDocument/2006/relationships/hyperlink" Target="https://medium.com/from-empire-to-europe/the-sun-never-sets-on-the-empire-of-profit-129406017290" TargetMode="External"/><Relationship Id="rId5" Type="http://schemas.openxmlformats.org/officeDocument/2006/relationships/hyperlink" Target="https://www.irishcentral.com/opinion/niallodowd/why-the-queen-who-lost-the-british-empire-is-still-revered-elizabeth-ii-lucky-shes-not-locked-in-the-tower-of-london-156952235-238134691" TargetMode="External"/><Relationship Id="rId4" Type="http://schemas.openxmlformats.org/officeDocument/2006/relationships/hyperlink" Target="https://www.legislation.gov.uk/ukpga/1986/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466DE9-6FB0-4AB8-8E88-98AA64980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731</Words>
  <Characters>4168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Terry Evans</dc:creator>
  <cp:keywords/>
  <dc:description/>
  <cp:lastModifiedBy>Terry Evans</cp:lastModifiedBy>
  <cp:revision>2</cp:revision>
  <cp:lastPrinted>2022-09-23T11:35:00Z</cp:lastPrinted>
  <dcterms:created xsi:type="dcterms:W3CDTF">2022-09-23T18:31:00Z</dcterms:created>
  <dcterms:modified xsi:type="dcterms:W3CDTF">2022-09-23T18:31:00Z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eb681e5b-60c8-4e53-b022-29f0c0c09140</vt:lpwstr>
  </property>
</Properties>
</file>