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5313" w:rsidRDefault="00B65313" w:rsidP="00B65313">
      <w:pPr>
        <w:pStyle w:val="NormalWeb"/>
        <w:spacing w:before="0" w:beforeAutospacing="0" w:after="0" w:afterAutospacing="0"/>
        <w:ind w:left="-180" w:right="-334"/>
      </w:pPr>
      <w:r>
        <w:rPr>
          <w:noProof/>
        </w:rPr>
        <w:drawing>
          <wp:inline distT="0" distB="0" distL="0" distR="0" wp14:anchorId="4234BFD8" wp14:editId="7CB0A51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B65313" w:rsidRDefault="00B65313" w:rsidP="00B65313">
      <w:pPr>
        <w:pStyle w:val="NormalWeb"/>
        <w:spacing w:before="0" w:beforeAutospacing="0" w:after="0" w:afterAutospacing="0"/>
        <w:ind w:left="-180" w:right="-334"/>
      </w:pPr>
    </w:p>
    <w:p w:rsidR="00B65313" w:rsidRDefault="00B65313" w:rsidP="00B65313">
      <w:pPr>
        <w:pStyle w:val="NormalWeb"/>
        <w:spacing w:before="0" w:beforeAutospacing="0" w:after="0" w:afterAutospacing="0"/>
        <w:ind w:left="-180" w:right="-334"/>
      </w:pPr>
    </w:p>
    <w:p w:rsidR="00B65313" w:rsidRDefault="00B65313" w:rsidP="00B6531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B65313" w:rsidRPr="00230F35" w:rsidRDefault="00B65313" w:rsidP="00B6531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B65313" w:rsidRPr="00230F35" w:rsidRDefault="00B65313" w:rsidP="00B65313">
      <w:pPr>
        <w:rPr>
          <w:rFonts w:ascii="Arial" w:hAnsi="Arial" w:cs="Arial"/>
          <w:sz w:val="28"/>
          <w:szCs w:val="28"/>
          <w:lang w:val="cy-GB"/>
        </w:rPr>
      </w:pPr>
    </w:p>
    <w:p w:rsidR="00B65313" w:rsidRDefault="00B65313" w:rsidP="00B65313">
      <w:pPr>
        <w:pStyle w:val="Heading3"/>
        <w:jc w:val="center"/>
        <w:rPr>
          <w:lang w:val="cy-GB"/>
        </w:rPr>
      </w:pPr>
      <w:r>
        <w:rPr>
          <w:lang w:val="cy-GB"/>
        </w:rPr>
        <w:t>THIS SHEET MUST BE THE FIRST PAGE OF THE ASSIGNMENT YOU ARE SUBMITTING  (DO NOT SEND AS A SEPARATE FILE)</w:t>
      </w:r>
    </w:p>
    <w:p w:rsidR="00B65313" w:rsidRDefault="00B65313" w:rsidP="00B6531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65313" w:rsidRPr="00230F35" w:rsidTr="00516AF5">
        <w:trPr>
          <w:trHeight w:val="614"/>
        </w:trPr>
        <w:tc>
          <w:tcPr>
            <w:tcW w:w="8856" w:type="dxa"/>
            <w:gridSpan w:val="5"/>
          </w:tcPr>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65313" w:rsidRPr="00230F35" w:rsidTr="00516AF5">
        <w:trPr>
          <w:trHeight w:val="718"/>
        </w:trPr>
        <w:tc>
          <w:tcPr>
            <w:tcW w:w="8856" w:type="dxa"/>
            <w:gridSpan w:val="5"/>
          </w:tcPr>
          <w:p w:rsidR="00B65313"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B65313" w:rsidRPr="00230F35" w:rsidRDefault="00B6531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Gulliver Methuen-Campbell </w:t>
            </w:r>
          </w:p>
        </w:tc>
      </w:tr>
      <w:tr w:rsidR="00B65313" w:rsidRPr="00230F35" w:rsidTr="00516AF5">
        <w:trPr>
          <w:trHeight w:val="849"/>
        </w:trPr>
        <w:tc>
          <w:tcPr>
            <w:tcW w:w="4788" w:type="dxa"/>
          </w:tcPr>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073951">
              <w:rPr>
                <w:rFonts w:ascii="Arial" w:hAnsi="Arial" w:cs="Arial"/>
                <w:sz w:val="22"/>
                <w:szCs w:val="22"/>
              </w:rPr>
              <w:t>AHHI 7001</w:t>
            </w:r>
          </w:p>
          <w:p w:rsidR="00B65313" w:rsidRPr="00230F35" w:rsidRDefault="00B65313" w:rsidP="00516AF5">
            <w:pPr>
              <w:pStyle w:val="NormalWeb"/>
              <w:spacing w:before="0" w:beforeAutospacing="0" w:after="0" w:afterAutospacing="0"/>
              <w:ind w:right="34"/>
              <w:rPr>
                <w:rFonts w:ascii="Arial" w:hAnsi="Arial" w:cs="Arial"/>
                <w:sz w:val="22"/>
                <w:szCs w:val="22"/>
              </w:rPr>
            </w:pPr>
          </w:p>
          <w:p w:rsidR="00B65313"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073951">
              <w:rPr>
                <w:rFonts w:ascii="Arial" w:hAnsi="Arial" w:cs="Arial"/>
                <w:sz w:val="22"/>
                <w:szCs w:val="22"/>
              </w:rPr>
              <w:t>Research Methodology</w:t>
            </w:r>
          </w:p>
          <w:p w:rsidR="00B65313" w:rsidRDefault="00B65313" w:rsidP="00516AF5">
            <w:pPr>
              <w:pStyle w:val="NormalWeb"/>
              <w:spacing w:before="0" w:beforeAutospacing="0" w:after="0" w:afterAutospacing="0"/>
              <w:ind w:right="34"/>
              <w:rPr>
                <w:rFonts w:ascii="Arial" w:hAnsi="Arial" w:cs="Arial"/>
                <w:sz w:val="22"/>
                <w:szCs w:val="22"/>
              </w:rPr>
            </w:pPr>
          </w:p>
          <w:p w:rsidR="00B65313" w:rsidRPr="00230F35" w:rsidRDefault="00B65313" w:rsidP="00516AF5">
            <w:pPr>
              <w:pStyle w:val="NormalWeb"/>
              <w:spacing w:before="0" w:beforeAutospacing="0" w:after="0" w:afterAutospacing="0"/>
              <w:ind w:right="34"/>
              <w:rPr>
                <w:rFonts w:ascii="Arial" w:hAnsi="Arial" w:cs="Arial"/>
                <w:sz w:val="22"/>
                <w:szCs w:val="22"/>
              </w:rPr>
            </w:pPr>
          </w:p>
        </w:tc>
        <w:tc>
          <w:tcPr>
            <w:tcW w:w="2266" w:type="dxa"/>
            <w:gridSpan w:val="3"/>
          </w:tcPr>
          <w:p w:rsidR="00B65313"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65313" w:rsidRDefault="00B65313" w:rsidP="00516AF5">
            <w:pPr>
              <w:pStyle w:val="NormalWeb"/>
              <w:spacing w:before="0" w:beforeAutospacing="0" w:after="0" w:afterAutospacing="0"/>
              <w:ind w:right="34"/>
              <w:rPr>
                <w:rFonts w:ascii="Arial" w:hAnsi="Arial" w:cs="Arial"/>
                <w:sz w:val="22"/>
                <w:szCs w:val="22"/>
              </w:rPr>
            </w:pPr>
          </w:p>
          <w:p w:rsidR="00B65313" w:rsidRPr="00230F35" w:rsidRDefault="00B6531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1705164</w:t>
            </w:r>
          </w:p>
        </w:tc>
        <w:tc>
          <w:tcPr>
            <w:tcW w:w="1802" w:type="dxa"/>
          </w:tcPr>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73951">
              <w:rPr>
                <w:rFonts w:ascii="Arial" w:hAnsi="Arial" w:cs="Arial"/>
                <w:b/>
                <w:sz w:val="22"/>
                <w:szCs w:val="22"/>
              </w:rPr>
              <w:t>No</w:t>
            </w:r>
          </w:p>
        </w:tc>
      </w:tr>
      <w:tr w:rsidR="00B65313" w:rsidRPr="00230F35" w:rsidTr="00516AF5">
        <w:trPr>
          <w:trHeight w:val="1139"/>
        </w:trPr>
        <w:tc>
          <w:tcPr>
            <w:tcW w:w="8856" w:type="dxa"/>
            <w:gridSpan w:val="5"/>
          </w:tcPr>
          <w:p w:rsidR="00B65313" w:rsidRPr="00230F35" w:rsidRDefault="00B6531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B65313" w:rsidRPr="00230F35" w:rsidRDefault="00B6531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rsidR="00B65313" w:rsidRDefault="00B65313" w:rsidP="00516AF5">
            <w:pPr>
              <w:pStyle w:val="NormalWeb"/>
              <w:spacing w:before="0" w:beforeAutospacing="0" w:after="0" w:afterAutospacing="0"/>
              <w:ind w:right="34"/>
              <w:rPr>
                <w:rFonts w:ascii="Arial" w:hAnsi="Arial" w:cs="Arial"/>
                <w:sz w:val="22"/>
                <w:szCs w:val="22"/>
              </w:rPr>
            </w:pPr>
          </w:p>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073951">
              <w:rPr>
                <w:rFonts w:ascii="Arial" w:hAnsi="Arial" w:cs="Arial"/>
                <w:sz w:val="22"/>
                <w:szCs w:val="22"/>
                <w:vertAlign w:val="superscript"/>
              </w:rPr>
              <w:t>th</w:t>
            </w:r>
            <w:r>
              <w:rPr>
                <w:rFonts w:ascii="Arial" w:hAnsi="Arial" w:cs="Arial"/>
                <w:sz w:val="22"/>
                <w:szCs w:val="22"/>
              </w:rPr>
              <w:t xml:space="preserve"> May 2018</w:t>
            </w:r>
          </w:p>
        </w:tc>
      </w:tr>
      <w:tr w:rsidR="00B65313" w:rsidRPr="00230F35" w:rsidTr="00516AF5">
        <w:trPr>
          <w:trHeight w:val="978"/>
        </w:trPr>
        <w:tc>
          <w:tcPr>
            <w:tcW w:w="8856" w:type="dxa"/>
            <w:gridSpan w:val="5"/>
            <w:tcBorders>
              <w:bottom w:val="single" w:sz="4" w:space="0" w:color="000000"/>
            </w:tcBorders>
          </w:tcPr>
          <w:p w:rsidR="00B65313" w:rsidRDefault="00B65313" w:rsidP="00516AF5">
            <w:pPr>
              <w:rPr>
                <w:rFonts w:ascii="Arial" w:hAnsi="Arial" w:cs="Arial"/>
              </w:rPr>
            </w:pPr>
            <w:r>
              <w:rPr>
                <w:rFonts w:ascii="Arial" w:hAnsi="Arial" w:cs="Arial"/>
              </w:rPr>
              <w:t>If your module has multiple submissions please indicate which piece of work this is.</w:t>
            </w:r>
          </w:p>
          <w:p w:rsidR="00B65313" w:rsidRDefault="00B65313" w:rsidP="00516AF5">
            <w:pPr>
              <w:rPr>
                <w:rFonts w:ascii="Arial" w:hAnsi="Arial" w:cs="Arial"/>
              </w:rPr>
            </w:pPr>
          </w:p>
          <w:p w:rsidR="00B65313" w:rsidRPr="00230F35" w:rsidRDefault="00B65313" w:rsidP="00516AF5">
            <w:pPr>
              <w:rPr>
                <w:rFonts w:ascii="Arial" w:hAnsi="Arial" w:cs="Arial"/>
              </w:rPr>
            </w:pPr>
            <w:r w:rsidRPr="00230F35">
              <w:rPr>
                <w:rFonts w:ascii="Arial" w:hAnsi="Arial" w:cs="Arial"/>
              </w:rPr>
              <w:t>1</w:t>
            </w:r>
            <w:r w:rsidRPr="00230F35">
              <w:rPr>
                <w:rFonts w:ascii="Arial" w:hAnsi="Arial" w:cs="Arial"/>
                <w:vertAlign w:val="superscript"/>
              </w:rPr>
              <w:t xml:space="preserve">st </w:t>
            </w:r>
            <w:bookmarkStart w:id="0" w:name="_GoBack"/>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Pr>
                <w:rFonts w:ascii="Arial" w:hAnsi="Arial" w:cs="Arial"/>
              </w:rPr>
            </w:r>
            <w:r>
              <w:rPr>
                <w:rFonts w:ascii="Arial" w:hAnsi="Arial" w:cs="Arial"/>
              </w:rPr>
              <w:fldChar w:fldCharType="end"/>
            </w:r>
            <w:bookmarkEnd w:id="1"/>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fldChar w:fldCharType="begin">
                <w:ffData>
                  <w:name w:val="Check15"/>
                  <w:enabled/>
                  <w:calcOnExit w:val="0"/>
                  <w:checkBox>
                    <w:sizeAuto/>
                    <w:default w:val="1"/>
                  </w:checkBox>
                </w:ffData>
              </w:fldChar>
            </w:r>
            <w:bookmarkStart w:id="3" w:name="Check15"/>
            <w:r>
              <w:rPr>
                <w:rFonts w:ascii="Arial" w:hAnsi="Arial" w:cs="Arial"/>
              </w:rPr>
              <w:instrText xml:space="preserve"> FORMCHECKBOX </w:instrText>
            </w:r>
            <w:r>
              <w:rPr>
                <w:rFonts w:ascii="Arial" w:hAnsi="Arial" w:cs="Arial"/>
              </w:rPr>
            </w:r>
            <w:r>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p>
        </w:tc>
      </w:tr>
      <w:tr w:rsidR="00B65313" w:rsidRPr="00230F35" w:rsidTr="00516AF5">
        <w:trPr>
          <w:trHeight w:val="978"/>
        </w:trPr>
        <w:tc>
          <w:tcPr>
            <w:tcW w:w="8856" w:type="dxa"/>
            <w:gridSpan w:val="5"/>
            <w:shd w:val="clear" w:color="auto" w:fill="D9D9D9"/>
          </w:tcPr>
          <w:p w:rsidR="00B65313" w:rsidRPr="00230F35"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B65313" w:rsidRDefault="00B6531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GMC</w:t>
            </w:r>
            <w:r w:rsidRPr="00230F35">
              <w:rPr>
                <w:rFonts w:ascii="Arial" w:hAnsi="Arial" w:cs="Arial"/>
                <w:sz w:val="22"/>
                <w:szCs w:val="22"/>
              </w:rPr>
              <w:t>…………………………</w:t>
            </w:r>
          </w:p>
          <w:p w:rsidR="00B65313" w:rsidRDefault="00B65313" w:rsidP="00516AF5">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rsidR="00B65313" w:rsidRPr="00230F35" w:rsidRDefault="00B65313" w:rsidP="00516AF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65313" w:rsidRPr="00230F35" w:rsidTr="00516AF5">
        <w:trPr>
          <w:trHeight w:val="3972"/>
        </w:trPr>
        <w:tc>
          <w:tcPr>
            <w:tcW w:w="8856" w:type="dxa"/>
            <w:gridSpan w:val="5"/>
          </w:tcPr>
          <w:p w:rsidR="00B65313" w:rsidRDefault="00B65313" w:rsidP="00516AF5">
            <w:pPr>
              <w:rPr>
                <w:rFonts w:ascii="Arial" w:hAnsi="Arial"/>
                <w:b/>
              </w:rPr>
            </w:pPr>
          </w:p>
          <w:p w:rsidR="00B65313" w:rsidRPr="00116CE6" w:rsidRDefault="00B65313" w:rsidP="00516AF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65313" w:rsidRPr="00116CE6" w:rsidTr="00516AF5">
              <w:tc>
                <w:tcPr>
                  <w:tcW w:w="6970" w:type="dxa"/>
                </w:tcPr>
                <w:p w:rsidR="00B65313" w:rsidRPr="00116CE6" w:rsidRDefault="00B65313" w:rsidP="00516AF5">
                  <w:pPr>
                    <w:rPr>
                      <w:rFonts w:ascii="Arial" w:hAnsi="Arial"/>
                      <w:sz w:val="20"/>
                      <w:szCs w:val="20"/>
                    </w:rPr>
                  </w:pPr>
                </w:p>
                <w:p w:rsidR="00B65313" w:rsidRPr="00116CE6" w:rsidRDefault="00B65313" w:rsidP="00516AF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B65313" w:rsidRPr="00116CE6" w:rsidRDefault="00B65313" w:rsidP="00516AF5">
                  <w:pPr>
                    <w:rPr>
                      <w:rFonts w:ascii="Arial" w:hAnsi="Arial"/>
                      <w:sz w:val="20"/>
                      <w:szCs w:val="20"/>
                    </w:rPr>
                  </w:pPr>
                </w:p>
              </w:tc>
            </w:tr>
            <w:tr w:rsidR="00B65313" w:rsidRPr="00116CE6" w:rsidTr="00516AF5">
              <w:tc>
                <w:tcPr>
                  <w:tcW w:w="6970" w:type="dxa"/>
                </w:tcPr>
                <w:p w:rsidR="00B65313" w:rsidRPr="00116CE6" w:rsidRDefault="00B65313" w:rsidP="00516AF5">
                  <w:pPr>
                    <w:rPr>
                      <w:rFonts w:ascii="Arial" w:hAnsi="Arial"/>
                      <w:sz w:val="20"/>
                      <w:szCs w:val="20"/>
                    </w:rPr>
                  </w:pPr>
                </w:p>
                <w:p w:rsidR="00B65313" w:rsidRPr="00116CE6" w:rsidRDefault="00B65313" w:rsidP="00516AF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B65313" w:rsidRPr="00116CE6" w:rsidRDefault="00B65313" w:rsidP="00516AF5">
                  <w:pPr>
                    <w:rPr>
                      <w:rFonts w:ascii="Arial" w:hAnsi="Arial"/>
                      <w:sz w:val="20"/>
                      <w:szCs w:val="20"/>
                    </w:rPr>
                  </w:pPr>
                </w:p>
              </w:tc>
            </w:tr>
            <w:tr w:rsidR="00B65313" w:rsidRPr="00116CE6" w:rsidTr="00516AF5">
              <w:tc>
                <w:tcPr>
                  <w:tcW w:w="6970" w:type="dxa"/>
                </w:tcPr>
                <w:p w:rsidR="00B65313" w:rsidRPr="00116CE6" w:rsidRDefault="00B65313" w:rsidP="00516AF5">
                  <w:pPr>
                    <w:rPr>
                      <w:rFonts w:ascii="Arial" w:hAnsi="Arial"/>
                      <w:sz w:val="20"/>
                      <w:szCs w:val="20"/>
                    </w:rPr>
                  </w:pPr>
                </w:p>
                <w:p w:rsidR="00B65313" w:rsidRPr="00116CE6" w:rsidRDefault="00B65313" w:rsidP="00516AF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B65313" w:rsidRPr="00116CE6" w:rsidRDefault="00B65313" w:rsidP="00516AF5">
                  <w:pPr>
                    <w:rPr>
                      <w:rFonts w:ascii="Arial" w:hAnsi="Arial"/>
                      <w:sz w:val="20"/>
                      <w:szCs w:val="20"/>
                    </w:rPr>
                  </w:pPr>
                </w:p>
              </w:tc>
            </w:tr>
            <w:tr w:rsidR="00B65313" w:rsidRPr="00116CE6" w:rsidTr="00516AF5">
              <w:tc>
                <w:tcPr>
                  <w:tcW w:w="6970" w:type="dxa"/>
                </w:tcPr>
                <w:p w:rsidR="00B65313" w:rsidRDefault="00B65313" w:rsidP="00516AF5">
                  <w:pPr>
                    <w:rPr>
                      <w:rFonts w:ascii="Arial" w:hAnsi="Arial"/>
                      <w:sz w:val="20"/>
                      <w:szCs w:val="20"/>
                    </w:rPr>
                  </w:pPr>
                </w:p>
                <w:p w:rsidR="00B65313" w:rsidRPr="00022345" w:rsidRDefault="00B65313" w:rsidP="00516AF5">
                  <w:pPr>
                    <w:rPr>
                      <w:rFonts w:ascii="Arial" w:hAnsi="Arial"/>
                      <w:b/>
                      <w:sz w:val="20"/>
                      <w:szCs w:val="20"/>
                    </w:rPr>
                  </w:pPr>
                  <w:r w:rsidRPr="00022345">
                    <w:rPr>
                      <w:rFonts w:ascii="Arial" w:hAnsi="Arial"/>
                      <w:b/>
                      <w:sz w:val="20"/>
                      <w:szCs w:val="20"/>
                    </w:rPr>
                    <w:t>Final Mark</w:t>
                  </w:r>
                </w:p>
                <w:p w:rsidR="00B65313" w:rsidRPr="00116CE6" w:rsidRDefault="00B65313" w:rsidP="00516AF5">
                  <w:pPr>
                    <w:rPr>
                      <w:rFonts w:ascii="Arial" w:hAnsi="Arial"/>
                      <w:sz w:val="20"/>
                      <w:szCs w:val="20"/>
                    </w:rPr>
                  </w:pPr>
                </w:p>
              </w:tc>
              <w:tc>
                <w:tcPr>
                  <w:tcW w:w="1660" w:type="dxa"/>
                </w:tcPr>
                <w:p w:rsidR="00B65313" w:rsidRPr="00116CE6" w:rsidRDefault="00B65313" w:rsidP="00516AF5">
                  <w:pPr>
                    <w:rPr>
                      <w:rFonts w:ascii="Arial" w:hAnsi="Arial"/>
                      <w:sz w:val="20"/>
                      <w:szCs w:val="20"/>
                    </w:rPr>
                  </w:pPr>
                </w:p>
              </w:tc>
            </w:tr>
          </w:tbl>
          <w:p w:rsidR="00B65313" w:rsidRDefault="00B65313" w:rsidP="00516AF5">
            <w:pPr>
              <w:pStyle w:val="NormalWeb"/>
              <w:spacing w:before="0" w:beforeAutospacing="0" w:after="0" w:afterAutospacing="0"/>
              <w:ind w:left="142" w:right="34"/>
              <w:rPr>
                <w:rFonts w:ascii="Arial" w:hAnsi="Arial" w:cs="Arial"/>
                <w:b/>
                <w:sz w:val="22"/>
                <w:szCs w:val="22"/>
              </w:rPr>
            </w:pPr>
          </w:p>
          <w:p w:rsidR="00B65313" w:rsidRPr="00230F35" w:rsidRDefault="00B65313" w:rsidP="00516AF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65313" w:rsidRDefault="00B65313" w:rsidP="00516AF5">
            <w:pPr>
              <w:pStyle w:val="NormalWeb"/>
              <w:spacing w:before="0" w:beforeAutospacing="0" w:after="0" w:afterAutospacing="0"/>
              <w:rPr>
                <w:rFonts w:ascii="Arial" w:hAnsi="Arial" w:cs="Arial"/>
                <w:b/>
                <w:sz w:val="22"/>
                <w:szCs w:val="22"/>
              </w:rPr>
            </w:pPr>
          </w:p>
          <w:p w:rsidR="00B65313" w:rsidRDefault="00B65313" w:rsidP="00516AF5">
            <w:pPr>
              <w:pStyle w:val="NormalWeb"/>
              <w:spacing w:before="0" w:beforeAutospacing="0" w:after="0" w:afterAutospacing="0"/>
              <w:rPr>
                <w:rFonts w:ascii="Arial" w:hAnsi="Arial" w:cs="Arial"/>
                <w:b/>
                <w:sz w:val="22"/>
                <w:szCs w:val="22"/>
              </w:rPr>
            </w:pPr>
          </w:p>
          <w:p w:rsidR="00B65313" w:rsidRDefault="00B65313" w:rsidP="00516AF5">
            <w:pPr>
              <w:pStyle w:val="NormalWeb"/>
              <w:spacing w:before="0" w:beforeAutospacing="0" w:after="0" w:afterAutospacing="0"/>
              <w:rPr>
                <w:rFonts w:ascii="Arial" w:hAnsi="Arial" w:cs="Arial"/>
                <w:b/>
                <w:sz w:val="22"/>
                <w:szCs w:val="22"/>
              </w:rPr>
            </w:pPr>
          </w:p>
          <w:p w:rsidR="00B65313" w:rsidRDefault="00B65313" w:rsidP="00516AF5">
            <w:pPr>
              <w:pStyle w:val="NormalWeb"/>
              <w:spacing w:before="0" w:beforeAutospacing="0" w:after="0" w:afterAutospacing="0"/>
              <w:rPr>
                <w:rFonts w:ascii="Arial" w:hAnsi="Arial" w:cs="Arial"/>
                <w:b/>
                <w:sz w:val="22"/>
                <w:szCs w:val="22"/>
              </w:rPr>
            </w:pPr>
          </w:p>
          <w:p w:rsidR="00B65313" w:rsidRDefault="00B65313" w:rsidP="00516AF5">
            <w:pPr>
              <w:pStyle w:val="NormalWeb"/>
              <w:spacing w:before="0" w:beforeAutospacing="0" w:after="0" w:afterAutospacing="0"/>
              <w:rPr>
                <w:rFonts w:ascii="Arial" w:hAnsi="Arial" w:cs="Arial"/>
                <w:b/>
                <w:sz w:val="22"/>
                <w:szCs w:val="22"/>
              </w:rPr>
            </w:pPr>
          </w:p>
          <w:p w:rsidR="00B65313" w:rsidRPr="00230F35" w:rsidRDefault="00B65313" w:rsidP="00516AF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B65313" w:rsidRDefault="00B65313" w:rsidP="00516AF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B65313" w:rsidRPr="00001C3B" w:rsidRDefault="00B65313" w:rsidP="00516AF5">
            <w:pPr>
              <w:pStyle w:val="NormalWeb"/>
              <w:rPr>
                <w:rFonts w:ascii="Arial" w:hAnsi="Arial" w:cs="Arial"/>
                <w:sz w:val="22"/>
                <w:szCs w:val="22"/>
              </w:rPr>
            </w:pPr>
          </w:p>
        </w:tc>
      </w:tr>
      <w:tr w:rsidR="00B65313" w:rsidRPr="00230F35" w:rsidTr="00516AF5">
        <w:trPr>
          <w:trHeight w:val="492"/>
        </w:trPr>
        <w:tc>
          <w:tcPr>
            <w:tcW w:w="6768" w:type="dxa"/>
            <w:gridSpan w:val="3"/>
          </w:tcPr>
          <w:p w:rsidR="00B65313" w:rsidRPr="00230F35" w:rsidRDefault="00B65313" w:rsidP="00516AF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B65313" w:rsidRPr="00230F35" w:rsidRDefault="00B65313" w:rsidP="00516AF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65313" w:rsidRPr="002F467C" w:rsidTr="00516AF5">
        <w:tc>
          <w:tcPr>
            <w:tcW w:w="8856" w:type="dxa"/>
            <w:gridSpan w:val="5"/>
          </w:tcPr>
          <w:p w:rsidR="00B65313" w:rsidRPr="00230F35" w:rsidRDefault="00B65313" w:rsidP="00516AF5">
            <w:pPr>
              <w:pStyle w:val="NormalWeb"/>
              <w:spacing w:before="0" w:beforeAutospacing="0" w:after="0" w:afterAutospacing="0"/>
              <w:ind w:right="-334"/>
              <w:rPr>
                <w:rFonts w:ascii="Arial" w:hAnsi="Arial" w:cs="Arial"/>
                <w:bCs/>
                <w:i/>
                <w:sz w:val="22"/>
                <w:szCs w:val="22"/>
              </w:rPr>
            </w:pPr>
          </w:p>
          <w:p w:rsidR="00B65313" w:rsidRPr="00230F35" w:rsidRDefault="00B65313" w:rsidP="00516AF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B65313" w:rsidRPr="00230F35" w:rsidRDefault="00B65313" w:rsidP="00516AF5">
            <w:pPr>
              <w:pStyle w:val="NormalWeb"/>
              <w:spacing w:before="0" w:beforeAutospacing="0" w:after="0" w:afterAutospacing="0"/>
              <w:ind w:right="-334"/>
              <w:rPr>
                <w:rFonts w:ascii="Arial" w:hAnsi="Arial" w:cs="Arial"/>
                <w:b/>
                <w:bCs/>
                <w:sz w:val="22"/>
                <w:szCs w:val="22"/>
              </w:rPr>
            </w:pPr>
          </w:p>
          <w:p w:rsidR="00B65313" w:rsidRPr="00230F35" w:rsidRDefault="00B6531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B65313" w:rsidRPr="00230F35" w:rsidRDefault="00B65313" w:rsidP="00516AF5">
            <w:pPr>
              <w:pStyle w:val="NormalWeb"/>
              <w:spacing w:before="0" w:beforeAutospacing="0" w:after="0" w:afterAutospacing="0"/>
              <w:ind w:right="-334"/>
              <w:rPr>
                <w:rFonts w:ascii="Arial" w:hAnsi="Arial" w:cs="Arial"/>
                <w:bCs/>
                <w:sz w:val="22"/>
                <w:szCs w:val="22"/>
              </w:rPr>
            </w:pPr>
          </w:p>
          <w:p w:rsidR="00B65313" w:rsidRPr="00230F35" w:rsidRDefault="00B65313" w:rsidP="00516AF5">
            <w:pPr>
              <w:pStyle w:val="NormalWeb"/>
              <w:spacing w:before="0" w:beforeAutospacing="0" w:after="0" w:afterAutospacing="0"/>
              <w:ind w:right="-334"/>
              <w:rPr>
                <w:rFonts w:ascii="Arial" w:hAnsi="Arial" w:cs="Arial"/>
                <w:bCs/>
                <w:sz w:val="22"/>
                <w:szCs w:val="22"/>
              </w:rPr>
            </w:pPr>
          </w:p>
          <w:p w:rsidR="00B65313" w:rsidRPr="00230F35" w:rsidRDefault="00B65313" w:rsidP="00516AF5">
            <w:pPr>
              <w:pStyle w:val="NormalWeb"/>
              <w:spacing w:before="0" w:beforeAutospacing="0" w:after="0" w:afterAutospacing="0"/>
              <w:ind w:right="-334"/>
              <w:rPr>
                <w:rFonts w:ascii="Arial" w:hAnsi="Arial" w:cs="Arial"/>
                <w:bCs/>
                <w:sz w:val="22"/>
                <w:szCs w:val="22"/>
              </w:rPr>
            </w:pPr>
          </w:p>
        </w:tc>
      </w:tr>
      <w:tr w:rsidR="00B65313" w:rsidRPr="002F467C" w:rsidTr="00516AF5">
        <w:trPr>
          <w:trHeight w:val="720"/>
        </w:trPr>
        <w:tc>
          <w:tcPr>
            <w:tcW w:w="5211" w:type="dxa"/>
            <w:gridSpan w:val="2"/>
          </w:tcPr>
          <w:p w:rsidR="00B65313" w:rsidRPr="00230F35" w:rsidRDefault="00B6531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B65313" w:rsidRPr="00230F35" w:rsidRDefault="00B6531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65313" w:rsidRPr="002F467C" w:rsidTr="00516AF5">
        <w:trPr>
          <w:trHeight w:val="720"/>
        </w:trPr>
        <w:tc>
          <w:tcPr>
            <w:tcW w:w="8856" w:type="dxa"/>
            <w:gridSpan w:val="5"/>
          </w:tcPr>
          <w:p w:rsidR="00B65313" w:rsidRPr="00B34964" w:rsidRDefault="00B65313" w:rsidP="00516AF5">
            <w:pPr>
              <w:rPr>
                <w:rFonts w:ascii="Arial" w:hAnsi="Arial" w:cs="Arial"/>
                <w:b/>
              </w:rPr>
            </w:pPr>
            <w:r w:rsidRPr="00B34964">
              <w:rPr>
                <w:rFonts w:ascii="Arial" w:hAnsi="Arial" w:cs="Arial"/>
                <w:b/>
              </w:rPr>
              <w:t>External Examiner’s comments (if relevant)</w:t>
            </w:r>
          </w:p>
          <w:p w:rsidR="00B65313" w:rsidRPr="00230F35" w:rsidRDefault="00B65313" w:rsidP="00516AF5">
            <w:pPr>
              <w:pStyle w:val="NormalWeb"/>
              <w:spacing w:before="0" w:beforeAutospacing="0" w:after="0" w:afterAutospacing="0"/>
              <w:ind w:right="-334"/>
              <w:rPr>
                <w:rFonts w:ascii="Arial" w:hAnsi="Arial" w:cs="Arial"/>
                <w:bCs/>
                <w:sz w:val="22"/>
                <w:szCs w:val="22"/>
              </w:rPr>
            </w:pPr>
          </w:p>
          <w:p w:rsidR="00B65313" w:rsidRPr="00230F35" w:rsidRDefault="00B65313" w:rsidP="00516AF5">
            <w:pPr>
              <w:pStyle w:val="NormalWeb"/>
              <w:spacing w:before="0" w:beforeAutospacing="0" w:after="0" w:afterAutospacing="0"/>
              <w:ind w:right="-334"/>
              <w:rPr>
                <w:rFonts w:ascii="Arial" w:hAnsi="Arial" w:cs="Arial"/>
                <w:bCs/>
                <w:sz w:val="22"/>
                <w:szCs w:val="22"/>
              </w:rPr>
            </w:pPr>
          </w:p>
          <w:p w:rsidR="00B65313" w:rsidRPr="00230F35" w:rsidRDefault="00B65313" w:rsidP="00516AF5">
            <w:pPr>
              <w:pStyle w:val="NormalWeb"/>
              <w:spacing w:before="0" w:beforeAutospacing="0" w:after="0" w:afterAutospacing="0"/>
              <w:ind w:right="-334"/>
              <w:rPr>
                <w:rFonts w:ascii="Arial" w:hAnsi="Arial" w:cs="Arial"/>
                <w:bCs/>
                <w:sz w:val="22"/>
                <w:szCs w:val="22"/>
              </w:rPr>
            </w:pPr>
          </w:p>
        </w:tc>
      </w:tr>
      <w:tr w:rsidR="00B65313" w:rsidRPr="002F467C" w:rsidTr="00516AF5">
        <w:trPr>
          <w:trHeight w:val="720"/>
        </w:trPr>
        <w:tc>
          <w:tcPr>
            <w:tcW w:w="5211" w:type="dxa"/>
            <w:gridSpan w:val="2"/>
          </w:tcPr>
          <w:p w:rsidR="00B65313" w:rsidRPr="00230F35" w:rsidRDefault="00B65313" w:rsidP="00516AF5">
            <w:pPr>
              <w:rPr>
                <w:rFonts w:ascii="Arial" w:hAnsi="Arial" w:cs="Arial"/>
              </w:rPr>
            </w:pPr>
            <w:r w:rsidRPr="00230F35">
              <w:rPr>
                <w:rFonts w:ascii="Arial" w:hAnsi="Arial" w:cs="Arial"/>
              </w:rPr>
              <w:t>External Examiner’s Signature:</w:t>
            </w:r>
          </w:p>
        </w:tc>
        <w:tc>
          <w:tcPr>
            <w:tcW w:w="3645" w:type="dxa"/>
            <w:gridSpan w:val="3"/>
          </w:tcPr>
          <w:p w:rsidR="00B65313" w:rsidRPr="00230F35" w:rsidRDefault="00B65313" w:rsidP="00516AF5">
            <w:pPr>
              <w:rPr>
                <w:rFonts w:ascii="Arial" w:hAnsi="Arial" w:cs="Arial"/>
              </w:rPr>
            </w:pPr>
            <w:r w:rsidRPr="00230F35">
              <w:rPr>
                <w:rFonts w:ascii="Arial" w:hAnsi="Arial" w:cs="Arial"/>
              </w:rPr>
              <w:t>Date:</w:t>
            </w:r>
          </w:p>
        </w:tc>
      </w:tr>
    </w:tbl>
    <w:p w:rsidR="00E14648" w:rsidRDefault="00E14648">
      <w:r>
        <w:br w:type="page"/>
      </w:r>
    </w:p>
    <w:p w:rsidR="009D5C76" w:rsidRPr="009D5C76" w:rsidRDefault="001D2401" w:rsidP="00E14648">
      <w:pPr>
        <w:rPr>
          <w:rFonts w:asciiTheme="majorHAnsi" w:eastAsiaTheme="majorEastAsia" w:hAnsiTheme="majorHAnsi" w:cstheme="majorBidi"/>
          <w:caps/>
          <w:color w:val="404040" w:themeColor="text1" w:themeTint="BF"/>
          <w:spacing w:val="-10"/>
          <w:sz w:val="72"/>
          <w:szCs w:val="72"/>
        </w:rPr>
      </w:pPr>
      <w:r w:rsidRPr="001D2401">
        <w:rPr>
          <w:rFonts w:asciiTheme="majorHAnsi" w:eastAsiaTheme="majorEastAsia" w:hAnsiTheme="majorHAnsi" w:cstheme="majorBidi"/>
          <w:caps/>
          <w:color w:val="404040" w:themeColor="text1" w:themeTint="BF"/>
          <w:spacing w:val="-10"/>
          <w:sz w:val="72"/>
          <w:szCs w:val="72"/>
        </w:rPr>
        <w:lastRenderedPageBreak/>
        <w:t>The tympanum at the church of St Foy</w:t>
      </w:r>
    </w:p>
    <w:p w:rsidR="00E14648" w:rsidRDefault="004474CE" w:rsidP="004474CE">
      <w:pPr>
        <w:pStyle w:val="Heading1"/>
      </w:pPr>
      <w:r>
        <w:t>Content</w:t>
      </w:r>
    </w:p>
    <w:p w:rsidR="002D185B" w:rsidRDefault="009D5C76" w:rsidP="00E14648">
      <w:r>
        <w:t>The tympanum at Conques depicts the Last Judgment</w:t>
      </w:r>
      <w:r w:rsidR="00D17B71">
        <w:t>, with Christ enthroned at the centre “with his right hand pointing upwards to the saved while his left hand gestures down to the damned”</w:t>
      </w:r>
      <w:r w:rsidR="00D17B71">
        <w:rPr>
          <w:rStyle w:val="FootnoteReference"/>
        </w:rPr>
        <w:footnoteReference w:id="1"/>
      </w:r>
      <w:r w:rsidR="00D17B71">
        <w:t xml:space="preserve">. </w:t>
      </w:r>
      <w:r w:rsidR="007E2D1A">
        <w:t xml:space="preserve">His positioning directs the gaze of the viewer upwards to his right, towards Heaven, and then downwards to his left, towards Hell. This is echoed by the positioning of his feet, which creates an illusion of lifted movement and emphasises the balance between good and evil as Christ is literally lifted towards the heavens. </w:t>
      </w:r>
    </w:p>
    <w:p w:rsidR="000865C7" w:rsidRDefault="00F13E39" w:rsidP="00E14648">
      <w:r>
        <w:t>To the right of the figure of Christ</w:t>
      </w:r>
      <w:r w:rsidR="00D17B71">
        <w:t xml:space="preserve"> are Mary</w:t>
      </w:r>
      <w:r w:rsidR="00487BBE">
        <w:t>, interceding and acting as a conduit between the divine and the human</w:t>
      </w:r>
      <w:r w:rsidR="00D17B71">
        <w:t>, Peter</w:t>
      </w:r>
      <w:r>
        <w:t xml:space="preserve"> (denoted by the key)</w:t>
      </w:r>
      <w:r w:rsidR="00D17B71">
        <w:t xml:space="preserve"> and a third figure, possibly the monastery’s founder, and beyond “A procession of saints and historical figures - including a Conques abbot and Emperor Charlemagne”</w:t>
      </w:r>
      <w:r w:rsidR="00D17B71">
        <w:rPr>
          <w:rStyle w:val="FootnoteReference"/>
        </w:rPr>
        <w:footnoteReference w:id="2"/>
      </w:r>
      <w:r w:rsidR="00776F42">
        <w:t xml:space="preserve">. </w:t>
      </w:r>
      <w:r w:rsidR="00554385">
        <w:t>At the far edge, identified by their lamps, stand two women representing the</w:t>
      </w:r>
      <w:r w:rsidR="000865C7">
        <w:t xml:space="preserve"> Parable of the Ten Virgins (Matthew 25:1-13), reminding pilgrims to </w:t>
      </w:r>
      <w:r w:rsidR="00A875C0">
        <w:t>be prepared</w:t>
      </w:r>
      <w:r w:rsidR="00554385">
        <w:t>, or else they will get what they deserve</w:t>
      </w:r>
      <w:r w:rsidR="00554385">
        <w:rPr>
          <w:rStyle w:val="FootnoteReference"/>
        </w:rPr>
        <w:footnoteReference w:id="3"/>
      </w:r>
      <w:r w:rsidR="00554385">
        <w:t xml:space="preserve">. </w:t>
      </w:r>
      <w:r w:rsidR="000865C7">
        <w:t xml:space="preserve">  </w:t>
      </w:r>
    </w:p>
    <w:p w:rsidR="00D17B71" w:rsidRDefault="00F13E39" w:rsidP="00E14648">
      <w:r>
        <w:t>To the left are four angels, one holding a sword and shield to create a visual barrier between Christ and the demons and devil</w:t>
      </w:r>
      <w:r w:rsidR="00EA79D0">
        <w:t xml:space="preserve"> of Hell beyond, torturing the damned. </w:t>
      </w:r>
    </w:p>
    <w:p w:rsidR="00773B35" w:rsidRDefault="00F648C6" w:rsidP="00E14648">
      <w:r>
        <w:t xml:space="preserve">Below is a representation of Heaven and Hell. On the right, the structured arcade of Heaven, with Abraham at the centre embracing the two young souls </w:t>
      </w:r>
      <w:r>
        <w:rPr>
          <w:rStyle w:val="FootnoteReference"/>
        </w:rPr>
        <w:footnoteReference w:id="4"/>
      </w:r>
      <w:r>
        <w:rPr>
          <w:rStyle w:val="FootnoteReference"/>
        </w:rPr>
        <w:footnoteReference w:id="5"/>
      </w:r>
      <w:r>
        <w:t>. Saint Faith, whose remains were held at Conques</w:t>
      </w:r>
      <w:r>
        <w:rPr>
          <w:rStyle w:val="FootnoteReference"/>
        </w:rPr>
        <w:footnoteReference w:id="6"/>
      </w:r>
      <w:r>
        <w:t xml:space="preserve">, bows before the hand of God just above, with angels </w:t>
      </w:r>
      <w:r w:rsidR="00773B35">
        <w:t xml:space="preserve">lifting the graves of the good and bringing them to heaven filling the remaining space. At the centre, the worthy are welcomed though the door of Heaven. These scenes are contrasted with the feeding of the Damned to a giant beast as they enter Hell, with scenes of torture filling much of the left. The disorder of Hell contrasts with the serenity of the vaulted halls of Heaven. </w:t>
      </w:r>
    </w:p>
    <w:p w:rsidR="00773B35" w:rsidRDefault="00773B35" w:rsidP="00E14648">
      <w:r>
        <w:lastRenderedPageBreak/>
        <w:t>In Hell</w:t>
      </w:r>
      <w:r w:rsidR="00AA2380">
        <w:rPr>
          <w:rStyle w:val="FootnoteReference"/>
        </w:rPr>
        <w:footnoteReference w:id="7"/>
      </w:r>
      <w:r>
        <w:t xml:space="preserve">, a hanged man, </w:t>
      </w:r>
      <w:r w:rsidR="0067591B">
        <w:t>representing</w:t>
      </w:r>
      <w:r>
        <w:t xml:space="preserve"> Judas, is beside the central figure of the devil, while others are hung by their feet or roasted on a spit, reminding the viewer of the sins of gluttony. </w:t>
      </w:r>
      <w:r w:rsidR="00D85C14">
        <w:t xml:space="preserve">Toads and serpents, a hare and a horse </w:t>
      </w:r>
      <w:r w:rsidR="00E6542A">
        <w:t xml:space="preserve">intertwine </w:t>
      </w:r>
      <w:r w:rsidR="00D85C14">
        <w:t>and frame the figures.</w:t>
      </w:r>
    </w:p>
    <w:p w:rsidR="00773B35" w:rsidRDefault="00773B35" w:rsidP="00E14648">
      <w:r>
        <w:t>Through</w:t>
      </w:r>
      <w:r w:rsidR="004474CE">
        <w:t xml:space="preserve">out the scene are inscriptions, but even for the illiterate, the meaning is clear “O sinners, if you do not mend your ways, know that you will suffer a dreadful fate." </w:t>
      </w:r>
      <w:r w:rsidR="004474CE">
        <w:rPr>
          <w:rStyle w:val="FootnoteReference"/>
        </w:rPr>
        <w:footnoteReference w:id="8"/>
      </w:r>
      <w:r w:rsidR="004474CE">
        <w:t xml:space="preserve">. </w:t>
      </w:r>
    </w:p>
    <w:p w:rsidR="004474CE" w:rsidRDefault="004474CE" w:rsidP="004474CE">
      <w:pPr>
        <w:pStyle w:val="Heading1"/>
      </w:pPr>
      <w:r>
        <w:t>Context</w:t>
      </w:r>
    </w:p>
    <w:p w:rsidR="00DB3AB0" w:rsidRDefault="004474CE" w:rsidP="004474CE">
      <w:r>
        <w:t xml:space="preserve">Art in Medieval Europe was “an aspect of the persuasive power and cultural identity” </w:t>
      </w:r>
      <w:r>
        <w:rPr>
          <w:rStyle w:val="FootnoteReference"/>
        </w:rPr>
        <w:footnoteReference w:id="9"/>
      </w:r>
      <w:r w:rsidR="00DB3AB0">
        <w:t>, and the Church of Saint-Foy was important pilgrimage church as well as an abbey</w:t>
      </w:r>
      <w:r w:rsidR="00DB3AB0">
        <w:rPr>
          <w:rStyle w:val="FootnoteReference"/>
        </w:rPr>
        <w:footnoteReference w:id="10"/>
      </w:r>
      <w:r w:rsidR="001D7484">
        <w:rPr>
          <w:rStyle w:val="FootnoteReference"/>
        </w:rPr>
        <w:footnoteReference w:id="11"/>
      </w:r>
      <w:r w:rsidR="004F185B">
        <w:t xml:space="preserve"> on the Compostelle Chemin pilgrimage route</w:t>
      </w:r>
      <w:r w:rsidR="00DB3AB0">
        <w:t xml:space="preserve">. As they approached the church, pilgrims would have to walk beneath the image of the Last Judgment, their eyes inevitably drawn to the central figure of </w:t>
      </w:r>
      <w:r w:rsidR="00314F37">
        <w:t>Christ,</w:t>
      </w:r>
      <w:r w:rsidR="00DB3AB0">
        <w:t xml:space="preserve"> wh</w:t>
      </w:r>
      <w:r w:rsidR="00A02395">
        <w:t xml:space="preserve">o gazes down upon all who come before him. </w:t>
      </w:r>
      <w:r w:rsidR="002D185B">
        <w:t>This work was designed to be large, to be visible and to been seen by all</w:t>
      </w:r>
      <w:r w:rsidR="002D185B">
        <w:rPr>
          <w:rStyle w:val="FootnoteReference"/>
        </w:rPr>
        <w:footnoteReference w:id="12"/>
      </w:r>
      <w:r w:rsidR="00F35053">
        <w:t>.</w:t>
      </w:r>
    </w:p>
    <w:p w:rsidR="00D85C14" w:rsidRDefault="00D85C14" w:rsidP="004474CE">
      <w:r>
        <w:t>The symbolism of the animals depicted in Hell would have had much greater relevance to a medieval viewer. The serpents’ connection to Adam and Eve and Original sin is evident to us. The rabbit or hare on the very far right of the image represents sinful lust and forbidden pleasure</w:t>
      </w:r>
      <w:r w:rsidR="000E5674">
        <w:t>, possible reinforced by the cooking of the sinful over a fire; the eating of hare was not permitted</w:t>
      </w:r>
      <w:r>
        <w:rPr>
          <w:rStyle w:val="FootnoteReference"/>
        </w:rPr>
        <w:footnoteReference w:id="13"/>
      </w:r>
      <w:r w:rsidR="000E5674">
        <w:t xml:space="preserve">. </w:t>
      </w:r>
      <w:r w:rsidR="00AE4140">
        <w:t>Frogs and toads were considered unclean, further adding to the gruesomeness</w:t>
      </w:r>
      <w:r w:rsidR="00AE4140">
        <w:rPr>
          <w:rStyle w:val="FootnoteReference"/>
        </w:rPr>
        <w:footnoteReference w:id="14"/>
      </w:r>
      <w:r w:rsidR="000E5674">
        <w:t xml:space="preserve">. </w:t>
      </w:r>
      <w:r w:rsidR="000A791C">
        <w:t xml:space="preserve">All of this would have packed a powerful symbolic punch to the approaching </w:t>
      </w:r>
      <w:r w:rsidR="002D185B">
        <w:t xml:space="preserve">pilgrim. </w:t>
      </w:r>
    </w:p>
    <w:p w:rsidR="00D81A7C" w:rsidRDefault="00526B44" w:rsidP="00C72509">
      <w:r>
        <w:t>The reasons for pilgrimages were myriad but, ultimately, they revolved around moving a little closer to heaven. Pilgrimage shrines, such as the Reliquary at Conques, were “a form of business franchise, operating under the umbrella brand of the universal church”</w:t>
      </w:r>
      <w:r>
        <w:rPr>
          <w:rStyle w:val="FootnoteReference"/>
        </w:rPr>
        <w:footnoteReference w:id="15"/>
      </w:r>
      <w:r w:rsidR="002D60C9">
        <w:t>. The church benefited from</w:t>
      </w:r>
      <w:r>
        <w:t xml:space="preserve"> a </w:t>
      </w:r>
      <w:r w:rsidR="002D60C9">
        <w:t xml:space="preserve">steady stream of </w:t>
      </w:r>
      <w:r>
        <w:t>donation</w:t>
      </w:r>
      <w:r w:rsidR="002D60C9">
        <w:t>s</w:t>
      </w:r>
      <w:r>
        <w:t xml:space="preserve"> and </w:t>
      </w:r>
      <w:r w:rsidR="00C72509">
        <w:t>pilgrim received “the possibility of miraculous intervention by the saints whose shrines were venerated and the prospect of indulgencies […] according to a fixed scale sanctioned by the papal see”</w:t>
      </w:r>
      <w:r w:rsidR="00C72509">
        <w:rPr>
          <w:rStyle w:val="FootnoteReference"/>
        </w:rPr>
        <w:footnoteReference w:id="16"/>
      </w:r>
      <w:r w:rsidR="00150D93">
        <w:t>; C</w:t>
      </w:r>
      <w:r w:rsidR="00A211E4">
        <w:t>haucer’s Wife of Bath “is only too happy to conflate ‘wandering’ geographically with ‘straying’ morally”</w:t>
      </w:r>
      <w:r>
        <w:rPr>
          <w:rStyle w:val="FootnoteReference"/>
        </w:rPr>
        <w:footnoteReference w:id="17"/>
      </w:r>
      <w:r>
        <w:t xml:space="preserve">. </w:t>
      </w:r>
      <w:r w:rsidR="00FB2F83">
        <w:t>Less cynical reasons also exist</w:t>
      </w:r>
      <w:r w:rsidR="00C63A2F">
        <w:t xml:space="preserve">, </w:t>
      </w:r>
      <w:r w:rsidR="00825315">
        <w:t xml:space="preserve">such as praying for </w:t>
      </w:r>
      <w:r w:rsidR="002F2FE0">
        <w:lastRenderedPageBreak/>
        <w:t xml:space="preserve">intercession for a medical miracle or </w:t>
      </w:r>
      <w:r w:rsidR="00C63A2F">
        <w:t>such to repay saints who are felt to have granted assistance in times of need, but pilgrimages were for many, at some level, transitionary in nature</w:t>
      </w:r>
      <w:r w:rsidR="00C63A2F">
        <w:rPr>
          <w:rStyle w:val="FootnoteReference"/>
        </w:rPr>
        <w:footnoteReference w:id="18"/>
      </w:r>
      <w:r w:rsidR="00C63A2F">
        <w:t xml:space="preserve">. </w:t>
      </w:r>
    </w:p>
    <w:p w:rsidR="00BF4161" w:rsidRDefault="006847FD" w:rsidP="004474CE">
      <w:r>
        <w:t xml:space="preserve">Those who </w:t>
      </w:r>
      <w:r w:rsidR="00C71E18">
        <w:t xml:space="preserve">committed themselves to pilgrimage were doing so at their own financial expense, both in terms of lack of earning and for the provisioning of the journey. Given the difficulty of the task for many, the scene at the Church of St Foy could be seen as propaganda by reinforcing that pilgrim is making the right choice in turning to religion and shunning sinful pleasures. The rich man is being stripped by his clothes by demons and the glutton is being hung like meat. </w:t>
      </w:r>
      <w:r w:rsidR="00D73FD1">
        <w:t>While the pilgrim was there, why not pop in for an indulgence at a very reasonable rate?</w:t>
      </w:r>
      <w:r w:rsidR="00BF4161">
        <w:t xml:space="preserve"> </w:t>
      </w:r>
    </w:p>
    <w:p w:rsidR="00C16C18" w:rsidRDefault="00BF4161" w:rsidP="004474CE">
      <w:r>
        <w:t>Given the shrines importance and support from local important families, the shrine at Conques had a reputation and importance that extended beyond national borders</w:t>
      </w:r>
      <w:r>
        <w:rPr>
          <w:rStyle w:val="FootnoteReference"/>
        </w:rPr>
        <w:footnoteReference w:id="19"/>
      </w:r>
      <w:r>
        <w:t>, so it was necessary for the shr</w:t>
      </w:r>
      <w:r w:rsidR="001D0BC3">
        <w:t>ine to stay ‘on brand’</w:t>
      </w:r>
      <w:r w:rsidR="003E2B42">
        <w:t>, with the tympanum standing and symbolising all it stood for.</w:t>
      </w:r>
      <w:r w:rsidR="0024792C">
        <w:t xml:space="preserve"> It also gave the abbey a level of prestige by reinforcing the message of redemption</w:t>
      </w:r>
      <w:r w:rsidR="0024792C">
        <w:rPr>
          <w:rStyle w:val="FootnoteReference"/>
        </w:rPr>
        <w:footnoteReference w:id="20"/>
      </w:r>
      <w:r w:rsidR="0024792C">
        <w:t>; prestige was enormously important to Conques – its own relics were stolen from another site. The tympanum reinforced the importance of pilgrimage, and of the cult of Sainte Foy.</w:t>
      </w:r>
    </w:p>
    <w:p w:rsidR="00AE29B9" w:rsidRDefault="00AE29B9" w:rsidP="004474CE">
      <w:r>
        <w:t>As a medium the tympanum at Conques serves a clea</w:t>
      </w:r>
      <w:r w:rsidR="003263A7">
        <w:t>r message to visiting pilgrims: T</w:t>
      </w:r>
      <w:r>
        <w:t>hey are doing the right thing in coming here. They have made the right choice. Through these doors lies salvation</w:t>
      </w:r>
      <w:r w:rsidR="003263A7">
        <w:t>.  It secures the prestige of the abbey and the greater church by reinforcing its importance by pointing out the vulnerability of the pilgrim, who hopes to save his or her soul.</w:t>
      </w:r>
    </w:p>
    <w:p w:rsidR="00502A0F" w:rsidRDefault="00502A0F" w:rsidP="004474CE"/>
    <w:p w:rsidR="00502A0F" w:rsidRDefault="00502A0F" w:rsidP="00502A0F">
      <w:pPr>
        <w:pStyle w:val="Heading1"/>
      </w:pPr>
      <w:r>
        <w:t>Works ReFerenced</w:t>
      </w:r>
    </w:p>
    <w:p w:rsidR="00502A0F" w:rsidRPr="00502A0F" w:rsidRDefault="00502A0F" w:rsidP="00502A0F">
      <w:pPr>
        <w:pStyle w:val="Bibliography"/>
        <w:rPr>
          <w:rFonts w:ascii="Calibri" w:hAnsi="Calibri" w:cs="Calibri"/>
        </w:rPr>
      </w:pPr>
      <w:r>
        <w:fldChar w:fldCharType="begin"/>
      </w:r>
      <w:r>
        <w:instrText xml:space="preserve"> ADDIN ZOTERO_BIBL {"uncited":[],"omitted":[],"custom":[]} CSL_BIBLIOGRAPHY </w:instrText>
      </w:r>
      <w:r>
        <w:fldChar w:fldCharType="separate"/>
      </w:r>
      <w:r w:rsidRPr="00502A0F">
        <w:rPr>
          <w:rFonts w:ascii="Calibri" w:hAnsi="Calibri" w:cs="Calibri"/>
        </w:rPr>
        <w:t>‘Art and Visual Culture: Medieval to Modern: View as Single Page’ &lt;http://www.open.edu/openlearn/ocw/mod/oucontent/view.php?printable=1&amp;id=17161&gt; [accessed 19 May 2018]</w:t>
      </w:r>
    </w:p>
    <w:p w:rsidR="00502A0F" w:rsidRPr="00502A0F" w:rsidRDefault="00502A0F" w:rsidP="00502A0F">
      <w:pPr>
        <w:pStyle w:val="Bibliography"/>
        <w:rPr>
          <w:rFonts w:ascii="Calibri" w:hAnsi="Calibri" w:cs="Calibri"/>
          <w:lang w:val="fr-FR"/>
        </w:rPr>
      </w:pPr>
      <w:r w:rsidRPr="00502A0F">
        <w:rPr>
          <w:rFonts w:ascii="Calibri" w:hAnsi="Calibri" w:cs="Calibri"/>
          <w:lang w:val="fr-FR"/>
        </w:rPr>
        <w:t xml:space="preserve">Baker, J-AT, ‘Vie anglo-normande de sainte Foy par Simon de Walsingham’, </w:t>
      </w:r>
      <w:r w:rsidRPr="00502A0F">
        <w:rPr>
          <w:rFonts w:ascii="Calibri" w:hAnsi="Calibri" w:cs="Calibri"/>
          <w:i/>
          <w:iCs/>
          <w:lang w:val="fr-FR"/>
        </w:rPr>
        <w:t>Romania</w:t>
      </w:r>
      <w:r w:rsidRPr="00502A0F">
        <w:rPr>
          <w:rFonts w:ascii="Calibri" w:hAnsi="Calibri" w:cs="Calibri"/>
          <w:lang w:val="fr-FR"/>
        </w:rPr>
        <w:t>, 66 (1940), 49–84 &lt;https://doi.org/10.3406/roma.1940.3491&gt;</w:t>
      </w:r>
    </w:p>
    <w:p w:rsidR="00502A0F" w:rsidRPr="00502A0F" w:rsidRDefault="00502A0F" w:rsidP="00502A0F">
      <w:pPr>
        <w:pStyle w:val="Bibliography"/>
        <w:rPr>
          <w:rFonts w:ascii="Calibri" w:hAnsi="Calibri" w:cs="Calibri"/>
        </w:rPr>
      </w:pPr>
      <w:r w:rsidRPr="00502A0F">
        <w:rPr>
          <w:rFonts w:ascii="Calibri" w:hAnsi="Calibri" w:cs="Calibri"/>
        </w:rPr>
        <w:t xml:space="preserve">Barton, John, and John Muddiman, eds., </w:t>
      </w:r>
      <w:r w:rsidRPr="00502A0F">
        <w:rPr>
          <w:rFonts w:ascii="Calibri" w:hAnsi="Calibri" w:cs="Calibri"/>
          <w:i/>
          <w:iCs/>
        </w:rPr>
        <w:t>The Oxford Bible Commentary</w:t>
      </w:r>
      <w:r w:rsidRPr="00502A0F">
        <w:rPr>
          <w:rFonts w:ascii="Calibri" w:hAnsi="Calibri" w:cs="Calibri"/>
        </w:rPr>
        <w:t xml:space="preserve"> (Oxford ; New York: Oxford University Press, 2001)</w:t>
      </w:r>
    </w:p>
    <w:p w:rsidR="00502A0F" w:rsidRPr="00502A0F" w:rsidRDefault="00502A0F" w:rsidP="00502A0F">
      <w:pPr>
        <w:pStyle w:val="Bibliography"/>
        <w:rPr>
          <w:rFonts w:ascii="Calibri" w:hAnsi="Calibri" w:cs="Calibri"/>
        </w:rPr>
      </w:pPr>
      <w:r w:rsidRPr="00502A0F">
        <w:rPr>
          <w:rFonts w:ascii="Calibri" w:hAnsi="Calibri" w:cs="Calibri"/>
        </w:rPr>
        <w:t xml:space="preserve">Becker, U, </w:t>
      </w:r>
      <w:r w:rsidRPr="00502A0F">
        <w:rPr>
          <w:rFonts w:ascii="Calibri" w:hAnsi="Calibri" w:cs="Calibri"/>
          <w:i/>
          <w:iCs/>
        </w:rPr>
        <w:t>The Encyclopedia of Symbols.</w:t>
      </w:r>
      <w:r w:rsidRPr="00502A0F">
        <w:rPr>
          <w:rFonts w:ascii="Calibri" w:hAnsi="Calibri" w:cs="Calibri"/>
        </w:rPr>
        <w:t xml:space="preserve"> (Continuum Acad., 2005)</w:t>
      </w:r>
    </w:p>
    <w:p w:rsidR="00502A0F" w:rsidRPr="00502A0F" w:rsidRDefault="00502A0F" w:rsidP="00502A0F">
      <w:pPr>
        <w:pStyle w:val="Bibliography"/>
        <w:rPr>
          <w:rFonts w:ascii="Calibri" w:hAnsi="Calibri" w:cs="Calibri"/>
        </w:rPr>
      </w:pPr>
      <w:r w:rsidRPr="00502A0F">
        <w:rPr>
          <w:rFonts w:ascii="Calibri" w:hAnsi="Calibri" w:cs="Calibri"/>
        </w:rPr>
        <w:t xml:space="preserve">Bell, A. R., and R. S. Dale, ‘The Medieval Pilgrimage Business’, </w:t>
      </w:r>
      <w:r w:rsidRPr="00502A0F">
        <w:rPr>
          <w:rFonts w:ascii="Calibri" w:hAnsi="Calibri" w:cs="Calibri"/>
          <w:i/>
          <w:iCs/>
        </w:rPr>
        <w:t>Enterprise and Society</w:t>
      </w:r>
      <w:r w:rsidRPr="00502A0F">
        <w:rPr>
          <w:rFonts w:ascii="Calibri" w:hAnsi="Calibri" w:cs="Calibri"/>
        </w:rPr>
        <w:t>, 12 (2011), 601–27 &lt;https://doi.org/10.1093/es/khr014&gt;</w:t>
      </w:r>
    </w:p>
    <w:p w:rsidR="00502A0F" w:rsidRPr="00502A0F" w:rsidRDefault="00502A0F" w:rsidP="00502A0F">
      <w:pPr>
        <w:pStyle w:val="Bibliography"/>
        <w:rPr>
          <w:rFonts w:ascii="Calibri" w:hAnsi="Calibri" w:cs="Calibri"/>
        </w:rPr>
      </w:pPr>
      <w:r w:rsidRPr="00502A0F">
        <w:rPr>
          <w:rFonts w:ascii="Calibri" w:hAnsi="Calibri" w:cs="Calibri"/>
        </w:rPr>
        <w:t xml:space="preserve">Carey, Meredith, ‘Judgment, Narrative &amp; Redemption in the Tympanum at Conques-En-Rouergue’, </w:t>
      </w:r>
      <w:r w:rsidRPr="00502A0F">
        <w:rPr>
          <w:rFonts w:ascii="Calibri" w:hAnsi="Calibri" w:cs="Calibri"/>
          <w:i/>
          <w:iCs/>
        </w:rPr>
        <w:t>ESSAI</w:t>
      </w:r>
      <w:r w:rsidRPr="00502A0F">
        <w:rPr>
          <w:rFonts w:ascii="Calibri" w:hAnsi="Calibri" w:cs="Calibri"/>
        </w:rPr>
        <w:t>, 3 (2005), 11</w:t>
      </w:r>
    </w:p>
    <w:p w:rsidR="00502A0F" w:rsidRPr="00502A0F" w:rsidRDefault="00502A0F" w:rsidP="00502A0F">
      <w:pPr>
        <w:pStyle w:val="Bibliography"/>
        <w:rPr>
          <w:rFonts w:ascii="Calibri" w:hAnsi="Calibri" w:cs="Calibri"/>
        </w:rPr>
      </w:pPr>
      <w:r w:rsidRPr="00502A0F">
        <w:rPr>
          <w:rFonts w:ascii="Calibri" w:hAnsi="Calibri" w:cs="Calibri"/>
        </w:rPr>
        <w:t xml:space="preserve">Foster, Elisa, ‘Church and Reliquary of Sainte‐Foy, France’, </w:t>
      </w:r>
      <w:r w:rsidRPr="00502A0F">
        <w:rPr>
          <w:rFonts w:ascii="Calibri" w:hAnsi="Calibri" w:cs="Calibri"/>
          <w:i/>
          <w:iCs/>
        </w:rPr>
        <w:t>Khan Academy</w:t>
      </w:r>
      <w:r w:rsidRPr="00502A0F">
        <w:rPr>
          <w:rFonts w:ascii="Calibri" w:hAnsi="Calibri" w:cs="Calibri"/>
        </w:rPr>
        <w:t xml:space="preserve"> &lt;https://www.khanacademy.org/humanities/ap-art-history/early-europe-and-colonial-</w:t>
      </w:r>
      <w:r w:rsidRPr="00502A0F">
        <w:rPr>
          <w:rFonts w:ascii="Calibri" w:hAnsi="Calibri" w:cs="Calibri"/>
        </w:rPr>
        <w:lastRenderedPageBreak/>
        <w:t>americas/medieval-europe-islamic-world/a/church-and-reliquary-of-saintefoy-france&gt; [accessed 19 May 2018]</w:t>
      </w:r>
    </w:p>
    <w:p w:rsidR="00502A0F" w:rsidRPr="00502A0F" w:rsidRDefault="00502A0F" w:rsidP="00502A0F">
      <w:pPr>
        <w:pStyle w:val="Bibliography"/>
        <w:rPr>
          <w:rFonts w:ascii="Calibri" w:hAnsi="Calibri" w:cs="Calibri"/>
        </w:rPr>
      </w:pPr>
      <w:r w:rsidRPr="00502A0F">
        <w:rPr>
          <w:rFonts w:ascii="Calibri" w:hAnsi="Calibri" w:cs="Calibri"/>
        </w:rPr>
        <w:t xml:space="preserve">Catholic Online, ‘Abbey of St. Foy Is Longtime Medieval Pilgrimage Route - Travel &amp; Leisure’, </w:t>
      </w:r>
      <w:r w:rsidRPr="00502A0F">
        <w:rPr>
          <w:rFonts w:ascii="Calibri" w:hAnsi="Calibri" w:cs="Calibri"/>
          <w:i/>
          <w:iCs/>
        </w:rPr>
        <w:t>Catholic Online</w:t>
      </w:r>
      <w:r w:rsidRPr="00502A0F">
        <w:rPr>
          <w:rFonts w:ascii="Calibri" w:hAnsi="Calibri" w:cs="Calibri"/>
        </w:rPr>
        <w:t>, 2013 &lt;https://www.catholic.org/travel/story.php?id=49363&gt; [accessed 19 May 2018]</w:t>
      </w:r>
    </w:p>
    <w:p w:rsidR="00502A0F" w:rsidRPr="00502A0F" w:rsidRDefault="00502A0F" w:rsidP="00502A0F">
      <w:pPr>
        <w:pStyle w:val="Bibliography"/>
        <w:rPr>
          <w:rFonts w:ascii="Calibri" w:hAnsi="Calibri" w:cs="Calibri"/>
        </w:rPr>
      </w:pPr>
      <w:r w:rsidRPr="00502A0F">
        <w:rPr>
          <w:rFonts w:ascii="Calibri" w:hAnsi="Calibri" w:cs="Calibri"/>
        </w:rPr>
        <w:t xml:space="preserve">Mortimer, Ian, </w:t>
      </w:r>
      <w:r w:rsidRPr="00502A0F">
        <w:rPr>
          <w:rFonts w:ascii="Calibri" w:hAnsi="Calibri" w:cs="Calibri"/>
          <w:i/>
          <w:iCs/>
        </w:rPr>
        <w:t>The Time Traveller’s Guide to Medieval England: A Handbook for Visitors to the Fourteenth Century</w:t>
      </w:r>
      <w:r w:rsidRPr="00502A0F">
        <w:rPr>
          <w:rFonts w:ascii="Calibri" w:hAnsi="Calibri" w:cs="Calibri"/>
        </w:rPr>
        <w:t xml:space="preserve"> (London: Vintage Books, 2009)</w:t>
      </w:r>
    </w:p>
    <w:p w:rsidR="00502A0F" w:rsidRPr="00502A0F" w:rsidRDefault="00502A0F" w:rsidP="00502A0F">
      <w:pPr>
        <w:pStyle w:val="Bibliography"/>
        <w:rPr>
          <w:rFonts w:ascii="Calibri" w:hAnsi="Calibri" w:cs="Calibri"/>
        </w:rPr>
      </w:pPr>
      <w:r w:rsidRPr="00502A0F">
        <w:rPr>
          <w:rFonts w:ascii="Calibri" w:hAnsi="Calibri" w:cs="Calibri"/>
        </w:rPr>
        <w:t>Papasidero, Marco, ‘«O Sancta Haera». Pilgrims and Pilgrimage in the Sanctuary of Sainte Foy at Conques’, 2017 &lt;https://doi.org/10.6092/issn.2036-5195/7274&gt;</w:t>
      </w:r>
    </w:p>
    <w:p w:rsidR="00502A0F" w:rsidRPr="00502A0F" w:rsidRDefault="00502A0F" w:rsidP="00502A0F">
      <w:pPr>
        <w:pStyle w:val="Bibliography"/>
        <w:rPr>
          <w:rFonts w:ascii="Calibri" w:hAnsi="Calibri" w:cs="Calibri"/>
        </w:rPr>
      </w:pPr>
      <w:r w:rsidRPr="00502A0F">
        <w:rPr>
          <w:rFonts w:ascii="Calibri" w:hAnsi="Calibri" w:cs="Calibri"/>
        </w:rPr>
        <w:t xml:space="preserve">Ross, Leslie, </w:t>
      </w:r>
      <w:r w:rsidRPr="00502A0F">
        <w:rPr>
          <w:rFonts w:ascii="Calibri" w:hAnsi="Calibri" w:cs="Calibri"/>
          <w:i/>
          <w:iCs/>
        </w:rPr>
        <w:t>Medieval Art: A Topical Dictionary</w:t>
      </w:r>
      <w:r w:rsidRPr="00502A0F">
        <w:rPr>
          <w:rFonts w:ascii="Calibri" w:hAnsi="Calibri" w:cs="Calibri"/>
        </w:rPr>
        <w:t xml:space="preserve"> (Westport, Conn: Greenwood Press, 1996)</w:t>
      </w:r>
    </w:p>
    <w:p w:rsidR="00502A0F" w:rsidRPr="00502A0F" w:rsidRDefault="00502A0F" w:rsidP="00502A0F">
      <w:pPr>
        <w:pStyle w:val="Bibliography"/>
        <w:rPr>
          <w:rFonts w:ascii="Calibri" w:hAnsi="Calibri" w:cs="Calibri"/>
        </w:rPr>
      </w:pPr>
      <w:r w:rsidRPr="00502A0F">
        <w:rPr>
          <w:rFonts w:ascii="Calibri" w:hAnsi="Calibri" w:cs="Calibri"/>
        </w:rPr>
        <w:t xml:space="preserve">Theilmann, John M, ‘Medieval Pilgrims and the Origins of Tourism’, </w:t>
      </w:r>
      <w:r w:rsidRPr="00502A0F">
        <w:rPr>
          <w:rFonts w:ascii="Calibri" w:hAnsi="Calibri" w:cs="Calibri"/>
          <w:i/>
          <w:iCs/>
        </w:rPr>
        <w:t>The Journal of Popular Culture</w:t>
      </w:r>
      <w:r w:rsidRPr="00502A0F">
        <w:rPr>
          <w:rFonts w:ascii="Calibri" w:hAnsi="Calibri" w:cs="Calibri"/>
        </w:rPr>
        <w:t>, 20 (1987), 93–102</w:t>
      </w:r>
    </w:p>
    <w:p w:rsidR="00502A0F" w:rsidRPr="00502A0F" w:rsidRDefault="00502A0F" w:rsidP="00502A0F">
      <w:r>
        <w:fldChar w:fldCharType="end"/>
      </w:r>
    </w:p>
    <w:p w:rsidR="00502A0F" w:rsidRPr="00502A0F" w:rsidRDefault="00502A0F" w:rsidP="00502A0F"/>
    <w:sectPr w:rsidR="00502A0F" w:rsidRPr="00502A0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5C55" w:rsidRDefault="004D5C55" w:rsidP="00965AA6">
      <w:pPr>
        <w:spacing w:after="0" w:line="240" w:lineRule="auto"/>
      </w:pPr>
      <w:r>
        <w:separator/>
      </w:r>
    </w:p>
  </w:endnote>
  <w:endnote w:type="continuationSeparator" w:id="0">
    <w:p w:rsidR="004D5C55" w:rsidRDefault="004D5C55" w:rsidP="00965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375178"/>
      <w:docPartObj>
        <w:docPartGallery w:val="Page Numbers (Bottom of Page)"/>
        <w:docPartUnique/>
      </w:docPartObj>
    </w:sdtPr>
    <w:sdtEndPr>
      <w:rPr>
        <w:noProof/>
      </w:rPr>
    </w:sdtEndPr>
    <w:sdtContent>
      <w:p w:rsidR="00825315" w:rsidRDefault="00825315">
        <w:pPr>
          <w:pStyle w:val="Footer"/>
          <w:jc w:val="right"/>
        </w:pPr>
        <w:r>
          <w:fldChar w:fldCharType="begin"/>
        </w:r>
        <w:r>
          <w:instrText xml:space="preserve"> PAGE   \* MERGEFORMAT </w:instrText>
        </w:r>
        <w:r>
          <w:fldChar w:fldCharType="separate"/>
        </w:r>
        <w:r w:rsidR="00B65313">
          <w:rPr>
            <w:noProof/>
          </w:rPr>
          <w:t>1</w:t>
        </w:r>
        <w:r>
          <w:rPr>
            <w:noProof/>
          </w:rPr>
          <w:fldChar w:fldCharType="end"/>
        </w:r>
      </w:p>
    </w:sdtContent>
  </w:sdt>
  <w:p w:rsidR="00825315" w:rsidRDefault="00825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5C55" w:rsidRDefault="004D5C55" w:rsidP="00965AA6">
      <w:pPr>
        <w:spacing w:after="0" w:line="240" w:lineRule="auto"/>
      </w:pPr>
      <w:r>
        <w:separator/>
      </w:r>
    </w:p>
  </w:footnote>
  <w:footnote w:type="continuationSeparator" w:id="0">
    <w:p w:rsidR="004D5C55" w:rsidRDefault="004D5C55" w:rsidP="00965AA6">
      <w:pPr>
        <w:spacing w:after="0" w:line="240" w:lineRule="auto"/>
      </w:pPr>
      <w:r>
        <w:continuationSeparator/>
      </w:r>
    </w:p>
  </w:footnote>
  <w:footnote w:id="1">
    <w:p w:rsidR="00825315" w:rsidRDefault="00825315">
      <w:pPr>
        <w:pStyle w:val="FootnoteText"/>
      </w:pPr>
      <w:r>
        <w:rPr>
          <w:rStyle w:val="FootnoteReference"/>
        </w:rPr>
        <w:footnoteRef/>
      </w:r>
      <w:r>
        <w:t xml:space="preserve"> </w:t>
      </w:r>
      <w:r>
        <w:fldChar w:fldCharType="begin"/>
      </w:r>
      <w:r>
        <w:instrText xml:space="preserve"> ADDIN ZOTERO_ITEM CSL_CITATION {"citationID":"L1k6dZLp","properties":{"formattedCitation":"Elisa Foster, \\uc0\\u8216{}Church and Reliquary of Sainte\\uc0\\u8208{}Foy, France\\uc0\\u8217{}, {\\i{}Khan Academy} &lt;https://www.khanacademy.org/humanities/ap-a</w:instrText>
      </w:r>
      <w:r>
        <w:rPr>
          <w:rFonts w:hint="eastAsia"/>
        </w:rPr>
        <w:instrText xml:space="preserve">rt-history/early-europe-and-colonial-americas/medieval-europe-islamic-world/a/church-and-reliquary-of-saintefoy-france&gt; [accessed 19 May 2018].","plainCitation":"Elisa Foster, </w:instrText>
      </w:r>
      <w:r>
        <w:rPr>
          <w:rFonts w:hint="eastAsia"/>
        </w:rPr>
        <w:instrText>‘</w:instrText>
      </w:r>
      <w:r>
        <w:rPr>
          <w:rFonts w:hint="eastAsia"/>
        </w:rPr>
        <w:instrText>Church and Reliquary of Sainte</w:instrText>
      </w:r>
      <w:r>
        <w:rPr>
          <w:rFonts w:hint="eastAsia"/>
        </w:rPr>
        <w:instrText>‐</w:instrText>
      </w:r>
      <w:r>
        <w:rPr>
          <w:rFonts w:hint="eastAsia"/>
        </w:rPr>
        <w:instrText>Foy, France</w:instrText>
      </w:r>
      <w:r>
        <w:rPr>
          <w:rFonts w:hint="eastAsia"/>
        </w:rPr>
        <w:instrText>’</w:instrText>
      </w:r>
      <w:r>
        <w:rPr>
          <w:rFonts w:hint="eastAsia"/>
        </w:rPr>
        <w:instrText>, Khan Academy &lt;https://www.khanaca</w:instrText>
      </w:r>
      <w:r>
        <w:instrText>demy.org/humanities/ap-art-history/early-europe-and-colonial-americas/medieval-europe-islamic-world/a/church-and-reliquary-of-saintefoy-france&gt; [accessed 19 May 2018].","noteIndex":1},"citationItems":[{"id":532,"uris":["http://zotero.org/users/685164/item</w:instrText>
      </w:r>
      <w:r>
        <w:rPr>
          <w:rFonts w:hint="eastAsia"/>
        </w:rPr>
        <w:instrText>s/PIDBNMPA"],"uri":["http://zotero.org/users/685164/items/PIDBNMPA"],"itemData":{"id":532,"type":"webpage","title":"Church and Reliquary of Sainte</w:instrText>
      </w:r>
      <w:r>
        <w:rPr>
          <w:rFonts w:hint="eastAsia"/>
        </w:rPr>
        <w:instrText>‐</w:instrText>
      </w:r>
      <w:r>
        <w:rPr>
          <w:rFonts w:hint="eastAsia"/>
        </w:rPr>
        <w:instrText>Foy, France","container-title":"Khan Academy","abstract":"Essay by Elisa Foster","URL":"https://www.khanacad</w:instrText>
      </w:r>
      <w:r>
        <w:instrText xml:space="preserve">emy.org/humanities/ap-art-history/early-europe-and-colonial-americas/medieval-europe-islamic-world/a/church-and-reliquary-of-saintefoy-france","language":"en","author":[{"family":"Foster","given":"Elisa"}],"accessed":{"date-parts":[["2018",5,19]]}}}],"schema":"https://github.com/citation-style-language/schema/raw/master/csl-citation.json"} </w:instrText>
      </w:r>
      <w:r>
        <w:fldChar w:fldCharType="separate"/>
      </w:r>
      <w:r w:rsidRPr="004474CE">
        <w:rPr>
          <w:rFonts w:ascii="Calibri" w:hAnsi="Calibri" w:cs="Calibri"/>
          <w:szCs w:val="24"/>
        </w:rPr>
        <w:t xml:space="preserve">Elisa Foster, ‘Church and Reliquary of Sainte‐Foy, France’, </w:t>
      </w:r>
      <w:r w:rsidRPr="004474CE">
        <w:rPr>
          <w:rFonts w:ascii="Calibri" w:hAnsi="Calibri" w:cs="Calibri"/>
          <w:i/>
          <w:iCs/>
          <w:szCs w:val="24"/>
        </w:rPr>
        <w:t>Khan Academy</w:t>
      </w:r>
      <w:r w:rsidRPr="004474CE">
        <w:rPr>
          <w:rFonts w:ascii="Calibri" w:hAnsi="Calibri" w:cs="Calibri"/>
          <w:szCs w:val="24"/>
        </w:rPr>
        <w:t xml:space="preserve"> &lt;https://www.khanacademy.org/humanities/ap-art-history/early-europe-and-colonial-americas/medieval-europe-islamic-world/a/church-and-reliquary-of-saintefoy-france&gt; [accessed 19 May 2018].</w:t>
      </w:r>
      <w:r>
        <w:fldChar w:fldCharType="end"/>
      </w:r>
    </w:p>
  </w:footnote>
  <w:footnote w:id="2">
    <w:p w:rsidR="00825315" w:rsidRDefault="00825315">
      <w:pPr>
        <w:pStyle w:val="FootnoteText"/>
      </w:pPr>
      <w:r>
        <w:rPr>
          <w:rStyle w:val="FootnoteReference"/>
        </w:rPr>
        <w:footnoteRef/>
      </w:r>
      <w:r>
        <w:t xml:space="preserve"> </w:t>
      </w:r>
      <w:r>
        <w:fldChar w:fldCharType="begin"/>
      </w:r>
      <w:r>
        <w:instrText xml:space="preserve"> ADDIN ZOTERO_ITEM CSL_CITATION {"citationID":"OQru9jSt","properties":{"formattedCitation":"Catholic Online, \\uc0\\u8216{}Abbey of St. Foy Is Longtime Medieval Pilgrimage Route - Travel &amp; Leisure\\uc0\\u8217{}, {\\i{}Catholic Online}, 2013 &lt;https://www.catholic.org/travel/story.php?id=49363&gt; [accessed 19 May 2018].","plainCitation":"Catholic Online, ‘Abbey of St. Foy Is Longtime Medieval Pilgrimage Route - Travel &amp; Leisure’, Catholic Online, 2013 &lt;https://www.catholic.org/travel/story.php?id=49363&gt; [accessed 19 May 2018].","noteIndex":2},"citationItems":[{"id":534,"uris":["http://zotero.org/users/685164/items/AYWZFXJX"],"uri":["http://zotero.org/users/685164/items/AYWZFXJX"],"itemData":{"id":534,"type":"webpage","title":"Abbey of St. Foy is longtime medieval pilgrimage route - Travel &amp; Leisure","container-title":"Catholic Online","abstract":"Beautiful Romanesque church features the Last Judgment Tympanum The Abbey of St. Foy, nestled in the hills of southern France is a beautiful Romanesque church perfectly aligned with its ...","URL":"https://www.catholic.org/travel/story.php?id=49363","language":"en","author":[{"family":"Catholic Online","given":""}],"issued":{"date-parts":[["2013"]]},"accessed":{"date-parts":[["2018",5,19]]}}}],"schema":"https://github.com/citation-style-language/schema/raw/master/csl-citation.json"} </w:instrText>
      </w:r>
      <w:r>
        <w:fldChar w:fldCharType="separate"/>
      </w:r>
      <w:r w:rsidRPr="00F648C6">
        <w:rPr>
          <w:rFonts w:ascii="Calibri" w:hAnsi="Calibri" w:cs="Calibri"/>
          <w:szCs w:val="24"/>
        </w:rPr>
        <w:t xml:space="preserve">Catholic Online, ‘Abbey of St. Foy Is Longtime Medieval Pilgrimage Route - Travel &amp; Leisure’, </w:t>
      </w:r>
      <w:r w:rsidRPr="00F648C6">
        <w:rPr>
          <w:rFonts w:ascii="Calibri" w:hAnsi="Calibri" w:cs="Calibri"/>
          <w:i/>
          <w:iCs/>
          <w:szCs w:val="24"/>
        </w:rPr>
        <w:t>Catholic Online</w:t>
      </w:r>
      <w:r w:rsidRPr="00F648C6">
        <w:rPr>
          <w:rFonts w:ascii="Calibri" w:hAnsi="Calibri" w:cs="Calibri"/>
          <w:szCs w:val="24"/>
        </w:rPr>
        <w:t>, 2013 &lt;https://www.catholic.org/travel/story.php?id=49363&gt; [accessed 19 May 2018].</w:t>
      </w:r>
      <w:r>
        <w:fldChar w:fldCharType="end"/>
      </w:r>
    </w:p>
  </w:footnote>
  <w:footnote w:id="3">
    <w:p w:rsidR="00825315" w:rsidRDefault="00825315">
      <w:pPr>
        <w:pStyle w:val="FootnoteText"/>
      </w:pPr>
      <w:r>
        <w:rPr>
          <w:rStyle w:val="FootnoteReference"/>
        </w:rPr>
        <w:footnoteRef/>
      </w:r>
      <w:r>
        <w:t xml:space="preserve"> </w:t>
      </w:r>
      <w:r>
        <w:fldChar w:fldCharType="begin"/>
      </w:r>
      <w:r>
        <w:instrText xml:space="preserve"> ADDIN ZOTERO_ITEM CSL_CITATION {"citationID":"qn2xWh6o","properties":{"formattedCitation":"{\\i{}The Oxford Bible Commentary}, ed. by John Barton and John Muddiman (Oxford\\uc0\\u8239{}; New York: Oxford University Press, 2001), p. 878.","plainCitation":"The Oxford Bible Commentary, ed. by John Barton and John Muddiman (Oxford ; New York: Oxford University Press, 2001), p. 878.","noteIndex":3},"citationItems":[{"id":545,"uris":["http://zotero.org/users/685164/items/VJ9IDF9K"],"uri":["http://zotero.org/users/685164/items/VJ9IDF9K"],"itemData":{"id":545,"type":"book","title":"The Oxford Bible commentary","publisher":"Oxford University Press","publisher-place":"Oxford ; New York","number-of-pages":"1386","source":"Library of Congress ISBN","event-place":"Oxford ; New York","ISBN":"978-0-19-875500-5","call-number":"BS491.3 .O94 2001","editor":[{"family":"Barton","given":"John"},{"family":"Muddiman","given":"John"}],"issued":{"date-parts":[["2001"]]}},"locator":"878"}],"schema":"https://github.com/citation-style-language/schema/raw/master/csl-citation.json"} </w:instrText>
      </w:r>
      <w:r>
        <w:fldChar w:fldCharType="separate"/>
      </w:r>
      <w:r w:rsidRPr="00554385">
        <w:rPr>
          <w:rFonts w:ascii="Calibri" w:hAnsi="Calibri" w:cs="Calibri"/>
          <w:i/>
          <w:iCs/>
          <w:szCs w:val="24"/>
        </w:rPr>
        <w:t>The Oxford Bible Commentary</w:t>
      </w:r>
      <w:r w:rsidRPr="00554385">
        <w:rPr>
          <w:rFonts w:ascii="Calibri" w:hAnsi="Calibri" w:cs="Calibri"/>
          <w:szCs w:val="24"/>
        </w:rPr>
        <w:t>, ed. by John Barton and John Muddiman (Oxford ; New York: Oxford University Press, 2001), p. 878.</w:t>
      </w:r>
      <w:r>
        <w:fldChar w:fldCharType="end"/>
      </w:r>
    </w:p>
  </w:footnote>
  <w:footnote w:id="4">
    <w:p w:rsidR="00825315" w:rsidRPr="00554385" w:rsidRDefault="00825315">
      <w:pPr>
        <w:pStyle w:val="FootnoteText"/>
        <w:rPr>
          <w:lang w:val="fr-FR"/>
        </w:rPr>
      </w:pPr>
      <w:r>
        <w:rPr>
          <w:rStyle w:val="FootnoteReference"/>
        </w:rPr>
        <w:footnoteRef/>
      </w:r>
      <w:r w:rsidRPr="00554385">
        <w:rPr>
          <w:lang w:val="fr-FR"/>
        </w:rPr>
        <w:t xml:space="preserve"> </w:t>
      </w:r>
      <w:r>
        <w:fldChar w:fldCharType="begin"/>
      </w:r>
      <w:r w:rsidRPr="00554385">
        <w:rPr>
          <w:lang w:val="fr-FR"/>
        </w:rPr>
        <w:instrText xml:space="preserve"> ADDIN ZOTERO_ITEM CSL_CITATION {"citationID":"lC8MfNmO","properties":{"formattedCitation":"Catholic Online.","plainCitation":"Catholic Online.","noteIndex":4},"citationItems":[{"id":534,"uris":["http://zotero.org/users/685164/items/AYWZFXJX"],"uri":["http://zotero.org/users/685164/items/AYWZFXJX"],"itemData":{"id":534,"type":"webpage","title":"Abbey of St. Foy is longtime medieval pilgrimage route - Travel &amp; Leisure","container-title":"Catholic Online","abstract":"Beautiful Romanesque church features the Last Judgment Tympanum The Abbey of St. Foy, nestled in the hills of southern France is a beautiful Romanesque church perfectly aligned with its ...","URL":"https://www.catholic.org/travel/story.php?id=49363","language":"en","author":[{"family":"Catholic Online","given":""}],"issued":{"date-parts":[["2013"]]},"accessed":{"date-parts":[["2018",5,19]]}}}],"schema":"https://github.com/citation-style-language/schema/raw/master/csl-citation.json"} </w:instrText>
      </w:r>
      <w:r>
        <w:fldChar w:fldCharType="separate"/>
      </w:r>
      <w:r w:rsidRPr="00554385">
        <w:rPr>
          <w:rFonts w:ascii="Calibri" w:hAnsi="Calibri" w:cs="Calibri"/>
          <w:lang w:val="fr-FR"/>
        </w:rPr>
        <w:t>Catholic Online.</w:t>
      </w:r>
      <w:r>
        <w:fldChar w:fldCharType="end"/>
      </w:r>
    </w:p>
  </w:footnote>
  <w:footnote w:id="5">
    <w:p w:rsidR="00825315" w:rsidRPr="00554385" w:rsidRDefault="00825315">
      <w:pPr>
        <w:pStyle w:val="FootnoteText"/>
        <w:rPr>
          <w:lang w:val="fr-FR"/>
        </w:rPr>
      </w:pPr>
      <w:r>
        <w:rPr>
          <w:rStyle w:val="FootnoteReference"/>
        </w:rPr>
        <w:footnoteRef/>
      </w:r>
      <w:r w:rsidRPr="00554385">
        <w:rPr>
          <w:lang w:val="fr-FR"/>
        </w:rPr>
        <w:t xml:space="preserve"> </w:t>
      </w:r>
      <w:r>
        <w:fldChar w:fldCharType="begin"/>
      </w:r>
      <w:r w:rsidRPr="00554385">
        <w:rPr>
          <w:lang w:val="fr-FR"/>
        </w:rPr>
        <w:instrText xml:space="preserve"> ADDIN ZOTERO_ITEM CSL_CITATION {"citationID":"kBs3gCjB","properties":{"formattedCitation":"Foster.","plainCitation":"Foster.","noteIndex":5},"citationItems":[{"id":532,"uris":["http://zotero.org/users/685164/items/PIDBNMPA"],"uri":["http://zotero.org/use</w:instrText>
      </w:r>
      <w:r w:rsidRPr="00554385">
        <w:rPr>
          <w:rFonts w:hint="eastAsia"/>
          <w:lang w:val="fr-FR"/>
        </w:rPr>
        <w:instrText>rs/685164/items/PIDBNMPA"],"itemData":{"id":532,"type":"webpage","title":"Church and Reliquary of Sainte</w:instrText>
      </w:r>
      <w:r w:rsidRPr="00554385">
        <w:rPr>
          <w:rFonts w:hint="eastAsia"/>
          <w:lang w:val="fr-FR"/>
        </w:rPr>
        <w:instrText>‐</w:instrText>
      </w:r>
      <w:r w:rsidRPr="00554385">
        <w:rPr>
          <w:rFonts w:hint="eastAsia"/>
          <w:lang w:val="fr-FR"/>
        </w:rPr>
        <w:instrText>Foy, France","container-title":"Khan Academy","abstract":"Essay by Elisa Foster","URL":"https://www.khanacademy.org/humanities/ap-art-history/early-eu</w:instrText>
      </w:r>
      <w:r w:rsidRPr="00554385">
        <w:rPr>
          <w:lang w:val="fr-FR"/>
        </w:rPr>
        <w:instrText xml:space="preserve">rope-and-colonial-americas/medieval-europe-islamic-world/a/church-and-reliquary-of-saintefoy-france","language":"en","author":[{"family":"Foster","given":"Elisa"}],"accessed":{"date-parts":[["2018",5,19]]}}}],"schema":"https://github.com/citation-style-language/schema/raw/master/csl-citation.json"} </w:instrText>
      </w:r>
      <w:r>
        <w:fldChar w:fldCharType="separate"/>
      </w:r>
      <w:r w:rsidRPr="00554385">
        <w:rPr>
          <w:rFonts w:ascii="Calibri" w:hAnsi="Calibri" w:cs="Calibri"/>
          <w:lang w:val="fr-FR"/>
        </w:rPr>
        <w:t>Foster.</w:t>
      </w:r>
      <w:r>
        <w:fldChar w:fldCharType="end"/>
      </w:r>
    </w:p>
  </w:footnote>
  <w:footnote w:id="6">
    <w:p w:rsidR="00825315" w:rsidRPr="00F648C6" w:rsidRDefault="00825315">
      <w:pPr>
        <w:pStyle w:val="FootnoteText"/>
        <w:rPr>
          <w:lang w:val="fr-FR"/>
        </w:rPr>
      </w:pPr>
      <w:r>
        <w:rPr>
          <w:rStyle w:val="FootnoteReference"/>
        </w:rPr>
        <w:footnoteRef/>
      </w:r>
      <w:r w:rsidRPr="00F648C6">
        <w:rPr>
          <w:lang w:val="fr-FR"/>
        </w:rPr>
        <w:t xml:space="preserve"> </w:t>
      </w:r>
      <w:r>
        <w:fldChar w:fldCharType="begin"/>
      </w:r>
      <w:r>
        <w:rPr>
          <w:lang w:val="fr-FR"/>
        </w:rPr>
        <w:instrText xml:space="preserve"> ADDIN ZOTERO_ITEM CSL_CITATION {"citationID":"XTs9s3Hx","properties":{"formattedCitation":"J-AT Baker, \\uc0\\u8216{}Vie anglo-normande de sainte Foy par Simon de Walsingham\\uc0\\u8217{}, {\\i{}Romania}, 66.261 (1940), 49\\uc0\\u8211{}84 (p. 53) &lt;https://doi.org/10.3406/roma.1940.3491&gt;.","plainCitation":"J-AT Baker, ‘Vie anglo-normande de sainte Foy par Simon de Walsingham’, Romania, 66.261 (1940), 49–84 (p. 53) &lt;https://doi.org/10.3406/roma.1940.3491&gt;.","noteIndex":6},"citationItems":[{"id":536,"uris":["http://zotero.org/users/685164/items/725Y4A2L"],"uri":["http://zotero.org/users/685164/items/725Y4A2L"],"itemData":{"id":536,"type":"article-journal","title":"Vie anglo-normande de sainte Foy par Simon de Walsingham","container-title":"Romania","page":"49–84","volume":"66","issue":"261","DOI":"10.3406/roma.1940.3491","ISSN":"0035-8029","language":"fre","author":[{"family":"Baker","given":"J-AT"}],"issued":{"date-parts":[["1940"]]}},"locator":"53"}],"schema":"https://github.com/citation-style-language/schema/raw/master/csl-citation.json"} </w:instrText>
      </w:r>
      <w:r>
        <w:fldChar w:fldCharType="separate"/>
      </w:r>
      <w:r w:rsidRPr="00F648C6">
        <w:rPr>
          <w:rFonts w:ascii="Calibri" w:hAnsi="Calibri" w:cs="Calibri"/>
          <w:szCs w:val="24"/>
          <w:lang w:val="fr-FR"/>
        </w:rPr>
        <w:t xml:space="preserve">J-AT Baker, ‘Vie anglo-normande de sainte Foy par Simon de Walsingham’, </w:t>
      </w:r>
      <w:r w:rsidRPr="00F648C6">
        <w:rPr>
          <w:rFonts w:ascii="Calibri" w:hAnsi="Calibri" w:cs="Calibri"/>
          <w:i/>
          <w:iCs/>
          <w:szCs w:val="24"/>
          <w:lang w:val="fr-FR"/>
        </w:rPr>
        <w:t>Romania</w:t>
      </w:r>
      <w:r w:rsidRPr="00F648C6">
        <w:rPr>
          <w:rFonts w:ascii="Calibri" w:hAnsi="Calibri" w:cs="Calibri"/>
          <w:szCs w:val="24"/>
          <w:lang w:val="fr-FR"/>
        </w:rPr>
        <w:t>, 66.261 (1940), 49–84 (p. 53) &lt;https://doi.org/10.3406/roma.1940.3491&gt;.</w:t>
      </w:r>
      <w:r>
        <w:fldChar w:fldCharType="end"/>
      </w:r>
    </w:p>
  </w:footnote>
  <w:footnote w:id="7">
    <w:p w:rsidR="00825315" w:rsidRDefault="00825315">
      <w:pPr>
        <w:pStyle w:val="FootnoteText"/>
      </w:pPr>
      <w:r>
        <w:rPr>
          <w:rStyle w:val="FootnoteReference"/>
        </w:rPr>
        <w:footnoteRef/>
      </w:r>
      <w:r>
        <w:t xml:space="preserve"> This has alternatively been interpreted as Tartarus or Purgatory (see </w:t>
      </w:r>
      <w:hyperlink r:id="rId1" w:history="1">
        <w:r w:rsidRPr="00B92864">
          <w:rPr>
            <w:rStyle w:val="Hyperlink"/>
          </w:rPr>
          <w:t>http://www.art-roman-conques.fr/debat.html</w:t>
        </w:r>
      </w:hyperlink>
      <w:r>
        <w:t xml:space="preserve"> for a discussion); whichever interpretation is ‘true’, the grisly message of the scene is clear. </w:t>
      </w:r>
    </w:p>
  </w:footnote>
  <w:footnote w:id="8">
    <w:p w:rsidR="00825315" w:rsidRDefault="00825315">
      <w:pPr>
        <w:pStyle w:val="FootnoteText"/>
      </w:pPr>
      <w:r>
        <w:rPr>
          <w:rStyle w:val="FootnoteReference"/>
        </w:rPr>
        <w:footnoteRef/>
      </w:r>
      <w:r>
        <w:t xml:space="preserve"> </w:t>
      </w:r>
      <w:r>
        <w:fldChar w:fldCharType="begin"/>
      </w:r>
      <w:r>
        <w:instrText xml:space="preserve"> ADDIN ZOTERO_ITEM CSL_CITATION {"citationID":"XalUGj9O","properties":{"formattedCitation":"Catholic Online.","plainCitation":"Catholic Online.","noteIndex":7},"citationItems":[{"id":534,"uris":["http://zotero.org/users/685164/items/AYWZFXJX"],"uri":["http://zotero.org/users/685164/items/AYWZFXJX"],"itemData":{"id":534,"type":"webpage","title":"Abbey of St. Foy is longtime medieval pilgrimage route - Travel &amp; Leisure","container-title":"Catholic Online","abstract":"Beautiful Romanesque church features the Last Judgment Tympanum The Abbey of St. Foy, nestled in the hills of southern France is a beautiful Romanesque church perfectly aligned with its ...","URL":"https://www.catholic.org/travel/story.php?id=49363","language":"en","author":[{"family":"Catholic Online","given":""}],"issued":{"date-parts":[["2013"]]},"accessed":{"date-parts":[["2018",5,19]]}}}],"schema":"https://github.com/citation-style-language/schema/raw/master/csl-citation.json"} </w:instrText>
      </w:r>
      <w:r>
        <w:fldChar w:fldCharType="separate"/>
      </w:r>
      <w:r w:rsidRPr="004474CE">
        <w:rPr>
          <w:rFonts w:ascii="Calibri" w:hAnsi="Calibri" w:cs="Calibri"/>
        </w:rPr>
        <w:t>Catholic Online.</w:t>
      </w:r>
      <w:r>
        <w:fldChar w:fldCharType="end"/>
      </w:r>
    </w:p>
  </w:footnote>
  <w:footnote w:id="9">
    <w:p w:rsidR="00825315" w:rsidRDefault="00825315">
      <w:pPr>
        <w:pStyle w:val="FootnoteText"/>
      </w:pPr>
      <w:r>
        <w:rPr>
          <w:rStyle w:val="FootnoteReference"/>
        </w:rPr>
        <w:footnoteRef/>
      </w:r>
      <w:r>
        <w:t xml:space="preserve"> </w:t>
      </w:r>
      <w:r>
        <w:fldChar w:fldCharType="begin"/>
      </w:r>
      <w:r>
        <w:instrText xml:space="preserve"> ADDIN ZOTERO_ITEM CSL_CITATION {"citationID":"qVzHk3bW","properties":{"formattedCitation":"\\uc0\\u8216{}Art and Visual Culture: Medieval to Modern: View as Single Page\\uc0\\u8217{} &lt;http://www.open.edu/openlearn/ocw/mod/oucontent/view.php?printable=1&amp;id=17161&gt; [accessed 19 May 2018].","plainCitation":"‘Art and Visual Culture: Medieval to Modern: View as Single Page’ &lt;http://www.open.edu/openlearn/ocw/mod/oucontent/view.php?printable=1&amp;id=17161&gt; [accessed 19 May 2018].","noteIndex":8},"citationItems":[{"id":537,"uris":["http://zotero.org/users/685164/items/RNRGSS3J"],"uri":["http://zotero.org/users/685164/items/RNRGSS3J"],"itemData":{"id":537,"type":"webpage","title":"Art and visual culture: Medieval to modern: View as single page","URL":"http://www.open.edu/openlearn/ocw/mod/oucontent/view.php?printable=1&amp;id=17161","accessed":{"date-parts":[["2018",5,19]]}}}],"schema":"https://github.com/citation-style-language/schema/raw/master/csl-citation.json"} </w:instrText>
      </w:r>
      <w:r>
        <w:fldChar w:fldCharType="separate"/>
      </w:r>
      <w:r w:rsidRPr="004474CE">
        <w:rPr>
          <w:rFonts w:ascii="Calibri" w:hAnsi="Calibri" w:cs="Calibri"/>
          <w:szCs w:val="24"/>
        </w:rPr>
        <w:t>‘Art and Visual Culture: Medieval to Modern: View as Single Page’ &lt;http://www.open.edu/openlearn/ocw/mod/oucontent/view.php?printable=1&amp;id=17161&gt; [accessed 19 May 2018].</w:t>
      </w:r>
      <w:r>
        <w:fldChar w:fldCharType="end"/>
      </w:r>
    </w:p>
  </w:footnote>
  <w:footnote w:id="10">
    <w:p w:rsidR="00825315" w:rsidRDefault="00825315">
      <w:pPr>
        <w:pStyle w:val="FootnoteText"/>
      </w:pPr>
      <w:r>
        <w:rPr>
          <w:rStyle w:val="FootnoteReference"/>
        </w:rPr>
        <w:footnoteRef/>
      </w:r>
      <w:r>
        <w:t xml:space="preserve"> </w:t>
      </w:r>
      <w:r>
        <w:fldChar w:fldCharType="begin"/>
      </w:r>
      <w:r>
        <w:instrText xml:space="preserve"> ADDIN ZOTERO_ITEM CSL_CITATION {"citationID":"cClDWeYq","properties":{"formattedCitation":"Foster.","plainCitation":"Foster.","noteIndex":9},"citationItems":[{"id":532,"uris":["http://zotero.org/users/685164/items/PIDBNMPA"],"uri":["http://zotero.org/use</w:instrText>
      </w:r>
      <w:r>
        <w:rPr>
          <w:rFonts w:hint="eastAsia"/>
        </w:rPr>
        <w:instrText>rs/685164/items/PIDBNMPA"],"itemData":{"id":532,"type":"webpage","title":"Church and Reliquary of Sainte</w:instrText>
      </w:r>
      <w:r>
        <w:rPr>
          <w:rFonts w:hint="eastAsia"/>
        </w:rPr>
        <w:instrText>‐</w:instrText>
      </w:r>
      <w:r>
        <w:rPr>
          <w:rFonts w:hint="eastAsia"/>
        </w:rPr>
        <w:instrText>Foy, France","container-title":"Khan Academy","abstract":"Essay by Elisa Foster","URL":"https://www.khanacademy.org/humanities/ap-art-history/early-eu</w:instrText>
      </w:r>
      <w:r>
        <w:instrText xml:space="preserve">rope-and-colonial-americas/medieval-europe-islamic-world/a/church-and-reliquary-of-saintefoy-france","language":"en","author":[{"family":"Foster","given":"Elisa"}],"accessed":{"date-parts":[["2018",5,19]]}}}],"schema":"https://github.com/citation-style-language/schema/raw/master/csl-citation.json"} </w:instrText>
      </w:r>
      <w:r>
        <w:fldChar w:fldCharType="separate"/>
      </w:r>
      <w:r w:rsidRPr="00DB3AB0">
        <w:rPr>
          <w:rFonts w:ascii="Calibri" w:hAnsi="Calibri" w:cs="Calibri"/>
        </w:rPr>
        <w:t>Foster.</w:t>
      </w:r>
      <w:r>
        <w:fldChar w:fldCharType="end"/>
      </w:r>
    </w:p>
  </w:footnote>
  <w:footnote w:id="11">
    <w:p w:rsidR="00825315" w:rsidRDefault="00825315">
      <w:pPr>
        <w:pStyle w:val="FootnoteText"/>
      </w:pPr>
      <w:r>
        <w:rPr>
          <w:rStyle w:val="FootnoteReference"/>
        </w:rPr>
        <w:footnoteRef/>
      </w:r>
      <w:r>
        <w:t xml:space="preserve"> </w:t>
      </w:r>
      <w:r>
        <w:fldChar w:fldCharType="begin"/>
      </w:r>
      <w:r>
        <w:instrText xml:space="preserve"> ADDIN ZOTERO_ITEM CSL_CITATION {"citationID":"T3e0nUip","properties":{"formattedCitation":"Marco Papasidero, \\uc0\\u8216{}\\uc0\\u171{}O Sancta Haera\\uc0\\u187{}. Pilgrims and Pilgrimage in the Sanctuary of Sainte Foy at Conques\\uc0\\u8217{}, 2017, p. 120 &lt;https://doi.org/10.6092/issn.2036-5195/7274&gt;.","plainCitation":"Marco Papasidero, ‘«O Sancta Haera». Pilgrims and Pilgrimage in the Sanctuary of Sainte Foy at Conques’, 2017, p. 120 &lt;https://doi.org/10.6092/issn.2036-5195/7274&gt;.","noteIndex":11},"citationItems":[{"id":554,"uris":["http://zotero.org/users/685164/items/X6VZ6U8L"],"uri":["http://zotero.org/users/685164/items/X6VZ6U8L"],"itemData":{"id":554,"type":"article-journal","title":"«O Sancta Haera». Pilgrims and Pilgrimage in the Sanctuary of Sainte Foy at Conques","source":"DataCite","abstract":"The Liber miraculorum Sancte Fidis, written during the XI century, partially by Bernard of Angers, describes miracles, healings and rituals practiced in the sanctuary of Sainte Foy at Conques, martyr of the beginning of the IV century.\n\nThe Liber allows us to analyze the anthropological and religious dimension of the pilgrims and their pilgrimage. As a matter of fact, through the descriptions of the pilgrims, their gestures, their aspects, their words, their ritual practices by the tomb, their rich or poor offerings, we can analyze the dimension of the Medieval pilgrimage as a specific case study, which can help us describe the idea of pilgrimage in Medieval West Europe and specifically in this sanctuary.\n\nFurthermore, through the reading of the accounts of miracle stories, we can analyze the healing ritual practices, the miraculous dimension of this cult and the Sainte’s ability to treat diseases. The center of the Conques cult was – and remains – the Majesty of Sainte Foy, a reliquary statue in which the power (virtus/dynamis) of the saint’s relics is concentrated.","DOI":"10.6092/issn.2036-5195/7274","language":"en","author":[{"family":"Papasidero","given":"Marco"}],"issued":{"date-parts":[["2017",12,29]]}},"locator":"120"}],"schema":"https://github.com/citation-style-language/schema/raw/master/csl-citation.json"} </w:instrText>
      </w:r>
      <w:r>
        <w:fldChar w:fldCharType="separate"/>
      </w:r>
      <w:r w:rsidRPr="001D7484">
        <w:rPr>
          <w:rFonts w:ascii="Calibri" w:hAnsi="Calibri" w:cs="Calibri"/>
          <w:szCs w:val="24"/>
        </w:rPr>
        <w:t>Marco Papasidero, ‘«O Sancta Haera». Pilgrims and Pilgrimage in the Sanctuary of Sainte Foy at Conques’, 2017, p. 120 &lt;https://doi.org/10.6092/issn.2036-5195/7274&gt;.</w:t>
      </w:r>
      <w:r>
        <w:fldChar w:fldCharType="end"/>
      </w:r>
    </w:p>
  </w:footnote>
  <w:footnote w:id="12">
    <w:p w:rsidR="00825315" w:rsidRDefault="00825315">
      <w:pPr>
        <w:pStyle w:val="FootnoteText"/>
      </w:pPr>
      <w:r>
        <w:rPr>
          <w:rStyle w:val="FootnoteReference"/>
        </w:rPr>
        <w:footnoteRef/>
      </w:r>
      <w:r>
        <w:t xml:space="preserve"> </w:t>
      </w:r>
      <w:r>
        <w:fldChar w:fldCharType="begin"/>
      </w:r>
      <w:r>
        <w:instrText xml:space="preserve"> ADDIN ZOTERO_ITEM CSL_CITATION {"citationID":"szepvWsD","properties":{"formattedCitation":"Meredith Carey, \\uc0\\u8216{}Judgment, Narrative &amp; Redemption in the Tympanum at Conques-En-Rouergue\\uc0\\u8217{}, {\\i{}ESSAI}, 3.1 (2005), 11 (p. 18).","plainCitation":"Meredith Carey, ‘Judgment, Narrative &amp; Redemption in the Tympanum at Conques-En-Rouergue’, ESSAI, 3.1 (2005), 11 (p. 18).","noteIndex":12},"citationItems":[{"id":541,"uris":["http://zotero.org/users/685164/items/HGKXB5T2"],"uri":["http://zotero.org/users/685164/items/HGKXB5T2"],"itemData":{"id":541,"type":"article-journal","title":"Judgment, Narrative &amp; Redemption in the Tympanum at Conques-en-Rouergue","container-title":"ESSAI","page":"11","volume":"3","issue":"1","author":[{"family":"Carey","given":"Meredith"}],"issued":{"date-parts":[["2005"]]}},"locator":"18"}],"schema":"https://github.com/citation-style-language/schema/raw/master/csl-citation.json"} </w:instrText>
      </w:r>
      <w:r>
        <w:fldChar w:fldCharType="separate"/>
      </w:r>
      <w:r w:rsidRPr="002D185B">
        <w:rPr>
          <w:rFonts w:ascii="Calibri" w:hAnsi="Calibri" w:cs="Calibri"/>
          <w:szCs w:val="24"/>
        </w:rPr>
        <w:t xml:space="preserve">Meredith Carey, ‘Judgment, Narrative &amp; Redemption in the Tympanum at Conques-En-Rouergue’, </w:t>
      </w:r>
      <w:r w:rsidRPr="002D185B">
        <w:rPr>
          <w:rFonts w:ascii="Calibri" w:hAnsi="Calibri" w:cs="Calibri"/>
          <w:i/>
          <w:iCs/>
          <w:szCs w:val="24"/>
        </w:rPr>
        <w:t>ESSAI</w:t>
      </w:r>
      <w:r w:rsidRPr="002D185B">
        <w:rPr>
          <w:rFonts w:ascii="Calibri" w:hAnsi="Calibri" w:cs="Calibri"/>
          <w:szCs w:val="24"/>
        </w:rPr>
        <w:t>, 3.1 (2005), 11 (p. 18).</w:t>
      </w:r>
      <w:r>
        <w:fldChar w:fldCharType="end"/>
      </w:r>
    </w:p>
  </w:footnote>
  <w:footnote w:id="13">
    <w:p w:rsidR="00825315" w:rsidRDefault="00825315">
      <w:pPr>
        <w:pStyle w:val="FootnoteText"/>
      </w:pPr>
      <w:r>
        <w:rPr>
          <w:rStyle w:val="FootnoteReference"/>
        </w:rPr>
        <w:footnoteRef/>
      </w:r>
      <w:r>
        <w:t xml:space="preserve"> </w:t>
      </w:r>
      <w:r>
        <w:fldChar w:fldCharType="begin"/>
      </w:r>
      <w:r>
        <w:instrText xml:space="preserve"> ADDIN ZOTERO_ITEM CSL_CITATION {"citationID":"F1nZ11lb","properties":{"formattedCitation":"Leslie Ross, {\\i{}Medieval Art: A Topical Dictionary} (Westport, Conn: Greenwood Press, 1996), p. 14.","plainCitation":"Leslie Ross, Medieval Art: A Topical Dictionary (Westport, Conn: Greenwood Press, 1996), p. 14.","noteIndex":13},"citationItems":[{"id":544,"uris":["http://zotero.org/users/685164/items/8VTJIBSZ"],"uri":["http://zotero.org/users/685164/items/8VTJIBSZ"],"itemData":{"id":544,"type":"book","title":"Medieval art: a topical dictionary","publisher":"Greenwood Press","publisher-place":"Westport, Conn","number-of-pages":"292","source":"Library of Congress ISBN","event-place":"Westport, Conn","ISBN":"978-0-313-29329-0","call-number":"N7850 .R67 1996","shortTitle":"Medieval art","author":[{"family":"Ross","given":"Leslie"}],"issued":{"date-parts":[["1996"]]}},"locator":"14"}],"schema":"https://github.com/citation-style-language/schema/raw/master/csl-citation.json"} </w:instrText>
      </w:r>
      <w:r>
        <w:fldChar w:fldCharType="separate"/>
      </w:r>
      <w:r w:rsidRPr="00D85C14">
        <w:rPr>
          <w:rFonts w:ascii="Calibri" w:hAnsi="Calibri" w:cs="Calibri"/>
          <w:szCs w:val="24"/>
        </w:rPr>
        <w:t xml:space="preserve">Leslie Ross, </w:t>
      </w:r>
      <w:r w:rsidRPr="00D85C14">
        <w:rPr>
          <w:rFonts w:ascii="Calibri" w:hAnsi="Calibri" w:cs="Calibri"/>
          <w:i/>
          <w:iCs/>
          <w:szCs w:val="24"/>
        </w:rPr>
        <w:t>Medieval Art: A Topical Dictionary</w:t>
      </w:r>
      <w:r w:rsidRPr="00D85C14">
        <w:rPr>
          <w:rFonts w:ascii="Calibri" w:hAnsi="Calibri" w:cs="Calibri"/>
          <w:szCs w:val="24"/>
        </w:rPr>
        <w:t xml:space="preserve"> (Westport, Conn: Greenwood Press, 1996), p. 14.</w:t>
      </w:r>
      <w:r>
        <w:fldChar w:fldCharType="end"/>
      </w:r>
    </w:p>
  </w:footnote>
  <w:footnote w:id="14">
    <w:p w:rsidR="00825315" w:rsidRDefault="00825315">
      <w:pPr>
        <w:pStyle w:val="FootnoteText"/>
      </w:pPr>
      <w:r>
        <w:rPr>
          <w:rStyle w:val="FootnoteReference"/>
        </w:rPr>
        <w:footnoteRef/>
      </w:r>
      <w:r>
        <w:t xml:space="preserve"> </w:t>
      </w:r>
      <w:r>
        <w:fldChar w:fldCharType="begin"/>
      </w:r>
      <w:r>
        <w:instrText xml:space="preserve"> ADDIN ZOTERO_ITEM CSL_CITATION {"citationID":"BaSXlRCB","properties":{"formattedCitation":"U Becker, {\\i{}The Encyclopedia of Symbols.} (Continuum Acad., 2005), p. 121.","plainCitation":"U Becker, The Encyclopedia of Symbols. (Continuum Acad., 2005), p. 121.","noteIndex":14},"citationItems":[{"id":546,"uris":["http://zotero.org/users/685164/items/XAKZ2G3P"],"uri":["http://zotero.org/users/685164/items/XAKZ2G3P"],"itemData":{"id":546,"type":"book","title":"The encyclopedia of symbols.","publisher":"Continuum Acad.","source":"Open WorldCat","ISBN":"978-0-8264-1221-8","note":"OCLC: 271760053","language":"English","author":[{"family":"Becker","given":"U"}],"issued":{"date-parts":[["2005"]]}},"locator":"121"}],"schema":"https://github.com/citation-style-language/schema/raw/master/csl-citation.json"} </w:instrText>
      </w:r>
      <w:r>
        <w:fldChar w:fldCharType="separate"/>
      </w:r>
      <w:r w:rsidRPr="00AE4140">
        <w:rPr>
          <w:rFonts w:ascii="Calibri" w:hAnsi="Calibri" w:cs="Calibri"/>
          <w:szCs w:val="24"/>
        </w:rPr>
        <w:t xml:space="preserve">U Becker, </w:t>
      </w:r>
      <w:r w:rsidRPr="00AE4140">
        <w:rPr>
          <w:rFonts w:ascii="Calibri" w:hAnsi="Calibri" w:cs="Calibri"/>
          <w:i/>
          <w:iCs/>
          <w:szCs w:val="24"/>
        </w:rPr>
        <w:t>The Encyclopedia of Symbols.</w:t>
      </w:r>
      <w:r w:rsidRPr="00AE4140">
        <w:rPr>
          <w:rFonts w:ascii="Calibri" w:hAnsi="Calibri" w:cs="Calibri"/>
          <w:szCs w:val="24"/>
        </w:rPr>
        <w:t xml:space="preserve"> (Continuum Acad., 2005), p. 121.</w:t>
      </w:r>
      <w:r>
        <w:fldChar w:fldCharType="end"/>
      </w:r>
    </w:p>
  </w:footnote>
  <w:footnote w:id="15">
    <w:p w:rsidR="00825315" w:rsidRDefault="00825315" w:rsidP="00526B44">
      <w:pPr>
        <w:pStyle w:val="FootnoteText"/>
      </w:pPr>
      <w:r>
        <w:rPr>
          <w:rStyle w:val="FootnoteReference"/>
        </w:rPr>
        <w:footnoteRef/>
      </w:r>
      <w:r>
        <w:t xml:space="preserve"> </w:t>
      </w:r>
      <w:r>
        <w:fldChar w:fldCharType="begin"/>
      </w:r>
      <w:r>
        <w:instrText xml:space="preserve"> ADDIN ZOTERO_ITEM CSL_CITATION {"citationID":"lRSX3X8c","properties":{"formattedCitation":"A. R. Bell and R. S. Dale, \\uc0\\u8216{}The Medieval Pilgrimage Business\\uc0\\u8217{}, {\\i{}Enterprise and Society}, 12.3 (2011), 601\\uc0\\u8211{}27 (p. 603) &lt;https://doi.org/10.1093/es/khr014&gt;.","plainCitation":"A. R. Bell and R. S. Dale, ‘The Medieval Pilgrimage Business’, Enterprise and Society, 12.3 (2011), 601–27 (p. 603) &lt;https://doi.org/10.1093/es/khr014&gt;.","noteIndex":15},"citationItems":[{"id":550,"uris":["http://zotero.org/users/685164/items/62CEBNEC"],"uri":["http://zotero.org/users/685164/items/62CEBNEC"],"itemData":{"id":550,"type":"article-journal","title":"The Medieval Pilgrimage Business","container-title":"Enterprise and Society","page":"601-627","volume":"12","issue":"3","source":"Crossref","DOI":"10.1093/es/khr014","ISSN":"1467-2227, 1467-2235","language":"en","author":[{"family":"Bell","given":"A. R."},{"family":"Dale","given":"R. S."}],"issued":{"date-parts":[["2011",9,1]]}},"locator":"603"}],"schema":"https://github.com/citation-style-language/schema/raw/master/csl-citation.json"} </w:instrText>
      </w:r>
      <w:r>
        <w:fldChar w:fldCharType="separate"/>
      </w:r>
      <w:r w:rsidRPr="00495F67">
        <w:rPr>
          <w:rFonts w:ascii="Calibri" w:hAnsi="Calibri" w:cs="Calibri"/>
          <w:szCs w:val="24"/>
        </w:rPr>
        <w:t xml:space="preserve">A. R. Bell and R. S. Dale, ‘The Medieval Pilgrimage Business’, </w:t>
      </w:r>
      <w:r w:rsidRPr="00495F67">
        <w:rPr>
          <w:rFonts w:ascii="Calibri" w:hAnsi="Calibri" w:cs="Calibri"/>
          <w:i/>
          <w:iCs/>
          <w:szCs w:val="24"/>
        </w:rPr>
        <w:t>Enterprise and Society</w:t>
      </w:r>
      <w:r w:rsidRPr="00495F67">
        <w:rPr>
          <w:rFonts w:ascii="Calibri" w:hAnsi="Calibri" w:cs="Calibri"/>
          <w:szCs w:val="24"/>
        </w:rPr>
        <w:t>, 12.3 (2011), 601–27 (p. 603) &lt;https://doi.org/10.1093/es/khr014&gt;.</w:t>
      </w:r>
      <w:r>
        <w:fldChar w:fldCharType="end"/>
      </w:r>
    </w:p>
  </w:footnote>
  <w:footnote w:id="16">
    <w:p w:rsidR="00825315" w:rsidRDefault="00825315">
      <w:pPr>
        <w:pStyle w:val="FootnoteText"/>
      </w:pPr>
      <w:r>
        <w:rPr>
          <w:rStyle w:val="FootnoteReference"/>
        </w:rPr>
        <w:footnoteRef/>
      </w:r>
      <w:r>
        <w:t xml:space="preserve"> </w:t>
      </w:r>
      <w:r>
        <w:fldChar w:fldCharType="begin"/>
      </w:r>
      <w:r>
        <w:instrText xml:space="preserve"> ADDIN ZOTERO_ITEM CSL_CITATION {"citationID":"fWlJg6f7","properties":{"formattedCitation":"Bell and Dale, p. 603.","plainCitation":"Bell and Dale, p. 603.","noteIndex":16},"citationItems":[{"id":550,"uris":["http://zotero.org/users/685164/items/62CEBNEC"],"uri":["http://zotero.org/users/685164/items/62CEBNEC"],"itemData":{"id":550,"type":"article-journal","title":"The Medieval Pilgrimage Business","container-title":"Enterprise and Society","page":"601-627","volume":"12","issue":"3","source":"Crossref","DOI":"10.1093/es/khr014","ISSN":"1467-2227, 1467-2235","language":"en","author":[{"family":"Bell","given":"A. R."},{"family":"Dale","given":"R. S."}],"issued":{"date-parts":[["2011",9,1]]}},"locator":"603"}],"schema":"https://github.com/citation-style-language/schema/raw/master/csl-citation.json"} </w:instrText>
      </w:r>
      <w:r>
        <w:fldChar w:fldCharType="separate"/>
      </w:r>
      <w:r w:rsidRPr="00C72509">
        <w:rPr>
          <w:rFonts w:ascii="Calibri" w:hAnsi="Calibri" w:cs="Calibri"/>
        </w:rPr>
        <w:t>Bell and Dale, p. 603.</w:t>
      </w:r>
      <w:r>
        <w:fldChar w:fldCharType="end"/>
      </w:r>
    </w:p>
  </w:footnote>
  <w:footnote w:id="17">
    <w:p w:rsidR="00825315" w:rsidRDefault="00825315">
      <w:pPr>
        <w:pStyle w:val="FootnoteText"/>
      </w:pPr>
      <w:r>
        <w:rPr>
          <w:rStyle w:val="FootnoteReference"/>
        </w:rPr>
        <w:footnoteRef/>
      </w:r>
      <w:r>
        <w:t xml:space="preserve"> </w:t>
      </w:r>
      <w:r>
        <w:fldChar w:fldCharType="begin"/>
      </w:r>
      <w:r>
        <w:instrText xml:space="preserve"> ADDIN ZOTERO_ITEM CSL_CITATION {"citationID":"cGUHecbg","properties":{"formattedCitation":"Ian Mortimer, {\\i{}The Time Traveller\\uc0\\u8217{}s Guide to Medieval England: A Handbook for Visitors to the Fourteenth Century} (London: Vintage Books, 2009), p. 265.","plainCitation":"Ian Mortimer, The Time Traveller’s Guide to Medieval England: A Handbook for Visitors to the Fourteenth Century (London: Vintage Books, 2009), p. 265.","noteIndex":17},"citationItems":[{"id":551,"uris":["http://zotero.org/users/685164/items/5LA7ARN2"],"uri":["http://zotero.org/users/685164/items/5LA7ARN2"],"itemData":{"id":551,"type":"book","title":"The time traveller's guide to medieval England: a handbook for visitors to the fourteenth century","publisher":"Vintage Books","publisher-place":"London","number-of-pages":"344","source":"Gemeinsamer Bibliotheksverbund ISBN","event-place":"London","ISBN":"978-1-84595-099-6","note":"OCLC: 934382134","shortTitle":"The time traveller's guide to medieval England","language":"eng","author":[{"family":"Mortimer","given":"Ian"}],"issued":{"date-parts":[["2009"]]}},"locator":"265"}],"schema":"https://github.com/citation-style-language/schema/raw/master/csl-citation.json"} </w:instrText>
      </w:r>
      <w:r>
        <w:fldChar w:fldCharType="separate"/>
      </w:r>
      <w:r w:rsidRPr="00526B44">
        <w:rPr>
          <w:rFonts w:ascii="Calibri" w:hAnsi="Calibri" w:cs="Calibri"/>
          <w:szCs w:val="24"/>
        </w:rPr>
        <w:t xml:space="preserve">Ian Mortimer, </w:t>
      </w:r>
      <w:r w:rsidRPr="00526B44">
        <w:rPr>
          <w:rFonts w:ascii="Calibri" w:hAnsi="Calibri" w:cs="Calibri"/>
          <w:i/>
          <w:iCs/>
          <w:szCs w:val="24"/>
        </w:rPr>
        <w:t>The Time Traveller’s Guide to Medieval England: A Handbook for Visitors to the Fourteenth Century</w:t>
      </w:r>
      <w:r w:rsidRPr="00526B44">
        <w:rPr>
          <w:rFonts w:ascii="Calibri" w:hAnsi="Calibri" w:cs="Calibri"/>
          <w:szCs w:val="24"/>
        </w:rPr>
        <w:t xml:space="preserve"> (London: Vintage Books, 2009), p. 265.</w:t>
      </w:r>
      <w:r>
        <w:fldChar w:fldCharType="end"/>
      </w:r>
    </w:p>
  </w:footnote>
  <w:footnote w:id="18">
    <w:p w:rsidR="00825315" w:rsidRDefault="00825315">
      <w:pPr>
        <w:pStyle w:val="FootnoteText"/>
      </w:pPr>
      <w:r>
        <w:rPr>
          <w:rStyle w:val="FootnoteReference"/>
        </w:rPr>
        <w:footnoteRef/>
      </w:r>
      <w:r>
        <w:t xml:space="preserve"> </w:t>
      </w:r>
      <w:r>
        <w:fldChar w:fldCharType="begin"/>
      </w:r>
      <w:r>
        <w:instrText xml:space="preserve"> ADDIN ZOTERO_ITEM CSL_CITATION {"citationID":"cA3kEmlg","properties":{"formattedCitation":"Bell and Dale, p. 603.","plainCitation":"Bell and Dale, p. 603.","noteIndex":18},"citationItems":[{"id":550,"uris":["http://zotero.org/users/685164/items/62CEBNEC"],"uri":["http://zotero.org/users/685164/items/62CEBNEC"],"itemData":{"id":550,"type":"article-journal","title":"The Medieval Pilgrimage Business","container-title":"Enterprise and Society","page":"601-627","volume":"12","issue":"3","source":"Crossref","DOI":"10.1093/es/khr014","ISSN":"1467-2227, 1467-2235","language":"en","author":[{"family":"Bell","given":"A. R."},{"family":"Dale","given":"R. S."}],"issued":{"date-parts":[["2011",9,1]]}},"locator":"603"}],"schema":"https://github.com/citation-style-language/schema/raw/master/csl-citation.json"} </w:instrText>
      </w:r>
      <w:r>
        <w:fldChar w:fldCharType="separate"/>
      </w:r>
      <w:r w:rsidRPr="00C63A2F">
        <w:rPr>
          <w:rFonts w:ascii="Calibri" w:hAnsi="Calibri" w:cs="Calibri"/>
        </w:rPr>
        <w:t>Bell and Dale, p. 603.</w:t>
      </w:r>
      <w:r>
        <w:fldChar w:fldCharType="end"/>
      </w:r>
    </w:p>
  </w:footnote>
  <w:footnote w:id="19">
    <w:p w:rsidR="00825315" w:rsidRDefault="00825315">
      <w:pPr>
        <w:pStyle w:val="FootnoteText"/>
      </w:pPr>
      <w:r>
        <w:rPr>
          <w:rStyle w:val="FootnoteReference"/>
        </w:rPr>
        <w:footnoteRef/>
      </w:r>
      <w:r>
        <w:t xml:space="preserve"> </w:t>
      </w:r>
      <w:r>
        <w:fldChar w:fldCharType="begin"/>
      </w:r>
      <w:r>
        <w:instrText xml:space="preserve"> ADDIN ZOTERO_ITEM CSL_CITATION {"citationID":"6Ecl7DAe","properties":{"formattedCitation":"Papasidero, p. 121.","plainCitation":"Papasidero, p. 121.","noteIndex":19},"citationItems":[{"id":554,"uris":["http://zotero.org/users/685164/items/X6VZ6U8L"],"uri":["http://zotero.org/users/685164/items/X6VZ6U8L"],"itemData":{"id":554,"type":"article-journal","title":"«O Sancta Haera». Pilgrims and Pilgrimage in the Sanctuary of Sainte Foy at Conques","source":"DataCite","abstract":"The Liber miraculorum Sancte Fidis, written during the XI century, partially by Bernard of Angers, describes miracles, healings and rituals practiced in the sanctuary of Sainte Foy at Conques, martyr of the beginning of the IV century.\n\nThe Liber allows us to analyze the anthropological and religious dimension of the pilgrims and their pilgrimage. As a matter of fact, through the descriptions of the pilgrims, their gestures, their aspects, their words, their ritual practices by the tomb, their rich or poor offerings, we can analyze the dimension of the Medieval pilgrimage as a specific case study, which can help us describe the idea of pilgrimage in Medieval West Europe and specifically in this sanctuary.\n\nFurthermore, through the reading of the accounts of miracle stories, we can analyze the healing ritual practices, the miraculous dimension of this cult and the Sainte’s ability to treat diseases. The center of the Conques cult was – and remains – the Majesty of Sainte Foy, a reliquary statue in which the power (virtus/dynamis) of the saint’s relics is concentrated.","DOI":"10.6092/issn.2036-5195/7274","language":"en","author":[{"family":"Papasidero","given":"Marco"}],"issued":{"date-parts":[["2017",12,29]]}},"locator":"121"}],"schema":"https://github.com/citation-style-language/schema/raw/master/csl-citation.json"} </w:instrText>
      </w:r>
      <w:r>
        <w:fldChar w:fldCharType="separate"/>
      </w:r>
      <w:r w:rsidRPr="00BF4161">
        <w:rPr>
          <w:rFonts w:ascii="Calibri" w:hAnsi="Calibri" w:cs="Calibri"/>
        </w:rPr>
        <w:t>Papasidero, p. 121.</w:t>
      </w:r>
      <w:r>
        <w:fldChar w:fldCharType="end"/>
      </w:r>
    </w:p>
  </w:footnote>
  <w:footnote w:id="20">
    <w:p w:rsidR="0024792C" w:rsidRDefault="0024792C">
      <w:pPr>
        <w:pStyle w:val="FootnoteText"/>
      </w:pPr>
      <w:r>
        <w:rPr>
          <w:rStyle w:val="FootnoteReference"/>
        </w:rPr>
        <w:footnoteRef/>
      </w:r>
      <w:r>
        <w:t xml:space="preserve"> </w:t>
      </w:r>
      <w:r>
        <w:fldChar w:fldCharType="begin"/>
      </w:r>
      <w:r>
        <w:instrText xml:space="preserve"> ADDIN ZOTERO_ITEM CSL_CITATION {"citationID":"WRczOW5u","properties":{"formattedCitation":"John M Theilmann, \\uc0\\u8216{}Medieval Pilgrims and the Origins of Tourism\\uc0\\u8217{}, {\\i{}The Journal of Popular Culture}, 20.4 (1987), 93\\uc0\\u8211{}102 (p. 97).","plainCitation":"John M Theilmann, ‘Medieval Pilgrims and the Origins of Tourism’, The Journal of Popular Culture, 20.4 (1987), 93–102 (p. 97).","noteIndex":20},"citationItems":[{"id":555,"uris":["http://zotero.org/users/685164/items/CMF58Q3B"],"uri":["http://zotero.org/users/685164/items/CMF58Q3B"],"itemData":{"id":555,"type":"article-journal","title":"Medieval pilgrims and the origins of tourism","container-title":"The Journal of Popular Culture","page":"93–102","volume":"20","issue":"4","author":[{"family":"Theilmann","given":"John M"}],"issued":{"date-parts":[["1987"]]}},"locator":"97"}],"schema":"https://github.com/citation-style-language/schema/raw/master/csl-citation.json"} </w:instrText>
      </w:r>
      <w:r>
        <w:fldChar w:fldCharType="separate"/>
      </w:r>
      <w:r w:rsidRPr="0024792C">
        <w:rPr>
          <w:rFonts w:ascii="Calibri" w:hAnsi="Calibri" w:cs="Calibri"/>
          <w:szCs w:val="24"/>
        </w:rPr>
        <w:t xml:space="preserve">John M Theilmann, ‘Medieval Pilgrims and the Origins of Tourism’, </w:t>
      </w:r>
      <w:r w:rsidRPr="0024792C">
        <w:rPr>
          <w:rFonts w:ascii="Calibri" w:hAnsi="Calibri" w:cs="Calibri"/>
          <w:i/>
          <w:iCs/>
          <w:szCs w:val="24"/>
        </w:rPr>
        <w:t>The Journal of Popular Culture</w:t>
      </w:r>
      <w:r w:rsidRPr="0024792C">
        <w:rPr>
          <w:rFonts w:ascii="Calibri" w:hAnsi="Calibri" w:cs="Calibri"/>
          <w:szCs w:val="24"/>
        </w:rPr>
        <w:t>, 20.4 (1987), 93–102 (p. 97).</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CF40AB"/>
    <w:multiLevelType w:val="hybridMultilevel"/>
    <w:tmpl w:val="FA8458B8"/>
    <w:lvl w:ilvl="0" w:tplc="4664E0CE">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AA6"/>
    <w:rsid w:val="00007CBB"/>
    <w:rsid w:val="000865C7"/>
    <w:rsid w:val="000A617D"/>
    <w:rsid w:val="000A791C"/>
    <w:rsid w:val="000E5674"/>
    <w:rsid w:val="00150D93"/>
    <w:rsid w:val="001D0BC3"/>
    <w:rsid w:val="001D2401"/>
    <w:rsid w:val="001D7484"/>
    <w:rsid w:val="00202F1E"/>
    <w:rsid w:val="00217AFF"/>
    <w:rsid w:val="0024792C"/>
    <w:rsid w:val="0025556F"/>
    <w:rsid w:val="002D185B"/>
    <w:rsid w:val="002D60C9"/>
    <w:rsid w:val="002F2FE0"/>
    <w:rsid w:val="00314F37"/>
    <w:rsid w:val="003263A7"/>
    <w:rsid w:val="003C6500"/>
    <w:rsid w:val="003E2B42"/>
    <w:rsid w:val="00423499"/>
    <w:rsid w:val="004474CE"/>
    <w:rsid w:val="00487BBE"/>
    <w:rsid w:val="00495F67"/>
    <w:rsid w:val="004D5C55"/>
    <w:rsid w:val="004F185B"/>
    <w:rsid w:val="00502A0F"/>
    <w:rsid w:val="00526B44"/>
    <w:rsid w:val="00554385"/>
    <w:rsid w:val="0056614D"/>
    <w:rsid w:val="00665147"/>
    <w:rsid w:val="0067591B"/>
    <w:rsid w:val="006847FD"/>
    <w:rsid w:val="0074575F"/>
    <w:rsid w:val="00773B35"/>
    <w:rsid w:val="00776F42"/>
    <w:rsid w:val="007E2D1A"/>
    <w:rsid w:val="008251D9"/>
    <w:rsid w:val="00825315"/>
    <w:rsid w:val="00965AA6"/>
    <w:rsid w:val="009D5C76"/>
    <w:rsid w:val="00A02395"/>
    <w:rsid w:val="00A211E4"/>
    <w:rsid w:val="00A440AC"/>
    <w:rsid w:val="00A74441"/>
    <w:rsid w:val="00A875C0"/>
    <w:rsid w:val="00AA2380"/>
    <w:rsid w:val="00AE29B9"/>
    <w:rsid w:val="00AE4140"/>
    <w:rsid w:val="00B22069"/>
    <w:rsid w:val="00B51048"/>
    <w:rsid w:val="00B65313"/>
    <w:rsid w:val="00B6747D"/>
    <w:rsid w:val="00BF4161"/>
    <w:rsid w:val="00C16C18"/>
    <w:rsid w:val="00C26B2F"/>
    <w:rsid w:val="00C63A2F"/>
    <w:rsid w:val="00C71E18"/>
    <w:rsid w:val="00C72509"/>
    <w:rsid w:val="00D017F2"/>
    <w:rsid w:val="00D17B71"/>
    <w:rsid w:val="00D73FD1"/>
    <w:rsid w:val="00D81A7C"/>
    <w:rsid w:val="00D85C14"/>
    <w:rsid w:val="00D93A9F"/>
    <w:rsid w:val="00DB3AB0"/>
    <w:rsid w:val="00E14648"/>
    <w:rsid w:val="00E273FA"/>
    <w:rsid w:val="00E4440A"/>
    <w:rsid w:val="00E6542A"/>
    <w:rsid w:val="00EA79D0"/>
    <w:rsid w:val="00F13E39"/>
    <w:rsid w:val="00F35053"/>
    <w:rsid w:val="00F648C6"/>
    <w:rsid w:val="00F80AC3"/>
    <w:rsid w:val="00FB2F83"/>
    <w:rsid w:val="00FB5A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7B5036F-006D-45CC-AAF0-C3934DA4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4648"/>
  </w:style>
  <w:style w:type="paragraph" w:styleId="Heading1">
    <w:name w:val="heading 1"/>
    <w:basedOn w:val="Normal"/>
    <w:next w:val="Normal"/>
    <w:link w:val="Heading1Char"/>
    <w:uiPriority w:val="9"/>
    <w:qFormat/>
    <w:rsid w:val="00E1464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E1464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1464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1464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1464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1464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1464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1464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1464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5A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5AA6"/>
    <w:rPr>
      <w:sz w:val="20"/>
      <w:szCs w:val="20"/>
    </w:rPr>
  </w:style>
  <w:style w:type="character" w:styleId="FootnoteReference">
    <w:name w:val="footnote reference"/>
    <w:basedOn w:val="DefaultParagraphFont"/>
    <w:uiPriority w:val="99"/>
    <w:semiHidden/>
    <w:unhideWhenUsed/>
    <w:rsid w:val="00965AA6"/>
    <w:rPr>
      <w:vertAlign w:val="superscript"/>
    </w:rPr>
  </w:style>
  <w:style w:type="character" w:customStyle="1" w:styleId="Heading1Char">
    <w:name w:val="Heading 1 Char"/>
    <w:basedOn w:val="DefaultParagraphFont"/>
    <w:link w:val="Heading1"/>
    <w:uiPriority w:val="9"/>
    <w:rsid w:val="00E1464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E1464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1464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1464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1464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1464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1464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1464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1464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14648"/>
    <w:pPr>
      <w:spacing w:line="240" w:lineRule="auto"/>
    </w:pPr>
    <w:rPr>
      <w:b/>
      <w:bCs/>
      <w:smallCaps/>
      <w:color w:val="595959" w:themeColor="text1" w:themeTint="A6"/>
    </w:rPr>
  </w:style>
  <w:style w:type="paragraph" w:styleId="Title">
    <w:name w:val="Title"/>
    <w:basedOn w:val="Normal"/>
    <w:next w:val="Normal"/>
    <w:link w:val="TitleChar"/>
    <w:uiPriority w:val="10"/>
    <w:qFormat/>
    <w:rsid w:val="00E1464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1464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1464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1464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E14648"/>
    <w:rPr>
      <w:b/>
      <w:bCs/>
    </w:rPr>
  </w:style>
  <w:style w:type="character" w:styleId="Emphasis">
    <w:name w:val="Emphasis"/>
    <w:basedOn w:val="DefaultParagraphFont"/>
    <w:uiPriority w:val="20"/>
    <w:qFormat/>
    <w:rsid w:val="00E14648"/>
    <w:rPr>
      <w:i/>
      <w:iCs/>
    </w:rPr>
  </w:style>
  <w:style w:type="paragraph" w:styleId="NoSpacing">
    <w:name w:val="No Spacing"/>
    <w:uiPriority w:val="1"/>
    <w:qFormat/>
    <w:rsid w:val="00E14648"/>
    <w:pPr>
      <w:spacing w:after="0" w:line="240" w:lineRule="auto"/>
    </w:pPr>
  </w:style>
  <w:style w:type="paragraph" w:styleId="Quote">
    <w:name w:val="Quote"/>
    <w:basedOn w:val="Normal"/>
    <w:next w:val="Normal"/>
    <w:link w:val="QuoteChar"/>
    <w:uiPriority w:val="29"/>
    <w:qFormat/>
    <w:rsid w:val="00E1464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1464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1464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14648"/>
    <w:rPr>
      <w:color w:val="404040" w:themeColor="text1" w:themeTint="BF"/>
      <w:sz w:val="32"/>
      <w:szCs w:val="32"/>
    </w:rPr>
  </w:style>
  <w:style w:type="character" w:styleId="SubtleEmphasis">
    <w:name w:val="Subtle Emphasis"/>
    <w:basedOn w:val="DefaultParagraphFont"/>
    <w:uiPriority w:val="19"/>
    <w:qFormat/>
    <w:rsid w:val="00E14648"/>
    <w:rPr>
      <w:i/>
      <w:iCs/>
      <w:color w:val="595959" w:themeColor="text1" w:themeTint="A6"/>
    </w:rPr>
  </w:style>
  <w:style w:type="character" w:styleId="IntenseEmphasis">
    <w:name w:val="Intense Emphasis"/>
    <w:basedOn w:val="DefaultParagraphFont"/>
    <w:uiPriority w:val="21"/>
    <w:qFormat/>
    <w:rsid w:val="00E14648"/>
    <w:rPr>
      <w:b/>
      <w:bCs/>
      <w:i/>
      <w:iCs/>
    </w:rPr>
  </w:style>
  <w:style w:type="character" w:styleId="SubtleReference">
    <w:name w:val="Subtle Reference"/>
    <w:basedOn w:val="DefaultParagraphFont"/>
    <w:uiPriority w:val="31"/>
    <w:qFormat/>
    <w:rsid w:val="00E1464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14648"/>
    <w:rPr>
      <w:b/>
      <w:bCs/>
      <w:caps w:val="0"/>
      <w:smallCaps/>
      <w:color w:val="auto"/>
      <w:spacing w:val="3"/>
      <w:u w:val="single"/>
    </w:rPr>
  </w:style>
  <w:style w:type="character" w:styleId="BookTitle">
    <w:name w:val="Book Title"/>
    <w:basedOn w:val="DefaultParagraphFont"/>
    <w:uiPriority w:val="33"/>
    <w:qFormat/>
    <w:rsid w:val="00E14648"/>
    <w:rPr>
      <w:b/>
      <w:bCs/>
      <w:smallCaps/>
      <w:spacing w:val="7"/>
    </w:rPr>
  </w:style>
  <w:style w:type="paragraph" w:styleId="TOCHeading">
    <w:name w:val="TOC Heading"/>
    <w:basedOn w:val="Heading1"/>
    <w:next w:val="Normal"/>
    <w:uiPriority w:val="39"/>
    <w:semiHidden/>
    <w:unhideWhenUsed/>
    <w:qFormat/>
    <w:rsid w:val="00E14648"/>
    <w:pPr>
      <w:outlineLvl w:val="9"/>
    </w:pPr>
  </w:style>
  <w:style w:type="paragraph" w:styleId="Header">
    <w:name w:val="header"/>
    <w:basedOn w:val="Normal"/>
    <w:link w:val="HeaderChar"/>
    <w:uiPriority w:val="99"/>
    <w:unhideWhenUsed/>
    <w:rsid w:val="00447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4CE"/>
  </w:style>
  <w:style w:type="paragraph" w:styleId="Footer">
    <w:name w:val="footer"/>
    <w:basedOn w:val="Normal"/>
    <w:link w:val="FooterChar"/>
    <w:uiPriority w:val="99"/>
    <w:unhideWhenUsed/>
    <w:rsid w:val="00447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4CE"/>
  </w:style>
  <w:style w:type="character" w:styleId="Hyperlink">
    <w:name w:val="Hyperlink"/>
    <w:basedOn w:val="DefaultParagraphFont"/>
    <w:uiPriority w:val="99"/>
    <w:unhideWhenUsed/>
    <w:rsid w:val="00A440AC"/>
    <w:rPr>
      <w:color w:val="0563C1" w:themeColor="hyperlink"/>
      <w:u w:val="single"/>
    </w:rPr>
  </w:style>
  <w:style w:type="character" w:styleId="UnresolvedMention">
    <w:name w:val="Unresolved Mention"/>
    <w:basedOn w:val="DefaultParagraphFont"/>
    <w:uiPriority w:val="99"/>
    <w:semiHidden/>
    <w:unhideWhenUsed/>
    <w:rsid w:val="00A440AC"/>
    <w:rPr>
      <w:color w:val="808080"/>
      <w:shd w:val="clear" w:color="auto" w:fill="E6E6E6"/>
    </w:rPr>
  </w:style>
  <w:style w:type="paragraph" w:styleId="Bibliography">
    <w:name w:val="Bibliography"/>
    <w:basedOn w:val="Normal"/>
    <w:next w:val="Normal"/>
    <w:uiPriority w:val="37"/>
    <w:unhideWhenUsed/>
    <w:rsid w:val="00502A0F"/>
    <w:pPr>
      <w:spacing w:after="240" w:line="240" w:lineRule="auto"/>
      <w:ind w:left="720" w:hanging="720"/>
    </w:pPr>
  </w:style>
  <w:style w:type="paragraph" w:styleId="NormalWeb">
    <w:name w:val="Normal (Web)"/>
    <w:basedOn w:val="Normal"/>
    <w:unhideWhenUsed/>
    <w:rsid w:val="00B653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381386">
      <w:bodyDiv w:val="1"/>
      <w:marLeft w:val="0"/>
      <w:marRight w:val="0"/>
      <w:marTop w:val="0"/>
      <w:marBottom w:val="0"/>
      <w:divBdr>
        <w:top w:val="none" w:sz="0" w:space="0" w:color="auto"/>
        <w:left w:val="none" w:sz="0" w:space="0" w:color="auto"/>
        <w:bottom w:val="none" w:sz="0" w:space="0" w:color="auto"/>
        <w:right w:val="none" w:sz="0" w:space="0" w:color="auto"/>
      </w:divBdr>
    </w:div>
    <w:div w:id="1062677487">
      <w:bodyDiv w:val="1"/>
      <w:marLeft w:val="0"/>
      <w:marRight w:val="0"/>
      <w:marTop w:val="0"/>
      <w:marBottom w:val="0"/>
      <w:divBdr>
        <w:top w:val="none" w:sz="0" w:space="0" w:color="auto"/>
        <w:left w:val="none" w:sz="0" w:space="0" w:color="auto"/>
        <w:bottom w:val="none" w:sz="0" w:space="0" w:color="auto"/>
        <w:right w:val="none" w:sz="0" w:space="0" w:color="auto"/>
      </w:divBdr>
    </w:div>
    <w:div w:id="2096318681">
      <w:bodyDiv w:val="1"/>
      <w:marLeft w:val="0"/>
      <w:marRight w:val="0"/>
      <w:marTop w:val="0"/>
      <w:marBottom w:val="0"/>
      <w:divBdr>
        <w:top w:val="none" w:sz="0" w:space="0" w:color="auto"/>
        <w:left w:val="none" w:sz="0" w:space="0" w:color="auto"/>
        <w:bottom w:val="none" w:sz="0" w:space="0" w:color="auto"/>
        <w:right w:val="none" w:sz="0" w:space="0" w:color="auto"/>
      </w:divBdr>
      <w:divsChild>
        <w:div w:id="525170486">
          <w:marLeft w:val="0"/>
          <w:marRight w:val="0"/>
          <w:marTop w:val="0"/>
          <w:marBottom w:val="0"/>
          <w:divBdr>
            <w:top w:val="none" w:sz="0" w:space="0" w:color="auto"/>
            <w:left w:val="none" w:sz="0" w:space="0" w:color="auto"/>
            <w:bottom w:val="none" w:sz="0" w:space="0" w:color="auto"/>
            <w:right w:val="none" w:sz="0" w:space="0" w:color="auto"/>
          </w:divBdr>
        </w:div>
        <w:div w:id="1839926151">
          <w:marLeft w:val="0"/>
          <w:marRight w:val="0"/>
          <w:marTop w:val="0"/>
          <w:marBottom w:val="0"/>
          <w:divBdr>
            <w:top w:val="none" w:sz="0" w:space="0" w:color="auto"/>
            <w:left w:val="none" w:sz="0" w:space="0" w:color="auto"/>
            <w:bottom w:val="none" w:sz="0" w:space="0" w:color="auto"/>
            <w:right w:val="none" w:sz="0" w:space="0" w:color="auto"/>
          </w:divBdr>
        </w:div>
        <w:div w:id="943653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www.art-roman-conques.fr/deba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AED1C-744E-4E73-A448-21935C77B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1343</Words>
  <Characters>7658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dc:creator>
  <cp:keywords/>
  <dc:description/>
  <cp:lastModifiedBy>Gulliver Methuen-Campbell</cp:lastModifiedBy>
  <cp:revision>47</cp:revision>
  <dcterms:created xsi:type="dcterms:W3CDTF">2018-05-19T10:07:00Z</dcterms:created>
  <dcterms:modified xsi:type="dcterms:W3CDTF">2018-05-24T17:01:00Z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id="kKLv1hlF"/&gt;&lt;style id="http://www.zotero.org/styles/modern-humanities-research-association" hasBibliography="1" bibliographyStyleHasBeenSet="1"/&gt;&lt;prefs&gt;&lt;pref name="noteType" value="1"/&gt;&lt;pref name=</vt:lpwstr>
  </property>
  <property fmtid="{D5CDD505-2E9C-101B-9397-08002B2CF9AE}" pid="3" name="ZOTERO_PREF_2">
    <vt:lpwstr>"fieldType" value="Field"/&gt;&lt;/prefs&gt;&lt;/data&gt;</vt:lpwstr>
  </property>
</Properties>
</file>