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CB3D3" w14:textId="77777777" w:rsidR="0082534D" w:rsidRPr="0082534D" w:rsidRDefault="0082534D" w:rsidP="0082534D">
      <w:pPr>
        <w:shd w:val="clear" w:color="auto" w:fill="FFFFFF"/>
        <w:spacing w:before="240" w:after="240" w:line="360" w:lineRule="atLeast"/>
        <w:jc w:val="center"/>
        <w:rPr>
          <w:rFonts w:ascii="Arial" w:eastAsia="Times New Roman" w:hAnsi="Arial" w:cs="Arial"/>
          <w:b/>
          <w:color w:val="444444"/>
          <w:sz w:val="36"/>
          <w:szCs w:val="36"/>
          <w:lang w:eastAsia="en-GB"/>
        </w:rPr>
      </w:pPr>
      <w:bookmarkStart w:id="0" w:name="_GoBack"/>
      <w:r w:rsidRPr="0082534D">
        <w:rPr>
          <w:rFonts w:ascii="Arial" w:eastAsia="Times New Roman" w:hAnsi="Arial" w:cs="Arial"/>
          <w:b/>
          <w:color w:val="444444"/>
          <w:sz w:val="36"/>
          <w:szCs w:val="36"/>
          <w:lang w:eastAsia="en-GB"/>
        </w:rPr>
        <w:t>Malfeasance in Public Office</w:t>
      </w:r>
    </w:p>
    <w:bookmarkEnd w:id="0"/>
    <w:p w14:paraId="0A2B4E1E" w14:textId="77777777" w:rsid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(CPS.gov.uk)</w:t>
      </w:r>
    </w:p>
    <w:p w14:paraId="3A608BAC" w14:textId="77777777" w:rsid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p>
    <w:p w14:paraId="24DB16DC"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This guidance describes the legal elements of the offence of misconduct in public office and how to apply them. It provides charging advice indicating the factors to consider when deciding if it is appropriate to charge the offence.</w:t>
      </w:r>
    </w:p>
    <w:p w14:paraId="0408B371" w14:textId="77777777" w:rsidR="0082534D" w:rsidRPr="0082534D" w:rsidRDefault="0082534D" w:rsidP="0082534D">
      <w:pPr>
        <w:shd w:val="clear" w:color="auto" w:fill="FFFFFF"/>
        <w:spacing w:after="100" w:afterAutospacing="1" w:line="240" w:lineRule="auto"/>
        <w:outlineLvl w:val="1"/>
        <w:rPr>
          <w:rFonts w:ascii="Arial" w:eastAsia="Times New Roman" w:hAnsi="Arial" w:cs="Arial"/>
          <w:b/>
          <w:bCs/>
          <w:color w:val="002554"/>
          <w:sz w:val="36"/>
          <w:szCs w:val="36"/>
          <w:lang w:eastAsia="en-GB"/>
        </w:rPr>
      </w:pPr>
      <w:bookmarkStart w:id="1" w:name="_Toc519523913"/>
      <w:bookmarkEnd w:id="1"/>
      <w:r w:rsidRPr="0082534D">
        <w:rPr>
          <w:rFonts w:ascii="Arial" w:eastAsia="Times New Roman" w:hAnsi="Arial" w:cs="Arial"/>
          <w:b/>
          <w:bCs/>
          <w:color w:val="002554"/>
          <w:sz w:val="36"/>
          <w:szCs w:val="36"/>
          <w:lang w:eastAsia="en-GB"/>
        </w:rPr>
        <w:t>Principle</w:t>
      </w:r>
    </w:p>
    <w:p w14:paraId="5CD8AE65" w14:textId="77777777" w:rsidR="0082534D" w:rsidRPr="0082534D" w:rsidRDefault="0082534D" w:rsidP="0082534D">
      <w:pPr>
        <w:shd w:val="clear" w:color="auto" w:fill="FFFFFF"/>
        <w:spacing w:after="100" w:afterAutospacing="1" w:line="240" w:lineRule="auto"/>
        <w:outlineLvl w:val="2"/>
        <w:rPr>
          <w:rFonts w:ascii="Arial" w:eastAsia="Times New Roman" w:hAnsi="Arial" w:cs="Arial"/>
          <w:b/>
          <w:bCs/>
          <w:color w:val="005DAA"/>
          <w:sz w:val="31"/>
          <w:szCs w:val="31"/>
          <w:lang w:eastAsia="en-GB"/>
        </w:rPr>
      </w:pPr>
      <w:bookmarkStart w:id="2" w:name="_Toc519523914"/>
      <w:bookmarkEnd w:id="2"/>
      <w:r w:rsidRPr="0082534D">
        <w:rPr>
          <w:rFonts w:ascii="Arial" w:eastAsia="Times New Roman" w:hAnsi="Arial" w:cs="Arial"/>
          <w:b/>
          <w:bCs/>
          <w:color w:val="005DAA"/>
          <w:sz w:val="31"/>
          <w:szCs w:val="31"/>
          <w:lang w:eastAsia="en-GB"/>
        </w:rPr>
        <w:t>Scope of the offence </w:t>
      </w:r>
    </w:p>
    <w:p w14:paraId="7FA7494E"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Misconduct in public office is an offence at common law triable only on indictment. It carries a maximum sentence of life imprisonment. It is an offence confined to those who are public office holders and is committed when the office holder acts (or fails to act) in a way that constitutes a breach of the duties of that office.</w:t>
      </w:r>
    </w:p>
    <w:p w14:paraId="4FB435C3"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Court of Appeal has made it clear that the offence should be strictly confined. It can raise complex and sometimes sensitive issues. Area Prosecutors should therefore consider seeking the advice of the Director’s Legal Advisor to resolve any uncertainty as to whether it would be appropriate to bring a prosecution for such an offence. </w:t>
      </w:r>
    </w:p>
    <w:p w14:paraId="4F7F6091" w14:textId="77777777" w:rsidR="0082534D" w:rsidRPr="0082534D" w:rsidRDefault="0082534D" w:rsidP="0082534D">
      <w:pPr>
        <w:shd w:val="clear" w:color="auto" w:fill="FFFFFF"/>
        <w:spacing w:after="100" w:afterAutospacing="1" w:line="240" w:lineRule="auto"/>
        <w:outlineLvl w:val="2"/>
        <w:rPr>
          <w:rFonts w:ascii="Arial" w:eastAsia="Times New Roman" w:hAnsi="Arial" w:cs="Arial"/>
          <w:b/>
          <w:bCs/>
          <w:color w:val="005DAA"/>
          <w:sz w:val="31"/>
          <w:szCs w:val="31"/>
          <w:lang w:eastAsia="en-GB"/>
        </w:rPr>
      </w:pPr>
      <w:bookmarkStart w:id="3" w:name="_Toc519523915"/>
      <w:bookmarkEnd w:id="3"/>
      <w:r w:rsidRPr="0082534D">
        <w:rPr>
          <w:rFonts w:ascii="Arial" w:eastAsia="Times New Roman" w:hAnsi="Arial" w:cs="Arial"/>
          <w:b/>
          <w:bCs/>
          <w:color w:val="005DAA"/>
          <w:sz w:val="31"/>
          <w:szCs w:val="31"/>
          <w:lang w:eastAsia="en-GB"/>
        </w:rPr>
        <w:t>Policy</w:t>
      </w:r>
    </w:p>
    <w:p w14:paraId="64A875A3"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Where there is clear evidence of one or more statutory offences, they should usually form the basis of the case, with the 'public office' element being put forward as an aggravating factor for sentencing purposes.</w:t>
      </w:r>
    </w:p>
    <w:p w14:paraId="2DB5DBB0"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decision of the Court of Appeal in </w:t>
      </w:r>
      <w:r w:rsidRPr="0082534D">
        <w:rPr>
          <w:rFonts w:ascii="Arial" w:eastAsia="Times New Roman" w:hAnsi="Arial" w:cs="Arial"/>
          <w:i/>
          <w:iCs/>
          <w:color w:val="444444"/>
          <w:sz w:val="24"/>
          <w:szCs w:val="24"/>
          <w:lang w:eastAsia="en-GB"/>
        </w:rPr>
        <w:t>Attorney General's Reference No 3 of 2003</w:t>
      </w:r>
      <w:r w:rsidRPr="0082534D">
        <w:rPr>
          <w:rFonts w:ascii="Arial" w:eastAsia="Times New Roman" w:hAnsi="Arial" w:cs="Arial"/>
          <w:color w:val="444444"/>
          <w:sz w:val="24"/>
          <w:szCs w:val="24"/>
          <w:lang w:eastAsia="en-GB"/>
        </w:rPr>
        <w:t> [2004] EWCA Crim 868 does not go so far as to prohibit the use of misconduct in public office where there is a statutory offence available. There is, however, earlier authority for preferring the use of statutory offences over common law ones. In </w:t>
      </w:r>
      <w:r w:rsidRPr="0082534D">
        <w:rPr>
          <w:rFonts w:ascii="Arial" w:eastAsia="Times New Roman" w:hAnsi="Arial" w:cs="Arial"/>
          <w:i/>
          <w:iCs/>
          <w:color w:val="444444"/>
          <w:sz w:val="24"/>
          <w:szCs w:val="24"/>
          <w:lang w:eastAsia="en-GB"/>
        </w:rPr>
        <w:t>R v Hall</w:t>
      </w:r>
      <w:r w:rsidRPr="0082534D">
        <w:rPr>
          <w:rFonts w:ascii="Arial" w:eastAsia="Times New Roman" w:hAnsi="Arial" w:cs="Arial"/>
          <w:color w:val="444444"/>
          <w:sz w:val="24"/>
          <w:szCs w:val="24"/>
          <w:lang w:eastAsia="en-GB"/>
        </w:rPr>
        <w:t> (1891) 1 QB 747 the court held that where a statute creates (or recreates) a duty and prescribes a particular penalty for a wilful neglect of that duty ‘the remedy by indictment is excluded’. </w:t>
      </w:r>
    </w:p>
    <w:p w14:paraId="34B9B0E0"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 xml:space="preserve">R v </w:t>
      </w:r>
      <w:proofErr w:type="spellStart"/>
      <w:r w:rsidRPr="0082534D">
        <w:rPr>
          <w:rFonts w:ascii="Arial" w:eastAsia="Times New Roman" w:hAnsi="Arial" w:cs="Arial"/>
          <w:i/>
          <w:iCs/>
          <w:color w:val="444444"/>
          <w:sz w:val="24"/>
          <w:szCs w:val="24"/>
          <w:lang w:eastAsia="en-GB"/>
        </w:rPr>
        <w:t>Rimmington</w:t>
      </w:r>
      <w:proofErr w:type="spellEnd"/>
      <w:r w:rsidRPr="0082534D">
        <w:rPr>
          <w:rFonts w:ascii="Arial" w:eastAsia="Times New Roman" w:hAnsi="Arial" w:cs="Arial"/>
          <w:i/>
          <w:iCs/>
          <w:color w:val="444444"/>
          <w:sz w:val="24"/>
          <w:szCs w:val="24"/>
          <w:lang w:eastAsia="en-GB"/>
        </w:rPr>
        <w:t>, R v Goldstein</w:t>
      </w:r>
      <w:r w:rsidRPr="0082534D">
        <w:rPr>
          <w:rFonts w:ascii="Arial" w:eastAsia="Times New Roman" w:hAnsi="Arial" w:cs="Arial"/>
          <w:color w:val="444444"/>
          <w:sz w:val="24"/>
          <w:szCs w:val="24"/>
          <w:lang w:eastAsia="en-GB"/>
        </w:rPr>
        <w:t> [2005] UKHL63 at paragraph 30 the House of Lords confirmed this approach, saying: </w:t>
      </w:r>
    </w:p>
    <w:p w14:paraId="52C35538"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lastRenderedPageBreak/>
        <w:t>“…good practice and respect for the primacy of statute…require that conduct falling within the terms of a specific statutory provision should be prosecuted under that provision unless there is good reason for doing otherwise.</w:t>
      </w:r>
      <w:r w:rsidRPr="0082534D">
        <w:rPr>
          <w:rFonts w:ascii="Arial" w:eastAsia="Times New Roman" w:hAnsi="Arial" w:cs="Arial"/>
          <w:color w:val="444444"/>
          <w:sz w:val="24"/>
          <w:szCs w:val="24"/>
          <w:lang w:eastAsia="en-GB"/>
        </w:rPr>
        <w:t>”</w:t>
      </w:r>
    </w:p>
    <w:p w14:paraId="2AA92900"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use of the common law offence should therefore be limited to the following situations: </w:t>
      </w:r>
    </w:p>
    <w:p w14:paraId="3696AECE" w14:textId="77777777" w:rsidR="0082534D" w:rsidRPr="0082534D" w:rsidRDefault="0082534D" w:rsidP="0082534D">
      <w:pPr>
        <w:numPr>
          <w:ilvl w:val="0"/>
          <w:numId w:val="1"/>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Where there is no relevant statutory offence, but the behaviour or the circumstances are such that they should nevertheless be treated as criminal; </w:t>
      </w:r>
    </w:p>
    <w:p w14:paraId="4DBCEB74" w14:textId="77777777" w:rsidR="0082534D" w:rsidRPr="0082534D" w:rsidRDefault="0082534D" w:rsidP="0082534D">
      <w:pPr>
        <w:numPr>
          <w:ilvl w:val="0"/>
          <w:numId w:val="1"/>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Where there is a statutory offence, but it would be difficult or inappropriate to use it. This might arise because of evidential difficulties in proving the statutory offence in the particular circumstances; or because the maximum sentence for the statutory offence would be entirely insufficient for the seriousness of the misconduct.</w:t>
      </w:r>
    </w:p>
    <w:p w14:paraId="63A19A14" w14:textId="77777777" w:rsidR="0082534D" w:rsidRPr="0082534D" w:rsidRDefault="0082534D" w:rsidP="0082534D">
      <w:pPr>
        <w:shd w:val="clear" w:color="auto" w:fill="FFFFFF"/>
        <w:spacing w:before="100" w:beforeAutospacing="1" w:after="100" w:afterAutospacing="1" w:line="240" w:lineRule="auto"/>
        <w:outlineLvl w:val="1"/>
        <w:rPr>
          <w:rFonts w:ascii="Arial" w:eastAsia="Times New Roman" w:hAnsi="Arial" w:cs="Arial"/>
          <w:b/>
          <w:bCs/>
          <w:color w:val="002554"/>
          <w:sz w:val="36"/>
          <w:szCs w:val="36"/>
          <w:lang w:eastAsia="en-GB"/>
        </w:rPr>
      </w:pPr>
      <w:bookmarkStart w:id="4" w:name="_Toc519523916"/>
      <w:bookmarkEnd w:id="4"/>
      <w:r w:rsidRPr="0082534D">
        <w:rPr>
          <w:rFonts w:ascii="Arial" w:eastAsia="Times New Roman" w:hAnsi="Arial" w:cs="Arial"/>
          <w:b/>
          <w:bCs/>
          <w:color w:val="002554"/>
          <w:sz w:val="36"/>
          <w:szCs w:val="36"/>
          <w:lang w:eastAsia="en-GB"/>
        </w:rPr>
        <w:t>Definition of the Offence</w:t>
      </w:r>
    </w:p>
    <w:p w14:paraId="49A0E268"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elements of the offence are summarised in </w:t>
      </w:r>
      <w:r w:rsidRPr="0082534D">
        <w:rPr>
          <w:rFonts w:ascii="Arial" w:eastAsia="Times New Roman" w:hAnsi="Arial" w:cs="Arial"/>
          <w:i/>
          <w:iCs/>
          <w:color w:val="444444"/>
          <w:sz w:val="24"/>
          <w:szCs w:val="24"/>
          <w:lang w:eastAsia="en-GB"/>
        </w:rPr>
        <w:t>Attorney General's Reference No 3 of 2003</w:t>
      </w:r>
      <w:r w:rsidRPr="0082534D">
        <w:rPr>
          <w:rFonts w:ascii="Arial" w:eastAsia="Times New Roman" w:hAnsi="Arial" w:cs="Arial"/>
          <w:color w:val="444444"/>
          <w:sz w:val="24"/>
          <w:szCs w:val="24"/>
          <w:lang w:eastAsia="en-GB"/>
        </w:rPr>
        <w:t> [2004] EWCA Crim 868.</w:t>
      </w:r>
    </w:p>
    <w:p w14:paraId="3C1A9443"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offence is committed when:</w:t>
      </w:r>
    </w:p>
    <w:p w14:paraId="62B69811" w14:textId="77777777" w:rsidR="0082534D" w:rsidRPr="0082534D" w:rsidRDefault="0082534D" w:rsidP="0082534D">
      <w:pPr>
        <w:numPr>
          <w:ilvl w:val="0"/>
          <w:numId w:val="2"/>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a public officer acting as such; </w:t>
      </w:r>
    </w:p>
    <w:p w14:paraId="11F4BA31" w14:textId="77777777" w:rsidR="0082534D" w:rsidRPr="0082534D" w:rsidRDefault="0082534D" w:rsidP="0082534D">
      <w:pPr>
        <w:numPr>
          <w:ilvl w:val="0"/>
          <w:numId w:val="2"/>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wilfully neglects to perform his duty and/or wilfully misconducts himself; </w:t>
      </w:r>
    </w:p>
    <w:p w14:paraId="7497A07F" w14:textId="77777777" w:rsidR="0082534D" w:rsidRPr="0082534D" w:rsidRDefault="0082534D" w:rsidP="0082534D">
      <w:pPr>
        <w:numPr>
          <w:ilvl w:val="0"/>
          <w:numId w:val="2"/>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to such a degree as to amount to an abuse of the public's trust in the office holder; </w:t>
      </w:r>
    </w:p>
    <w:p w14:paraId="77F518E7" w14:textId="77777777" w:rsidR="0082534D" w:rsidRPr="0082534D" w:rsidRDefault="0082534D" w:rsidP="0082534D">
      <w:pPr>
        <w:numPr>
          <w:ilvl w:val="0"/>
          <w:numId w:val="2"/>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proofErr w:type="gramStart"/>
      <w:r w:rsidRPr="0082534D">
        <w:rPr>
          <w:rFonts w:ascii="Arial" w:eastAsia="Times New Roman" w:hAnsi="Arial" w:cs="Arial"/>
          <w:color w:val="444444"/>
          <w:sz w:val="24"/>
          <w:szCs w:val="24"/>
          <w:lang w:eastAsia="en-GB"/>
        </w:rPr>
        <w:t>without</w:t>
      </w:r>
      <w:proofErr w:type="gramEnd"/>
      <w:r w:rsidRPr="0082534D">
        <w:rPr>
          <w:rFonts w:ascii="Arial" w:eastAsia="Times New Roman" w:hAnsi="Arial" w:cs="Arial"/>
          <w:color w:val="444444"/>
          <w:sz w:val="24"/>
          <w:szCs w:val="24"/>
          <w:lang w:eastAsia="en-GB"/>
        </w:rPr>
        <w:t xml:space="preserve"> reasonable excuse or justification.</w:t>
      </w:r>
    </w:p>
    <w:p w14:paraId="10C93DFF" w14:textId="77777777" w:rsidR="0082534D" w:rsidRPr="0082534D" w:rsidRDefault="0082534D" w:rsidP="0082534D">
      <w:pPr>
        <w:shd w:val="clear" w:color="auto" w:fill="FFFFFF"/>
        <w:spacing w:before="100" w:beforeAutospacing="1" w:after="100" w:afterAutospacing="1" w:line="240" w:lineRule="auto"/>
        <w:outlineLvl w:val="1"/>
        <w:rPr>
          <w:rFonts w:ascii="Arial" w:eastAsia="Times New Roman" w:hAnsi="Arial" w:cs="Arial"/>
          <w:b/>
          <w:bCs/>
          <w:color w:val="002554"/>
          <w:sz w:val="36"/>
          <w:szCs w:val="36"/>
          <w:lang w:eastAsia="en-GB"/>
        </w:rPr>
      </w:pPr>
      <w:r w:rsidRPr="0082534D">
        <w:rPr>
          <w:rFonts w:ascii="Arial" w:eastAsia="Times New Roman" w:hAnsi="Arial" w:cs="Arial"/>
          <w:b/>
          <w:bCs/>
          <w:color w:val="002554"/>
          <w:sz w:val="36"/>
          <w:szCs w:val="36"/>
          <w:lang w:eastAsia="en-GB"/>
        </w:rPr>
        <w:t>A Public Officer </w:t>
      </w:r>
    </w:p>
    <w:p w14:paraId="135C1EA8"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prosecution must have evidence to show that the suspect is a 'public officer'. There is no simple definition and each case must be assessed individually, taking into account the nature of the role, the duties carried out and the level of public trust involved. </w:t>
      </w:r>
    </w:p>
    <w:p w14:paraId="5010BD4A"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courts have been reluctant to provide a detailed definition of a public officer. The case law contains an element of circularity, in that the cases tend to define a public officer as a person who carries out a public duty or has an office of trust. What may constitute a public duty or an office of trust must therefore be inferred from the facts of particular cases. </w:t>
      </w:r>
    </w:p>
    <w:p w14:paraId="2D3AAACF"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judgment of Lord Mansfield in </w:t>
      </w:r>
      <w:r w:rsidRPr="0082534D">
        <w:rPr>
          <w:rFonts w:ascii="Arial" w:eastAsia="Times New Roman" w:hAnsi="Arial" w:cs="Arial"/>
          <w:i/>
          <w:iCs/>
          <w:color w:val="444444"/>
          <w:sz w:val="24"/>
          <w:szCs w:val="24"/>
          <w:lang w:eastAsia="en-GB"/>
        </w:rPr>
        <w:t xml:space="preserve">R v </w:t>
      </w:r>
      <w:proofErr w:type="spellStart"/>
      <w:r w:rsidRPr="0082534D">
        <w:rPr>
          <w:rFonts w:ascii="Arial" w:eastAsia="Times New Roman" w:hAnsi="Arial" w:cs="Arial"/>
          <w:i/>
          <w:iCs/>
          <w:color w:val="444444"/>
          <w:sz w:val="24"/>
          <w:szCs w:val="24"/>
          <w:lang w:eastAsia="en-GB"/>
        </w:rPr>
        <w:t>Bembridge</w:t>
      </w:r>
      <w:proofErr w:type="spellEnd"/>
      <w:r w:rsidRPr="0082534D">
        <w:rPr>
          <w:rFonts w:ascii="Arial" w:eastAsia="Times New Roman" w:hAnsi="Arial" w:cs="Arial"/>
          <w:i/>
          <w:iCs/>
          <w:color w:val="444444"/>
          <w:sz w:val="24"/>
          <w:szCs w:val="24"/>
          <w:lang w:eastAsia="en-GB"/>
        </w:rPr>
        <w:t> </w:t>
      </w:r>
      <w:r w:rsidRPr="0082534D">
        <w:rPr>
          <w:rFonts w:ascii="Arial" w:eastAsia="Times New Roman" w:hAnsi="Arial" w:cs="Arial"/>
          <w:color w:val="444444"/>
          <w:sz w:val="24"/>
          <w:szCs w:val="24"/>
          <w:lang w:eastAsia="en-GB"/>
        </w:rPr>
        <w:t>(1783) 3 Doug KB 32 refers to a public officer having: </w:t>
      </w:r>
    </w:p>
    <w:p w14:paraId="3EB78265"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lastRenderedPageBreak/>
        <w:t xml:space="preserve">'… </w:t>
      </w:r>
      <w:proofErr w:type="gramStart"/>
      <w:r w:rsidRPr="0082534D">
        <w:rPr>
          <w:rFonts w:ascii="Arial" w:eastAsia="Times New Roman" w:hAnsi="Arial" w:cs="Arial"/>
          <w:color w:val="444444"/>
          <w:sz w:val="24"/>
          <w:szCs w:val="24"/>
          <w:lang w:eastAsia="en-GB"/>
        </w:rPr>
        <w:t>an</w:t>
      </w:r>
      <w:proofErr w:type="gramEnd"/>
      <w:r w:rsidRPr="0082534D">
        <w:rPr>
          <w:rFonts w:ascii="Arial" w:eastAsia="Times New Roman" w:hAnsi="Arial" w:cs="Arial"/>
          <w:color w:val="444444"/>
          <w:sz w:val="24"/>
          <w:szCs w:val="24"/>
          <w:lang w:eastAsia="en-GB"/>
        </w:rPr>
        <w:t xml:space="preserve"> office of trust concerning the public, especially if attended with profit ... by whomever and in whatever way the officer is appointed'. </w:t>
      </w:r>
    </w:p>
    <w:p w14:paraId="21122333"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It does not seem that the person concerned must be the holder of an 'office' in a narrow or technical sense. The authorities suggest that it is the nature of the duties and the level of public trust involved that are relevant, rather than the manner or nature of appointment.</w:t>
      </w:r>
    </w:p>
    <w:p w14:paraId="4FDD327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R v Whitaker </w:t>
      </w:r>
      <w:r w:rsidRPr="0082534D">
        <w:rPr>
          <w:rFonts w:ascii="Arial" w:eastAsia="Times New Roman" w:hAnsi="Arial" w:cs="Arial"/>
          <w:color w:val="444444"/>
          <w:sz w:val="24"/>
          <w:szCs w:val="24"/>
          <w:lang w:eastAsia="en-GB"/>
        </w:rPr>
        <w:t>(1914) KB 1283 the court said: </w:t>
      </w:r>
    </w:p>
    <w:p w14:paraId="73E50DDC"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'A public office holder is an officer who discharges any duty in the discharge of which the public are interested, more clearly so if he is paid out of a fund provided by the public.'</w:t>
      </w:r>
    </w:p>
    <w:p w14:paraId="3551B7F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This approach was followed in a series of cases from other common law jurisdictions: </w:t>
      </w:r>
      <w:r w:rsidRPr="0082534D">
        <w:rPr>
          <w:rFonts w:ascii="Arial" w:eastAsia="Times New Roman" w:hAnsi="Arial" w:cs="Arial"/>
          <w:i/>
          <w:iCs/>
          <w:color w:val="444444"/>
          <w:sz w:val="24"/>
          <w:szCs w:val="24"/>
          <w:lang w:eastAsia="en-GB"/>
        </w:rPr>
        <w:t>R v Williams </w:t>
      </w:r>
      <w:r w:rsidRPr="0082534D">
        <w:rPr>
          <w:rFonts w:ascii="Arial" w:eastAsia="Times New Roman" w:hAnsi="Arial" w:cs="Arial"/>
          <w:color w:val="444444"/>
          <w:sz w:val="24"/>
          <w:szCs w:val="24"/>
          <w:lang w:eastAsia="en-GB"/>
        </w:rPr>
        <w:t>(1986) 39 WIR 129; </w:t>
      </w:r>
      <w:r w:rsidRPr="0082534D">
        <w:rPr>
          <w:rFonts w:ascii="Arial" w:eastAsia="Times New Roman" w:hAnsi="Arial" w:cs="Arial"/>
          <w:i/>
          <w:iCs/>
          <w:color w:val="444444"/>
          <w:sz w:val="24"/>
          <w:szCs w:val="24"/>
          <w:lang w:eastAsia="en-GB"/>
        </w:rPr>
        <w:t>R v Sacks </w:t>
      </w:r>
      <w:r w:rsidRPr="0082534D">
        <w:rPr>
          <w:rFonts w:ascii="Arial" w:eastAsia="Times New Roman" w:hAnsi="Arial" w:cs="Arial"/>
          <w:color w:val="444444"/>
          <w:sz w:val="24"/>
          <w:szCs w:val="24"/>
          <w:lang w:eastAsia="en-GB"/>
        </w:rPr>
        <w:t>[1943] SALR 413; </w:t>
      </w:r>
      <w:r w:rsidRPr="0082534D">
        <w:rPr>
          <w:rFonts w:ascii="Arial" w:eastAsia="Times New Roman" w:hAnsi="Arial" w:cs="Arial"/>
          <w:i/>
          <w:iCs/>
          <w:color w:val="444444"/>
          <w:sz w:val="24"/>
          <w:szCs w:val="24"/>
          <w:lang w:eastAsia="en-GB"/>
        </w:rPr>
        <w:t>R v Boston</w:t>
      </w:r>
      <w:r w:rsidRPr="0082534D">
        <w:rPr>
          <w:rFonts w:ascii="Arial" w:eastAsia="Times New Roman" w:hAnsi="Arial" w:cs="Arial"/>
          <w:color w:val="444444"/>
          <w:sz w:val="24"/>
          <w:szCs w:val="24"/>
          <w:lang w:eastAsia="en-GB"/>
        </w:rPr>
        <w:t> (1923) 33 CLR 386. </w:t>
      </w:r>
    </w:p>
    <w:p w14:paraId="1B0A7EAE"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 xml:space="preserve">R v </w:t>
      </w:r>
      <w:proofErr w:type="spellStart"/>
      <w:r w:rsidRPr="0082534D">
        <w:rPr>
          <w:rFonts w:ascii="Arial" w:eastAsia="Times New Roman" w:hAnsi="Arial" w:cs="Arial"/>
          <w:i/>
          <w:iCs/>
          <w:color w:val="444444"/>
          <w:sz w:val="24"/>
          <w:szCs w:val="24"/>
          <w:lang w:eastAsia="en-GB"/>
        </w:rPr>
        <w:t>Dytham</w:t>
      </w:r>
      <w:proofErr w:type="spellEnd"/>
      <w:r w:rsidRPr="0082534D">
        <w:rPr>
          <w:rFonts w:ascii="Arial" w:eastAsia="Times New Roman" w:hAnsi="Arial" w:cs="Arial"/>
          <w:i/>
          <w:iCs/>
          <w:color w:val="444444"/>
          <w:sz w:val="24"/>
          <w:szCs w:val="24"/>
          <w:lang w:eastAsia="en-GB"/>
        </w:rPr>
        <w:t> </w:t>
      </w:r>
      <w:r w:rsidRPr="0082534D">
        <w:rPr>
          <w:rFonts w:ascii="Arial" w:eastAsia="Times New Roman" w:hAnsi="Arial" w:cs="Arial"/>
          <w:color w:val="444444"/>
          <w:sz w:val="24"/>
          <w:szCs w:val="24"/>
          <w:lang w:eastAsia="en-GB"/>
        </w:rPr>
        <w:t xml:space="preserve">(1979) 1 QB 723 Lord </w:t>
      </w:r>
      <w:proofErr w:type="spellStart"/>
      <w:r w:rsidRPr="0082534D">
        <w:rPr>
          <w:rFonts w:ascii="Arial" w:eastAsia="Times New Roman" w:hAnsi="Arial" w:cs="Arial"/>
          <w:color w:val="444444"/>
          <w:sz w:val="24"/>
          <w:szCs w:val="24"/>
          <w:lang w:eastAsia="en-GB"/>
        </w:rPr>
        <w:t>Widgery</w:t>
      </w:r>
      <w:proofErr w:type="spellEnd"/>
      <w:r w:rsidRPr="0082534D">
        <w:rPr>
          <w:rFonts w:ascii="Arial" w:eastAsia="Times New Roman" w:hAnsi="Arial" w:cs="Arial"/>
          <w:color w:val="444444"/>
          <w:sz w:val="24"/>
          <w:szCs w:val="24"/>
          <w:lang w:eastAsia="en-GB"/>
        </w:rPr>
        <w:t xml:space="preserve"> CJ talked of 'a public officer who has an obligation to perform a duty'. </w:t>
      </w:r>
    </w:p>
    <w:p w14:paraId="7CAAA2CA"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Remuneration is a significant factor, but not an essential element. In </w:t>
      </w:r>
      <w:r w:rsidRPr="0082534D">
        <w:rPr>
          <w:rFonts w:ascii="Arial" w:eastAsia="Times New Roman" w:hAnsi="Arial" w:cs="Arial"/>
          <w:i/>
          <w:iCs/>
          <w:color w:val="444444"/>
          <w:sz w:val="24"/>
          <w:szCs w:val="24"/>
          <w:lang w:eastAsia="en-GB"/>
        </w:rPr>
        <w:t>R v Belton </w:t>
      </w:r>
      <w:r w:rsidRPr="0082534D">
        <w:rPr>
          <w:rFonts w:ascii="Arial" w:eastAsia="Times New Roman" w:hAnsi="Arial" w:cs="Arial"/>
          <w:color w:val="444444"/>
          <w:sz w:val="24"/>
          <w:szCs w:val="24"/>
          <w:lang w:eastAsia="en-GB"/>
        </w:rPr>
        <w:t>[2010] WLR (D) 283 the defendant was an unpaid voluntary member of the Independent Monitoring Board. The Court of Appeal held that remuneration was not an indispensable requirement for the holding of a public office, or for liability to prosecution for the offence of misconduct in a public office. </w:t>
      </w:r>
    </w:p>
    <w:p w14:paraId="39340775"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fact that an individual was a volunteer might have a bearing on whether there had been wilful misconduct, but was only indicative, rather than determinative, of whether an individual held a public office.</w:t>
      </w:r>
    </w:p>
    <w:p w14:paraId="1C0EF8E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court in </w:t>
      </w:r>
      <w:r w:rsidRPr="0082534D">
        <w:rPr>
          <w:rFonts w:ascii="Arial" w:eastAsia="Times New Roman" w:hAnsi="Arial" w:cs="Arial"/>
          <w:i/>
          <w:iCs/>
          <w:color w:val="444444"/>
          <w:sz w:val="24"/>
          <w:szCs w:val="24"/>
          <w:lang w:eastAsia="en-GB"/>
        </w:rPr>
        <w:t>Attorney General's Reference No 3 of 2003 </w:t>
      </w:r>
      <w:r w:rsidRPr="0082534D">
        <w:rPr>
          <w:rFonts w:ascii="Arial" w:eastAsia="Times New Roman" w:hAnsi="Arial" w:cs="Arial"/>
          <w:color w:val="444444"/>
          <w:sz w:val="24"/>
          <w:szCs w:val="24"/>
          <w:lang w:eastAsia="en-GB"/>
        </w:rPr>
        <w:t>[2004] EWCA Crim 868 referred to the unfairness that could arise where people who carry out similar duties may or may not be liable to prosecution depending on whether they can be defined as 'public officers'. What were once purely public functions are now frequently carried out by employees in private employment. An example is the role of the court security officer. </w:t>
      </w:r>
    </w:p>
    <w:p w14:paraId="056EC6BA"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court declined to define a public officer, however, but said:</w:t>
      </w:r>
    </w:p>
    <w:p w14:paraId="05CA922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lastRenderedPageBreak/>
        <w:t>'This potential unfairness adds weight, in our view, to the conclusion that the offence should be strictly confined but we do not propose to develop the point or to consider further the question of what, for present purposes, constitutes a public office.' </w:t>
      </w:r>
    </w:p>
    <w:p w14:paraId="4754DD8B"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proofErr w:type="spellStart"/>
      <w:r w:rsidRPr="0082534D">
        <w:rPr>
          <w:rFonts w:ascii="Arial" w:eastAsia="Times New Roman" w:hAnsi="Arial" w:cs="Arial"/>
          <w:i/>
          <w:iCs/>
          <w:color w:val="444444"/>
          <w:sz w:val="24"/>
          <w:szCs w:val="24"/>
          <w:lang w:eastAsia="en-GB"/>
        </w:rPr>
        <w:t>Cosford</w:t>
      </w:r>
      <w:proofErr w:type="spellEnd"/>
      <w:r w:rsidRPr="0082534D">
        <w:rPr>
          <w:rFonts w:ascii="Arial" w:eastAsia="Times New Roman" w:hAnsi="Arial" w:cs="Arial"/>
          <w:i/>
          <w:iCs/>
          <w:color w:val="444444"/>
          <w:sz w:val="24"/>
          <w:szCs w:val="24"/>
          <w:lang w:eastAsia="en-GB"/>
        </w:rPr>
        <w:t> </w:t>
      </w:r>
      <w:r w:rsidRPr="0082534D">
        <w:rPr>
          <w:rFonts w:ascii="Arial" w:eastAsia="Times New Roman" w:hAnsi="Arial" w:cs="Arial"/>
          <w:color w:val="444444"/>
          <w:sz w:val="24"/>
          <w:szCs w:val="24"/>
          <w:lang w:eastAsia="en-GB"/>
        </w:rPr>
        <w:t xml:space="preserve">[2013] EWCA Crim 466, [2014] QB 81, the court had to decide whether nurses working in a prison were public officers. Lord Justice </w:t>
      </w:r>
      <w:proofErr w:type="spellStart"/>
      <w:r w:rsidRPr="0082534D">
        <w:rPr>
          <w:rFonts w:ascii="Arial" w:eastAsia="Times New Roman" w:hAnsi="Arial" w:cs="Arial"/>
          <w:color w:val="444444"/>
          <w:sz w:val="24"/>
          <w:szCs w:val="24"/>
          <w:lang w:eastAsia="en-GB"/>
        </w:rPr>
        <w:t>Leveson</w:t>
      </w:r>
      <w:proofErr w:type="spellEnd"/>
      <w:r w:rsidRPr="0082534D">
        <w:rPr>
          <w:rFonts w:ascii="Arial" w:eastAsia="Times New Roman" w:hAnsi="Arial" w:cs="Arial"/>
          <w:color w:val="444444"/>
          <w:sz w:val="24"/>
          <w:szCs w:val="24"/>
          <w:lang w:eastAsia="en-GB"/>
        </w:rPr>
        <w:t xml:space="preserve"> concluded that they were public officers (whether directly employed by the prison service or by a private company contracting with the prison service). He held that the limit on the scope of who is a public officer should not be focused on the position held by the defendant, rather: </w:t>
      </w:r>
    </w:p>
    <w:p w14:paraId="1DC40A5F"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‘It should be addressed to the nature of the duty undertaken and, in particular, whether it is a public duty in the sense that it represents the fulfilment of one of the responsibilities of government such that the public have a significant interest in its discharge extending beyond an interest in anyone who might be directly affected by a serious failure in the performance of the duty’. </w:t>
      </w:r>
    </w:p>
    <w:p w14:paraId="04CE8F1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Mitchell </w:t>
      </w:r>
      <w:r w:rsidRPr="0082534D">
        <w:rPr>
          <w:rFonts w:ascii="Arial" w:eastAsia="Times New Roman" w:hAnsi="Arial" w:cs="Arial"/>
          <w:color w:val="444444"/>
          <w:sz w:val="24"/>
          <w:szCs w:val="24"/>
          <w:lang w:eastAsia="en-GB"/>
        </w:rPr>
        <w:t xml:space="preserve">[2014] EWCA Crim 318, [2014] 2 Cr App R 2 the Court of Appeal had to decide whether an ambulance paramedic was a public officer. Lord Justice </w:t>
      </w:r>
      <w:proofErr w:type="spellStart"/>
      <w:r w:rsidRPr="0082534D">
        <w:rPr>
          <w:rFonts w:ascii="Arial" w:eastAsia="Times New Roman" w:hAnsi="Arial" w:cs="Arial"/>
          <w:color w:val="444444"/>
          <w:sz w:val="24"/>
          <w:szCs w:val="24"/>
          <w:lang w:eastAsia="en-GB"/>
        </w:rPr>
        <w:t>Leveson</w:t>
      </w:r>
      <w:proofErr w:type="spellEnd"/>
      <w:r w:rsidRPr="0082534D">
        <w:rPr>
          <w:rFonts w:ascii="Arial" w:eastAsia="Times New Roman" w:hAnsi="Arial" w:cs="Arial"/>
          <w:color w:val="444444"/>
          <w:sz w:val="24"/>
          <w:szCs w:val="24"/>
          <w:lang w:eastAsia="en-GB"/>
        </w:rPr>
        <w:t xml:space="preserve"> stated the correct approach was to ask three questions: </w:t>
      </w:r>
    </w:p>
    <w:p w14:paraId="03534DA1"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‘First, what was the position held? Second, what is the nature of the duties undertaken by the employee or officer in that position? Third, does the fulfilment of those duties represent the fulfilment of one of the responsibilities of government such that the public have a significant interest in the discharge of the duty which is additional to or beyond an interest in anyone who might be directly affected by a serious failure in the performance of that duty? If the answer to this last question is “yes”, the relevant employee or officer is acting as a public officer; if “no”, he or she is not acting as a public officer.’ </w:t>
      </w:r>
    </w:p>
    <w:p w14:paraId="2DD5D3C9"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following have been accepted as holding a public office by the courts over several centuries: </w:t>
      </w:r>
    </w:p>
    <w:p w14:paraId="7F2A85A2"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Coroner</w:t>
      </w:r>
      <w:r w:rsidRPr="0082534D">
        <w:rPr>
          <w:rFonts w:ascii="Arial" w:eastAsia="Times New Roman" w:hAnsi="Arial" w:cs="Arial"/>
          <w:color w:val="444444"/>
          <w:sz w:val="24"/>
          <w:szCs w:val="24"/>
          <w:lang w:eastAsia="en-GB"/>
        </w:rPr>
        <w:t> (1675) Parker 2 Lev 140</w:t>
      </w:r>
    </w:p>
    <w:p w14:paraId="1D5590DD"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Constable</w:t>
      </w:r>
      <w:r w:rsidRPr="0082534D">
        <w:rPr>
          <w:rFonts w:ascii="Arial" w:eastAsia="Times New Roman" w:hAnsi="Arial" w:cs="Arial"/>
          <w:color w:val="444444"/>
          <w:sz w:val="24"/>
          <w:szCs w:val="24"/>
          <w:lang w:eastAsia="en-GB"/>
        </w:rPr>
        <w:t> (1703) Wyatt 1 Salk 380</w:t>
      </w:r>
    </w:p>
    <w:p w14:paraId="76A32F3F"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Accountant in the office of the Paymaster General</w:t>
      </w:r>
      <w:r w:rsidRPr="0082534D">
        <w:rPr>
          <w:rFonts w:ascii="Arial" w:eastAsia="Times New Roman" w:hAnsi="Arial" w:cs="Arial"/>
          <w:color w:val="444444"/>
          <w:sz w:val="24"/>
          <w:szCs w:val="24"/>
          <w:lang w:eastAsia="en-GB"/>
        </w:rPr>
        <w:t xml:space="preserve"> (1783) </w:t>
      </w:r>
      <w:proofErr w:type="spellStart"/>
      <w:r w:rsidRPr="0082534D">
        <w:rPr>
          <w:rFonts w:ascii="Arial" w:eastAsia="Times New Roman" w:hAnsi="Arial" w:cs="Arial"/>
          <w:color w:val="444444"/>
          <w:sz w:val="24"/>
          <w:szCs w:val="24"/>
          <w:lang w:eastAsia="en-GB"/>
        </w:rPr>
        <w:t>Bembridge</w:t>
      </w:r>
      <w:proofErr w:type="spellEnd"/>
      <w:r w:rsidRPr="0082534D">
        <w:rPr>
          <w:rFonts w:ascii="Arial" w:eastAsia="Times New Roman" w:hAnsi="Arial" w:cs="Arial"/>
          <w:color w:val="444444"/>
          <w:sz w:val="24"/>
          <w:szCs w:val="24"/>
          <w:lang w:eastAsia="en-GB"/>
        </w:rPr>
        <w:t xml:space="preserve"> 3 Doug</w:t>
      </w:r>
    </w:p>
    <w:p w14:paraId="6D58703B"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K.B. 32</w:t>
      </w:r>
    </w:p>
    <w:p w14:paraId="74D67A72"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Justice of the Peace</w:t>
      </w:r>
      <w:r w:rsidRPr="0082534D">
        <w:rPr>
          <w:rFonts w:ascii="Arial" w:eastAsia="Times New Roman" w:hAnsi="Arial" w:cs="Arial"/>
          <w:color w:val="444444"/>
          <w:sz w:val="24"/>
          <w:szCs w:val="24"/>
          <w:lang w:eastAsia="en-GB"/>
        </w:rPr>
        <w:t> (1791) Sainsbury 4 T.R 451</w:t>
      </w:r>
    </w:p>
    <w:p w14:paraId="632460B9"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Executive or ministerial officer</w:t>
      </w:r>
      <w:r w:rsidRPr="0082534D">
        <w:rPr>
          <w:rFonts w:ascii="Arial" w:eastAsia="Times New Roman" w:hAnsi="Arial" w:cs="Arial"/>
          <w:color w:val="444444"/>
          <w:sz w:val="24"/>
          <w:szCs w:val="24"/>
          <w:lang w:eastAsia="en-GB"/>
        </w:rPr>
        <w:t xml:space="preserve"> (1819) R v Friar 1 </w:t>
      </w:r>
      <w:proofErr w:type="spellStart"/>
      <w:r w:rsidRPr="0082534D">
        <w:rPr>
          <w:rFonts w:ascii="Arial" w:eastAsia="Times New Roman" w:hAnsi="Arial" w:cs="Arial"/>
          <w:color w:val="444444"/>
          <w:sz w:val="24"/>
          <w:szCs w:val="24"/>
          <w:lang w:eastAsia="en-GB"/>
        </w:rPr>
        <w:t>Chit.Rep</w:t>
      </w:r>
      <w:proofErr w:type="spellEnd"/>
      <w:r w:rsidRPr="0082534D">
        <w:rPr>
          <w:rFonts w:ascii="Arial" w:eastAsia="Times New Roman" w:hAnsi="Arial" w:cs="Arial"/>
          <w:color w:val="444444"/>
          <w:sz w:val="24"/>
          <w:szCs w:val="24"/>
          <w:lang w:eastAsia="en-GB"/>
        </w:rPr>
        <w:t xml:space="preserve"> (KB) 702</w:t>
      </w:r>
    </w:p>
    <w:p w14:paraId="059F760C"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Gaoler</w:t>
      </w:r>
      <w:r w:rsidRPr="0082534D">
        <w:rPr>
          <w:rFonts w:ascii="Arial" w:eastAsia="Times New Roman" w:hAnsi="Arial" w:cs="Arial"/>
          <w:color w:val="444444"/>
          <w:sz w:val="24"/>
          <w:szCs w:val="24"/>
          <w:lang w:eastAsia="en-GB"/>
        </w:rPr>
        <w:t> (1827) Cope 6 A%E 226</w:t>
      </w:r>
    </w:p>
    <w:p w14:paraId="51805FDC"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lastRenderedPageBreak/>
        <w:t>Mayor or burgess</w:t>
      </w:r>
      <w:r w:rsidRPr="0082534D">
        <w:rPr>
          <w:rFonts w:ascii="Arial" w:eastAsia="Times New Roman" w:hAnsi="Arial" w:cs="Arial"/>
          <w:color w:val="444444"/>
          <w:sz w:val="24"/>
          <w:szCs w:val="24"/>
          <w:lang w:eastAsia="en-GB"/>
        </w:rPr>
        <w:t xml:space="preserve"> (1828) </w:t>
      </w:r>
      <w:proofErr w:type="spellStart"/>
      <w:r w:rsidRPr="0082534D">
        <w:rPr>
          <w:rFonts w:ascii="Arial" w:eastAsia="Times New Roman" w:hAnsi="Arial" w:cs="Arial"/>
          <w:color w:val="444444"/>
          <w:sz w:val="24"/>
          <w:szCs w:val="24"/>
          <w:lang w:eastAsia="en-GB"/>
        </w:rPr>
        <w:t>Henly</w:t>
      </w:r>
      <w:proofErr w:type="spellEnd"/>
      <w:r w:rsidRPr="0082534D">
        <w:rPr>
          <w:rFonts w:ascii="Arial" w:eastAsia="Times New Roman" w:hAnsi="Arial" w:cs="Arial"/>
          <w:color w:val="444444"/>
          <w:sz w:val="24"/>
          <w:szCs w:val="24"/>
          <w:lang w:eastAsia="en-GB"/>
        </w:rPr>
        <w:t xml:space="preserve"> v Mayor of Lyme 5 Bing 91</w:t>
      </w:r>
    </w:p>
    <w:p w14:paraId="44EA48EC"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 xml:space="preserve">Magistrates </w:t>
      </w:r>
      <w:proofErr w:type="spellStart"/>
      <w:r w:rsidRPr="0082534D">
        <w:rPr>
          <w:rFonts w:ascii="Arial" w:eastAsia="Times New Roman" w:hAnsi="Arial" w:cs="Arial"/>
          <w:i/>
          <w:iCs/>
          <w:color w:val="444444"/>
          <w:sz w:val="24"/>
          <w:szCs w:val="24"/>
          <w:lang w:eastAsia="en-GB"/>
        </w:rPr>
        <w:t>Pinney</w:t>
      </w:r>
      <w:proofErr w:type="spellEnd"/>
      <w:r w:rsidRPr="0082534D">
        <w:rPr>
          <w:rFonts w:ascii="Arial" w:eastAsia="Times New Roman" w:hAnsi="Arial" w:cs="Arial"/>
          <w:color w:val="444444"/>
          <w:sz w:val="24"/>
          <w:szCs w:val="24"/>
          <w:lang w:eastAsia="en-GB"/>
        </w:rPr>
        <w:t> (1832) 110 ER 349</w:t>
      </w:r>
    </w:p>
    <w:p w14:paraId="6AFC62F1"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Overseer of the poor</w:t>
      </w:r>
      <w:r w:rsidRPr="0082534D">
        <w:rPr>
          <w:rFonts w:ascii="Arial" w:eastAsia="Times New Roman" w:hAnsi="Arial" w:cs="Arial"/>
          <w:color w:val="444444"/>
          <w:sz w:val="24"/>
          <w:szCs w:val="24"/>
          <w:lang w:eastAsia="en-GB"/>
        </w:rPr>
        <w:t> (1891) Hall 1 QB 747</w:t>
      </w:r>
    </w:p>
    <w:p w14:paraId="6F6CB641"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Army officer</w:t>
      </w:r>
      <w:r w:rsidRPr="0082534D">
        <w:rPr>
          <w:rFonts w:ascii="Arial" w:eastAsia="Times New Roman" w:hAnsi="Arial" w:cs="Arial"/>
          <w:color w:val="444444"/>
          <w:sz w:val="24"/>
          <w:szCs w:val="24"/>
          <w:lang w:eastAsia="en-GB"/>
        </w:rPr>
        <w:t> (1914) Whitaker 10 Cr.App.R.245</w:t>
      </w:r>
    </w:p>
    <w:p w14:paraId="3898BB73"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County Court registrar (district judge)</w:t>
      </w:r>
      <w:r w:rsidRPr="0082534D">
        <w:rPr>
          <w:rFonts w:ascii="Arial" w:eastAsia="Times New Roman" w:hAnsi="Arial" w:cs="Arial"/>
          <w:color w:val="444444"/>
          <w:sz w:val="24"/>
          <w:szCs w:val="24"/>
          <w:lang w:eastAsia="en-GB"/>
        </w:rPr>
        <w:t> (1968) Llewellyn-Jones 1 Q.B.429</w:t>
      </w:r>
    </w:p>
    <w:p w14:paraId="565BEA8A"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Police officer</w:t>
      </w:r>
      <w:r w:rsidRPr="0082534D">
        <w:rPr>
          <w:rFonts w:ascii="Arial" w:eastAsia="Times New Roman" w:hAnsi="Arial" w:cs="Arial"/>
          <w:color w:val="444444"/>
          <w:sz w:val="24"/>
          <w:szCs w:val="24"/>
          <w:lang w:eastAsia="en-GB"/>
        </w:rPr>
        <w:t xml:space="preserve"> (1979) </w:t>
      </w:r>
      <w:proofErr w:type="spellStart"/>
      <w:r w:rsidRPr="0082534D">
        <w:rPr>
          <w:rFonts w:ascii="Arial" w:eastAsia="Times New Roman" w:hAnsi="Arial" w:cs="Arial"/>
          <w:color w:val="444444"/>
          <w:sz w:val="24"/>
          <w:szCs w:val="24"/>
          <w:lang w:eastAsia="en-GB"/>
        </w:rPr>
        <w:t>Dytham</w:t>
      </w:r>
      <w:proofErr w:type="spellEnd"/>
      <w:r w:rsidRPr="0082534D">
        <w:rPr>
          <w:rFonts w:ascii="Arial" w:eastAsia="Times New Roman" w:hAnsi="Arial" w:cs="Arial"/>
          <w:color w:val="444444"/>
          <w:sz w:val="24"/>
          <w:szCs w:val="24"/>
          <w:lang w:eastAsia="en-GB"/>
        </w:rPr>
        <w:t xml:space="preserve"> 69 Cr.App.R.387</w:t>
      </w:r>
    </w:p>
    <w:p w14:paraId="1F41A014"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Local authority employees</w:t>
      </w:r>
      <w:r w:rsidRPr="0082534D">
        <w:rPr>
          <w:rFonts w:ascii="Arial" w:eastAsia="Times New Roman" w:hAnsi="Arial" w:cs="Arial"/>
          <w:color w:val="444444"/>
          <w:sz w:val="24"/>
          <w:szCs w:val="24"/>
          <w:lang w:eastAsia="en-GB"/>
        </w:rPr>
        <w:t> (1995) Bowden 4 All E.R 505</w:t>
      </w:r>
    </w:p>
    <w:p w14:paraId="33A6E0FB"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 xml:space="preserve">DVLA employees </w:t>
      </w:r>
      <w:proofErr w:type="spellStart"/>
      <w:r w:rsidRPr="0082534D">
        <w:rPr>
          <w:rFonts w:ascii="Arial" w:eastAsia="Times New Roman" w:hAnsi="Arial" w:cs="Arial"/>
          <w:i/>
          <w:iCs/>
          <w:color w:val="444444"/>
          <w:sz w:val="24"/>
          <w:szCs w:val="24"/>
          <w:lang w:eastAsia="en-GB"/>
        </w:rPr>
        <w:t>Att</w:t>
      </w:r>
      <w:proofErr w:type="spellEnd"/>
      <w:r w:rsidRPr="0082534D">
        <w:rPr>
          <w:rFonts w:ascii="Arial" w:eastAsia="Times New Roman" w:hAnsi="Arial" w:cs="Arial"/>
          <w:i/>
          <w:iCs/>
          <w:color w:val="444444"/>
          <w:sz w:val="24"/>
          <w:szCs w:val="24"/>
          <w:lang w:eastAsia="en-GB"/>
        </w:rPr>
        <w:t xml:space="preserve"> Gen’s Ref (No 140 of 2004)</w:t>
      </w:r>
      <w:r w:rsidRPr="0082534D">
        <w:rPr>
          <w:rFonts w:ascii="Arial" w:eastAsia="Times New Roman" w:hAnsi="Arial" w:cs="Arial"/>
          <w:color w:val="444444"/>
          <w:sz w:val="24"/>
          <w:szCs w:val="24"/>
          <w:lang w:eastAsia="en-GB"/>
        </w:rPr>
        <w:t> [2004] EWCA Crim 3525</w:t>
      </w:r>
    </w:p>
    <w:p w14:paraId="2411BC20"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Police Community Support Officer Amar Iqbal</w:t>
      </w:r>
      <w:r w:rsidRPr="0082534D">
        <w:rPr>
          <w:rFonts w:ascii="Arial" w:eastAsia="Times New Roman" w:hAnsi="Arial" w:cs="Arial"/>
          <w:color w:val="444444"/>
          <w:sz w:val="24"/>
          <w:szCs w:val="24"/>
          <w:lang w:eastAsia="en-GB"/>
        </w:rPr>
        <w:t> [2008] EWCA Crim 2066</w:t>
      </w:r>
    </w:p>
    <w:p w14:paraId="576AE147"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Immigration officers </w:t>
      </w:r>
      <w:r w:rsidRPr="0082534D">
        <w:rPr>
          <w:rFonts w:ascii="Arial" w:eastAsia="Times New Roman" w:hAnsi="Arial" w:cs="Arial"/>
          <w:i/>
          <w:iCs/>
          <w:color w:val="444444"/>
          <w:sz w:val="24"/>
          <w:szCs w:val="24"/>
          <w:lang w:eastAsia="en-GB"/>
        </w:rPr>
        <w:t>John-Ayo</w:t>
      </w:r>
      <w:r w:rsidRPr="0082534D">
        <w:rPr>
          <w:rFonts w:ascii="Arial" w:eastAsia="Times New Roman" w:hAnsi="Arial" w:cs="Arial"/>
          <w:color w:val="444444"/>
          <w:sz w:val="24"/>
          <w:szCs w:val="24"/>
          <w:lang w:eastAsia="en-GB"/>
        </w:rPr>
        <w:t> [2009] 1 Cr App R (S) 71</w:t>
      </w:r>
    </w:p>
    <w:p w14:paraId="3A514FD6"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Those in charge of police computer systems Gallagher</w:t>
      </w:r>
      <w:r w:rsidRPr="0082534D">
        <w:rPr>
          <w:rFonts w:ascii="Arial" w:eastAsia="Times New Roman" w:hAnsi="Arial" w:cs="Arial"/>
          <w:color w:val="444444"/>
          <w:sz w:val="24"/>
          <w:szCs w:val="24"/>
          <w:lang w:eastAsia="en-GB"/>
        </w:rPr>
        <w:t> [2010] EWCA Crim 3201</w:t>
      </w:r>
    </w:p>
    <w:p w14:paraId="5C70A5EC"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 xml:space="preserve">Nurses working within a prison </w:t>
      </w:r>
      <w:proofErr w:type="spellStart"/>
      <w:r w:rsidRPr="0082534D">
        <w:rPr>
          <w:rFonts w:ascii="Arial" w:eastAsia="Times New Roman" w:hAnsi="Arial" w:cs="Arial"/>
          <w:i/>
          <w:iCs/>
          <w:color w:val="444444"/>
          <w:sz w:val="24"/>
          <w:szCs w:val="24"/>
          <w:lang w:eastAsia="en-GB"/>
        </w:rPr>
        <w:t>Cosford</w:t>
      </w:r>
      <w:proofErr w:type="spellEnd"/>
      <w:r w:rsidRPr="0082534D">
        <w:rPr>
          <w:rFonts w:ascii="Arial" w:eastAsia="Times New Roman" w:hAnsi="Arial" w:cs="Arial"/>
          <w:color w:val="444444"/>
          <w:sz w:val="24"/>
          <w:szCs w:val="24"/>
          <w:lang w:eastAsia="en-GB"/>
        </w:rPr>
        <w:t> [2014] QB 81</w:t>
      </w:r>
    </w:p>
    <w:p w14:paraId="689A3F20"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Church of England clergy James</w:t>
      </w:r>
      <w:r w:rsidRPr="0082534D">
        <w:rPr>
          <w:rFonts w:ascii="Arial" w:eastAsia="Times New Roman" w:hAnsi="Arial" w:cs="Arial"/>
          <w:color w:val="444444"/>
          <w:sz w:val="24"/>
          <w:szCs w:val="24"/>
          <w:lang w:eastAsia="en-GB"/>
        </w:rPr>
        <w:t xml:space="preserve"> (1850) 2 Den 1, 169 ER 393 though its authority was doubted in the unreported case of Ball (8 September 2015) in which </w:t>
      </w:r>
      <w:proofErr w:type="spellStart"/>
      <w:r w:rsidRPr="0082534D">
        <w:rPr>
          <w:rFonts w:ascii="Arial" w:eastAsia="Times New Roman" w:hAnsi="Arial" w:cs="Arial"/>
          <w:color w:val="444444"/>
          <w:sz w:val="24"/>
          <w:szCs w:val="24"/>
          <w:lang w:eastAsia="en-GB"/>
        </w:rPr>
        <w:t>Wilkie</w:t>
      </w:r>
      <w:proofErr w:type="spellEnd"/>
      <w:r w:rsidRPr="0082534D">
        <w:rPr>
          <w:rFonts w:ascii="Arial" w:eastAsia="Times New Roman" w:hAnsi="Arial" w:cs="Arial"/>
          <w:color w:val="444444"/>
          <w:sz w:val="24"/>
          <w:szCs w:val="24"/>
          <w:lang w:eastAsia="en-GB"/>
        </w:rPr>
        <w:t xml:space="preserve"> J ruled that a Church of England Bishop was a public office holder.</w:t>
      </w:r>
    </w:p>
    <w:p w14:paraId="00749A27"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Local councillor</w:t>
      </w:r>
      <w:r w:rsidRPr="0082534D">
        <w:rPr>
          <w:rFonts w:ascii="Arial" w:eastAsia="Times New Roman" w:hAnsi="Arial" w:cs="Arial"/>
          <w:color w:val="444444"/>
          <w:sz w:val="24"/>
          <w:szCs w:val="24"/>
          <w:lang w:eastAsia="en-GB"/>
        </w:rPr>
        <w:t> (2004) </w:t>
      </w:r>
      <w:r w:rsidRPr="0082534D">
        <w:rPr>
          <w:rFonts w:ascii="Arial" w:eastAsia="Times New Roman" w:hAnsi="Arial" w:cs="Arial"/>
          <w:i/>
          <w:iCs/>
          <w:color w:val="444444"/>
          <w:sz w:val="24"/>
          <w:szCs w:val="24"/>
          <w:lang w:eastAsia="en-GB"/>
        </w:rPr>
        <w:t xml:space="preserve">R v </w:t>
      </w:r>
      <w:proofErr w:type="spellStart"/>
      <w:r w:rsidRPr="0082534D">
        <w:rPr>
          <w:rFonts w:ascii="Arial" w:eastAsia="Times New Roman" w:hAnsi="Arial" w:cs="Arial"/>
          <w:i/>
          <w:iCs/>
          <w:color w:val="444444"/>
          <w:sz w:val="24"/>
          <w:szCs w:val="24"/>
          <w:lang w:eastAsia="en-GB"/>
        </w:rPr>
        <w:t>Speechley</w:t>
      </w:r>
      <w:proofErr w:type="spellEnd"/>
      <w:r w:rsidRPr="0082534D">
        <w:rPr>
          <w:rFonts w:ascii="Arial" w:eastAsia="Times New Roman" w:hAnsi="Arial" w:cs="Arial"/>
          <w:color w:val="444444"/>
          <w:sz w:val="24"/>
          <w:szCs w:val="24"/>
          <w:lang w:eastAsia="en-GB"/>
        </w:rPr>
        <w:t> [2004] EWCA Crim 3067</w:t>
      </w:r>
    </w:p>
    <w:p w14:paraId="144A7062" w14:textId="77777777" w:rsidR="0082534D" w:rsidRPr="0082534D" w:rsidRDefault="0082534D" w:rsidP="0082534D">
      <w:pPr>
        <w:numPr>
          <w:ilvl w:val="0"/>
          <w:numId w:val="3"/>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Member of the Independent Monitoring Board for prisons</w:t>
      </w:r>
      <w:r w:rsidRPr="0082534D">
        <w:rPr>
          <w:rFonts w:ascii="Arial" w:eastAsia="Times New Roman" w:hAnsi="Arial" w:cs="Arial"/>
          <w:color w:val="444444"/>
          <w:sz w:val="24"/>
          <w:szCs w:val="24"/>
          <w:lang w:eastAsia="en-GB"/>
        </w:rPr>
        <w:t> (2010) </w:t>
      </w:r>
      <w:r w:rsidRPr="0082534D">
        <w:rPr>
          <w:rFonts w:ascii="Arial" w:eastAsia="Times New Roman" w:hAnsi="Arial" w:cs="Arial"/>
          <w:i/>
          <w:iCs/>
          <w:color w:val="444444"/>
          <w:sz w:val="24"/>
          <w:szCs w:val="24"/>
          <w:lang w:eastAsia="en-GB"/>
        </w:rPr>
        <w:t>R v Belton</w:t>
      </w:r>
      <w:r w:rsidRPr="0082534D">
        <w:rPr>
          <w:rFonts w:ascii="Arial" w:eastAsia="Times New Roman" w:hAnsi="Arial" w:cs="Arial"/>
          <w:color w:val="444444"/>
          <w:sz w:val="24"/>
          <w:szCs w:val="24"/>
          <w:lang w:eastAsia="en-GB"/>
        </w:rPr>
        <w:t> [2010] EWCA Crim 2857 </w:t>
      </w:r>
    </w:p>
    <w:p w14:paraId="06C62B8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It is extremely difficult to extract from the cases any general identifying features of public officers in a contemporary context. A person may fall within the meaning of a ‘public officer’ where one or more of the following characteristics applies to a role or function that they exercise with respect to the public at large: </w:t>
      </w:r>
    </w:p>
    <w:p w14:paraId="7B7FD947"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Judicial or quasi-judicial</w:t>
      </w:r>
    </w:p>
    <w:p w14:paraId="72BF6014"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Regulatory</w:t>
      </w:r>
    </w:p>
    <w:p w14:paraId="32D5DB6C"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Punitive</w:t>
      </w:r>
    </w:p>
    <w:p w14:paraId="514F9753"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Coercive</w:t>
      </w:r>
    </w:p>
    <w:p w14:paraId="756D23DD"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Investigative</w:t>
      </w:r>
    </w:p>
    <w:p w14:paraId="7705D7E2"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Representative (of the public at large)</w:t>
      </w:r>
    </w:p>
    <w:p w14:paraId="3637EA05" w14:textId="77777777" w:rsidR="0082534D" w:rsidRPr="0082534D" w:rsidRDefault="0082534D" w:rsidP="0082534D">
      <w:pPr>
        <w:numPr>
          <w:ilvl w:val="0"/>
          <w:numId w:val="4"/>
        </w:numPr>
        <w:shd w:val="clear" w:color="auto" w:fill="FFFFFF"/>
        <w:spacing w:before="100" w:beforeAutospacing="1" w:after="100" w:afterAutospacing="1" w:line="360" w:lineRule="atLeast"/>
        <w:ind w:left="0"/>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Responsibility for public funds </w:t>
      </w:r>
    </w:p>
    <w:p w14:paraId="1A199178"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This list is not exhaustive and cannot be determinative of whether a person is properly described as a public officer, when acting in a particular capacity. The characteristics should be treated only as a guide and considered in the context of all the facts and circumstances of the particular case.</w:t>
      </w:r>
    </w:p>
    <w:p w14:paraId="61EE5F4A" w14:textId="77777777" w:rsidR="0082534D" w:rsidRPr="0082534D" w:rsidRDefault="0082534D" w:rsidP="0082534D">
      <w:pPr>
        <w:shd w:val="clear" w:color="auto" w:fill="FFFFFF"/>
        <w:spacing w:after="100" w:afterAutospacing="1" w:line="240" w:lineRule="auto"/>
        <w:outlineLvl w:val="1"/>
        <w:rPr>
          <w:rFonts w:ascii="Arial" w:eastAsia="Times New Roman" w:hAnsi="Arial" w:cs="Arial"/>
          <w:b/>
          <w:bCs/>
          <w:color w:val="002554"/>
          <w:sz w:val="36"/>
          <w:szCs w:val="36"/>
          <w:lang w:eastAsia="en-GB"/>
        </w:rPr>
      </w:pPr>
      <w:bookmarkStart w:id="5" w:name="_Toc519523918"/>
      <w:bookmarkEnd w:id="5"/>
      <w:r w:rsidRPr="0082534D">
        <w:rPr>
          <w:rFonts w:ascii="Arial" w:eastAsia="Times New Roman" w:hAnsi="Arial" w:cs="Arial"/>
          <w:b/>
          <w:bCs/>
          <w:color w:val="002554"/>
          <w:sz w:val="36"/>
          <w:szCs w:val="36"/>
          <w:lang w:eastAsia="en-GB"/>
        </w:rPr>
        <w:t>Wilful neglect or misconduct</w:t>
      </w:r>
    </w:p>
    <w:p w14:paraId="10CA8AA7" w14:textId="77777777" w:rsidR="0082534D" w:rsidRPr="0082534D" w:rsidRDefault="0082534D" w:rsidP="0082534D">
      <w:pPr>
        <w:numPr>
          <w:ilvl w:val="0"/>
          <w:numId w:val="5"/>
        </w:numPr>
        <w:shd w:val="clear" w:color="auto" w:fill="FFFFFF"/>
        <w:spacing w:after="100" w:afterAutospacing="1" w:line="240" w:lineRule="auto"/>
        <w:ind w:left="0"/>
        <w:outlineLvl w:val="2"/>
        <w:rPr>
          <w:rFonts w:ascii="inherit" w:eastAsia="Times New Roman" w:hAnsi="inherit" w:cs="Arial"/>
          <w:b/>
          <w:bCs/>
          <w:color w:val="005DAA"/>
          <w:sz w:val="31"/>
          <w:szCs w:val="31"/>
          <w:lang w:eastAsia="en-GB"/>
        </w:rPr>
      </w:pPr>
      <w:r w:rsidRPr="0082534D">
        <w:rPr>
          <w:rFonts w:ascii="inherit" w:eastAsia="Times New Roman" w:hAnsi="inherit" w:cs="Arial"/>
          <w:b/>
          <w:bCs/>
          <w:color w:val="005DAA"/>
          <w:sz w:val="31"/>
          <w:szCs w:val="31"/>
          <w:lang w:eastAsia="en-GB"/>
        </w:rPr>
        <w:lastRenderedPageBreak/>
        <w:t>Nature of the neglect or misconduct</w:t>
      </w:r>
    </w:p>
    <w:p w14:paraId="4535EA4E"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wilful neglect or misconduct can be the result of a positive act or a failure to act. In the case of </w:t>
      </w:r>
      <w:r w:rsidRPr="0082534D">
        <w:rPr>
          <w:rFonts w:ascii="Arial" w:eastAsia="Times New Roman" w:hAnsi="Arial" w:cs="Arial"/>
          <w:b/>
          <w:bCs/>
          <w:i/>
          <w:iCs/>
          <w:color w:val="444444"/>
          <w:sz w:val="24"/>
          <w:szCs w:val="24"/>
          <w:lang w:eastAsia="en-GB"/>
        </w:rPr>
        <w:t xml:space="preserve">R v </w:t>
      </w:r>
      <w:proofErr w:type="spellStart"/>
      <w:r w:rsidRPr="0082534D">
        <w:rPr>
          <w:rFonts w:ascii="Arial" w:eastAsia="Times New Roman" w:hAnsi="Arial" w:cs="Arial"/>
          <w:b/>
          <w:bCs/>
          <w:i/>
          <w:iCs/>
          <w:color w:val="444444"/>
          <w:sz w:val="24"/>
          <w:szCs w:val="24"/>
          <w:lang w:eastAsia="en-GB"/>
        </w:rPr>
        <w:t>Dytham</w:t>
      </w:r>
      <w:proofErr w:type="spellEnd"/>
      <w:r w:rsidRPr="0082534D">
        <w:rPr>
          <w:rFonts w:ascii="Arial" w:eastAsia="Times New Roman" w:hAnsi="Arial" w:cs="Arial"/>
          <w:color w:val="444444"/>
          <w:sz w:val="24"/>
          <w:szCs w:val="24"/>
          <w:lang w:eastAsia="en-GB"/>
        </w:rPr>
        <w:t> [1979] QB 722, for example, a police officer was held to have been correctly convicted when he made no move to intervene during a disturbance in which a man was kicked to death. </w:t>
      </w:r>
    </w:p>
    <w:p w14:paraId="406A90AC"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There must also be an element of knowledge or at least recklessness about the way in which the duty is carried out or neglected. The test is a subjective one and the public officer must be aware that his/her behaviour is capable of being misconduct. </w:t>
      </w:r>
      <w:bookmarkStart w:id="6" w:name="_Toc519523920"/>
      <w:bookmarkEnd w:id="6"/>
    </w:p>
    <w:p w14:paraId="533CE442" w14:textId="77777777" w:rsidR="0082534D" w:rsidRPr="0082534D" w:rsidRDefault="0082534D" w:rsidP="0082534D">
      <w:pPr>
        <w:numPr>
          <w:ilvl w:val="0"/>
          <w:numId w:val="6"/>
        </w:numPr>
        <w:shd w:val="clear" w:color="auto" w:fill="FFFFFF"/>
        <w:spacing w:after="100" w:afterAutospacing="1" w:line="240" w:lineRule="auto"/>
        <w:ind w:left="0"/>
        <w:outlineLvl w:val="2"/>
        <w:rPr>
          <w:rFonts w:ascii="inherit" w:eastAsia="Times New Roman" w:hAnsi="inherit" w:cs="Arial"/>
          <w:b/>
          <w:bCs/>
          <w:color w:val="005DAA"/>
          <w:sz w:val="31"/>
          <w:szCs w:val="31"/>
          <w:lang w:eastAsia="en-GB"/>
        </w:rPr>
      </w:pPr>
      <w:r w:rsidRPr="0082534D">
        <w:rPr>
          <w:rFonts w:ascii="inherit" w:eastAsia="Times New Roman" w:hAnsi="inherit" w:cs="Arial"/>
          <w:b/>
          <w:bCs/>
          <w:color w:val="005DAA"/>
          <w:sz w:val="31"/>
          <w:szCs w:val="31"/>
          <w:lang w:eastAsia="en-GB"/>
        </w:rPr>
        <w:t>Meaning of 'wilful' (also see ‘Breach of Duty’) </w:t>
      </w:r>
    </w:p>
    <w:p w14:paraId="620DA6A5"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Attorney General's Reference No 3 of 2003 </w:t>
      </w:r>
      <w:r w:rsidRPr="0082534D">
        <w:rPr>
          <w:rFonts w:ascii="Arial" w:eastAsia="Times New Roman" w:hAnsi="Arial" w:cs="Arial"/>
          <w:color w:val="444444"/>
          <w:sz w:val="24"/>
          <w:szCs w:val="24"/>
          <w:lang w:eastAsia="en-GB"/>
        </w:rPr>
        <w:t>the court approved the definition of 'wilful' as ‘deliberately doing something which is wrong knowing it to be wrong or with reckless indifference as to whether it is wrong or not'. </w:t>
      </w:r>
    </w:p>
    <w:p w14:paraId="40BEECA5"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R v G</w:t>
      </w:r>
      <w:r w:rsidRPr="0082534D">
        <w:rPr>
          <w:rFonts w:ascii="Arial" w:eastAsia="Times New Roman" w:hAnsi="Arial" w:cs="Arial"/>
          <w:color w:val="444444"/>
          <w:sz w:val="24"/>
          <w:szCs w:val="24"/>
          <w:lang w:eastAsia="en-GB"/>
        </w:rPr>
        <w:t> [2003] UK HL 50 Lord Bingham said with respect to inadvertence:</w:t>
      </w:r>
    </w:p>
    <w:p w14:paraId="77895493"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“It is clearly blameworthy to take an obvious and significant risk of causing injury to another. But it is not clearly blameworthy to do something involving a risk of injury to another … if one genuinely does not perceive the risk. Such a person may fairly be accused of stupidity or lack of imagination, but neither of those failings should expose him to conviction of serious crime or the risk of punishment.”</w:t>
      </w:r>
    </w:p>
    <w:p w14:paraId="6A7E750D"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Lord Steyn added:</w:t>
      </w:r>
    </w:p>
    <w:p w14:paraId="105D5210"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 the stronger the objective indications of risk, the more difficult it will be for defendants to repel the conclusion that they must have known.”</w:t>
      </w:r>
      <w:r w:rsidRPr="0082534D">
        <w:rPr>
          <w:rFonts w:ascii="Arial" w:eastAsia="Times New Roman" w:hAnsi="Arial" w:cs="Arial"/>
          <w:color w:val="444444"/>
          <w:sz w:val="24"/>
          <w:szCs w:val="24"/>
          <w:lang w:eastAsia="en-GB"/>
        </w:rPr>
        <w:t>(</w:t>
      </w:r>
      <w:r w:rsidRPr="0082534D">
        <w:rPr>
          <w:rFonts w:ascii="Arial" w:eastAsia="Times New Roman" w:hAnsi="Arial" w:cs="Arial"/>
          <w:i/>
          <w:iCs/>
          <w:color w:val="444444"/>
          <w:sz w:val="24"/>
          <w:szCs w:val="24"/>
          <w:lang w:eastAsia="en-GB"/>
        </w:rPr>
        <w:t>R v G</w:t>
      </w:r>
      <w:r w:rsidRPr="0082534D">
        <w:rPr>
          <w:rFonts w:ascii="Arial" w:eastAsia="Times New Roman" w:hAnsi="Arial" w:cs="Arial"/>
          <w:color w:val="444444"/>
          <w:sz w:val="24"/>
          <w:szCs w:val="24"/>
          <w:lang w:eastAsia="en-GB"/>
        </w:rPr>
        <w:t> [2003] UK HL 50)</w:t>
      </w:r>
      <w:bookmarkStart w:id="7" w:name="_Toc519523921"/>
      <w:bookmarkEnd w:id="7"/>
    </w:p>
    <w:p w14:paraId="6721D739" w14:textId="77777777" w:rsidR="0082534D" w:rsidRPr="0082534D" w:rsidRDefault="0082534D" w:rsidP="0082534D">
      <w:pPr>
        <w:numPr>
          <w:ilvl w:val="0"/>
          <w:numId w:val="7"/>
        </w:numPr>
        <w:shd w:val="clear" w:color="auto" w:fill="FFFFFF"/>
        <w:spacing w:after="100" w:afterAutospacing="1" w:line="240" w:lineRule="auto"/>
        <w:ind w:left="0"/>
        <w:outlineLvl w:val="2"/>
        <w:rPr>
          <w:rFonts w:ascii="inherit" w:eastAsia="Times New Roman" w:hAnsi="inherit" w:cs="Arial"/>
          <w:b/>
          <w:bCs/>
          <w:color w:val="005DAA"/>
          <w:sz w:val="31"/>
          <w:szCs w:val="31"/>
          <w:lang w:eastAsia="en-GB"/>
        </w:rPr>
      </w:pPr>
      <w:r w:rsidRPr="0082534D">
        <w:rPr>
          <w:rFonts w:ascii="inherit" w:eastAsia="Times New Roman" w:hAnsi="inherit" w:cs="Arial"/>
          <w:b/>
          <w:bCs/>
          <w:color w:val="005DAA"/>
          <w:sz w:val="31"/>
          <w:szCs w:val="31"/>
          <w:lang w:eastAsia="en-GB"/>
        </w:rPr>
        <w:t>Abuse of the public’s trust</w:t>
      </w:r>
    </w:p>
    <w:p w14:paraId="184A9461"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Public officers carry out their duties for the benefit of the public as a whole. If they neglect or misconduct themselves in the course of those duties this may lead to a breach or abuse of the public's trust. </w:t>
      </w:r>
      <w:bookmarkStart w:id="8" w:name="_Toc519523922"/>
      <w:bookmarkEnd w:id="8"/>
    </w:p>
    <w:p w14:paraId="002B0B95" w14:textId="77777777" w:rsidR="0082534D" w:rsidRPr="0082534D" w:rsidRDefault="0082534D" w:rsidP="0082534D">
      <w:pPr>
        <w:numPr>
          <w:ilvl w:val="0"/>
          <w:numId w:val="8"/>
        </w:numPr>
        <w:shd w:val="clear" w:color="auto" w:fill="FFFFFF"/>
        <w:spacing w:after="100" w:afterAutospacing="1" w:line="240" w:lineRule="auto"/>
        <w:ind w:left="0"/>
        <w:outlineLvl w:val="2"/>
        <w:rPr>
          <w:rFonts w:ascii="inherit" w:eastAsia="Times New Roman" w:hAnsi="inherit" w:cs="Arial"/>
          <w:b/>
          <w:bCs/>
          <w:color w:val="005DAA"/>
          <w:sz w:val="31"/>
          <w:szCs w:val="31"/>
          <w:lang w:eastAsia="en-GB"/>
        </w:rPr>
      </w:pPr>
      <w:r w:rsidRPr="0082534D">
        <w:rPr>
          <w:rFonts w:ascii="inherit" w:eastAsia="Times New Roman" w:hAnsi="inherit" w:cs="Arial"/>
          <w:b/>
          <w:bCs/>
          <w:color w:val="005DAA"/>
          <w:sz w:val="31"/>
          <w:szCs w:val="31"/>
          <w:lang w:eastAsia="en-GB"/>
        </w:rPr>
        <w:t>Seriousness of the neglect or misconduct </w:t>
      </w:r>
    </w:p>
    <w:p w14:paraId="0E680B67"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behaviour must be serious enough to amount to an abuse of the public's trust in the office holder. In </w:t>
      </w:r>
      <w:r w:rsidRPr="0082534D">
        <w:rPr>
          <w:rFonts w:ascii="Arial" w:eastAsia="Times New Roman" w:hAnsi="Arial" w:cs="Arial"/>
          <w:i/>
          <w:iCs/>
          <w:color w:val="444444"/>
          <w:sz w:val="24"/>
          <w:szCs w:val="24"/>
          <w:lang w:eastAsia="en-GB"/>
        </w:rPr>
        <w:t xml:space="preserve">R v </w:t>
      </w:r>
      <w:proofErr w:type="spellStart"/>
      <w:r w:rsidRPr="0082534D">
        <w:rPr>
          <w:rFonts w:ascii="Arial" w:eastAsia="Times New Roman" w:hAnsi="Arial" w:cs="Arial"/>
          <w:i/>
          <w:iCs/>
          <w:color w:val="444444"/>
          <w:sz w:val="24"/>
          <w:szCs w:val="24"/>
          <w:lang w:eastAsia="en-GB"/>
        </w:rPr>
        <w:t>Dytham</w:t>
      </w:r>
      <w:proofErr w:type="spellEnd"/>
      <w:r w:rsidRPr="0082534D">
        <w:rPr>
          <w:rFonts w:ascii="Arial" w:eastAsia="Times New Roman" w:hAnsi="Arial" w:cs="Arial"/>
          <w:color w:val="444444"/>
          <w:sz w:val="24"/>
          <w:szCs w:val="24"/>
          <w:lang w:eastAsia="en-GB"/>
        </w:rPr>
        <w:t xml:space="preserve">, Lord </w:t>
      </w:r>
      <w:proofErr w:type="spellStart"/>
      <w:r w:rsidRPr="0082534D">
        <w:rPr>
          <w:rFonts w:ascii="Arial" w:eastAsia="Times New Roman" w:hAnsi="Arial" w:cs="Arial"/>
          <w:color w:val="444444"/>
          <w:sz w:val="24"/>
          <w:szCs w:val="24"/>
          <w:lang w:eastAsia="en-GB"/>
        </w:rPr>
        <w:t>Widgery</w:t>
      </w:r>
      <w:proofErr w:type="spellEnd"/>
      <w:r w:rsidRPr="0082534D">
        <w:rPr>
          <w:rFonts w:ascii="Arial" w:eastAsia="Times New Roman" w:hAnsi="Arial" w:cs="Arial"/>
          <w:color w:val="444444"/>
          <w:sz w:val="24"/>
          <w:szCs w:val="24"/>
          <w:lang w:eastAsia="en-GB"/>
        </w:rPr>
        <w:t xml:space="preserve"> said that the element of culpability:</w:t>
      </w:r>
    </w:p>
    <w:p w14:paraId="488A31B4"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lastRenderedPageBreak/>
        <w:t xml:space="preserve">“… </w:t>
      </w:r>
      <w:proofErr w:type="gramStart"/>
      <w:r w:rsidRPr="0082534D">
        <w:rPr>
          <w:rFonts w:ascii="Arial" w:eastAsia="Times New Roman" w:hAnsi="Arial" w:cs="Arial"/>
          <w:i/>
          <w:iCs/>
          <w:color w:val="444444"/>
          <w:sz w:val="24"/>
          <w:szCs w:val="24"/>
          <w:lang w:eastAsia="en-GB"/>
        </w:rPr>
        <w:t>must</w:t>
      </w:r>
      <w:proofErr w:type="gramEnd"/>
      <w:r w:rsidRPr="0082534D">
        <w:rPr>
          <w:rFonts w:ascii="Arial" w:eastAsia="Times New Roman" w:hAnsi="Arial" w:cs="Arial"/>
          <w:i/>
          <w:iCs/>
          <w:color w:val="444444"/>
          <w:sz w:val="24"/>
          <w:szCs w:val="24"/>
          <w:lang w:eastAsia="en-GB"/>
        </w:rPr>
        <w:t xml:space="preserve"> be of such a degree that the misconduct impugned is calculated to injure the public interest so as to call for condemnation and punishment.”</w:t>
      </w:r>
      <w:r w:rsidRPr="0082534D">
        <w:rPr>
          <w:rFonts w:ascii="Arial" w:eastAsia="Times New Roman" w:hAnsi="Arial" w:cs="Arial"/>
          <w:color w:val="444444"/>
          <w:sz w:val="24"/>
          <w:szCs w:val="24"/>
          <w:lang w:eastAsia="en-GB"/>
        </w:rPr>
        <w:t> </w:t>
      </w:r>
    </w:p>
    <w:p w14:paraId="78A1B2F1"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Attorney General's Reference No 3 of 2003 </w:t>
      </w:r>
      <w:r w:rsidRPr="0082534D">
        <w:rPr>
          <w:rFonts w:ascii="Arial" w:eastAsia="Times New Roman" w:hAnsi="Arial" w:cs="Arial"/>
          <w:color w:val="444444"/>
          <w:sz w:val="24"/>
          <w:szCs w:val="24"/>
          <w:lang w:eastAsia="en-GB"/>
        </w:rPr>
        <w:t>the court said that the misconduct must amount to:</w:t>
      </w:r>
    </w:p>
    <w:p w14:paraId="6E5AB0D3"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 xml:space="preserve">“… </w:t>
      </w:r>
      <w:proofErr w:type="gramStart"/>
      <w:r w:rsidRPr="0082534D">
        <w:rPr>
          <w:rFonts w:ascii="Arial" w:eastAsia="Times New Roman" w:hAnsi="Arial" w:cs="Arial"/>
          <w:i/>
          <w:iCs/>
          <w:color w:val="444444"/>
          <w:sz w:val="24"/>
          <w:szCs w:val="24"/>
          <w:lang w:eastAsia="en-GB"/>
        </w:rPr>
        <w:t>an</w:t>
      </w:r>
      <w:proofErr w:type="gramEnd"/>
      <w:r w:rsidRPr="0082534D">
        <w:rPr>
          <w:rFonts w:ascii="Arial" w:eastAsia="Times New Roman" w:hAnsi="Arial" w:cs="Arial"/>
          <w:i/>
          <w:iCs/>
          <w:color w:val="444444"/>
          <w:sz w:val="24"/>
          <w:szCs w:val="24"/>
          <w:lang w:eastAsia="en-GB"/>
        </w:rPr>
        <w:t xml:space="preserve"> affront to the standing of the public office held. The threshold is a high one requiring conduct so far below acceptable standards as to amount to an abuse of the public's trust in the office holder.”</w:t>
      </w:r>
      <w:r w:rsidRPr="0082534D">
        <w:rPr>
          <w:rFonts w:ascii="Arial" w:eastAsia="Times New Roman" w:hAnsi="Arial" w:cs="Arial"/>
          <w:color w:val="444444"/>
          <w:sz w:val="24"/>
          <w:szCs w:val="24"/>
          <w:lang w:eastAsia="en-GB"/>
        </w:rPr>
        <w:t> </w:t>
      </w:r>
    </w:p>
    <w:p w14:paraId="283E7070"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w:t>
      </w:r>
      <w:r w:rsidRPr="0082534D">
        <w:rPr>
          <w:rFonts w:ascii="Arial" w:eastAsia="Times New Roman" w:hAnsi="Arial" w:cs="Arial"/>
          <w:i/>
          <w:iCs/>
          <w:color w:val="444444"/>
          <w:sz w:val="24"/>
          <w:szCs w:val="24"/>
          <w:lang w:eastAsia="en-GB"/>
        </w:rPr>
        <w:t>Chapman</w:t>
      </w:r>
      <w:r w:rsidRPr="0082534D">
        <w:rPr>
          <w:rFonts w:ascii="Arial" w:eastAsia="Times New Roman" w:hAnsi="Arial" w:cs="Arial"/>
          <w:color w:val="444444"/>
          <w:sz w:val="24"/>
          <w:szCs w:val="24"/>
          <w:lang w:eastAsia="en-GB"/>
        </w:rPr>
        <w:t> [2015] 2 Cr App R 10, the Lord Chief Justice stated that the judge in summing up had to make clear that the necessary conduct was not simply a breach of duty or a breach of trust: </w:t>
      </w:r>
    </w:p>
    <w:p w14:paraId="7E6C2DCF"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“It is not in our view sufficient simply to tell the jury that the conduct must be so serious as to amount to an abuse of the public’s trust in the office holder, as such a direction gives them no assistance on how to determine that level of seriousness. There are, we consider, two ways that the jury might be assisted in determining whether the misconduct is so serious. The first is to refer the jury to the need for them to reach a judgment that the misconduct is worthy of condemnation and punishment. The second is to refer them to the requirement that the misconduct must be judged by them as having the effect of harming the public interest.”</w:t>
      </w:r>
      <w:r w:rsidRPr="0082534D">
        <w:rPr>
          <w:rFonts w:ascii="Arial" w:eastAsia="Times New Roman" w:hAnsi="Arial" w:cs="Arial"/>
          <w:color w:val="444444"/>
          <w:sz w:val="24"/>
          <w:szCs w:val="24"/>
          <w:lang w:eastAsia="en-GB"/>
        </w:rPr>
        <w:t> </w:t>
      </w:r>
      <w:bookmarkStart w:id="9" w:name="_Toc519523923"/>
      <w:bookmarkEnd w:id="9"/>
    </w:p>
    <w:p w14:paraId="17265616" w14:textId="77777777" w:rsidR="0082534D" w:rsidRPr="0082534D" w:rsidRDefault="0082534D" w:rsidP="0082534D">
      <w:pPr>
        <w:numPr>
          <w:ilvl w:val="0"/>
          <w:numId w:val="9"/>
        </w:numPr>
        <w:shd w:val="clear" w:color="auto" w:fill="FFFFFF"/>
        <w:spacing w:after="100" w:afterAutospacing="1" w:line="240" w:lineRule="auto"/>
        <w:ind w:left="0"/>
        <w:outlineLvl w:val="2"/>
        <w:rPr>
          <w:rFonts w:ascii="inherit" w:eastAsia="Times New Roman" w:hAnsi="inherit" w:cs="Arial"/>
          <w:b/>
          <w:bCs/>
          <w:color w:val="005DAA"/>
          <w:sz w:val="31"/>
          <w:szCs w:val="31"/>
          <w:lang w:eastAsia="en-GB"/>
        </w:rPr>
      </w:pPr>
      <w:r w:rsidRPr="0082534D">
        <w:rPr>
          <w:rFonts w:ascii="inherit" w:eastAsia="Times New Roman" w:hAnsi="inherit" w:cs="Arial"/>
          <w:b/>
          <w:bCs/>
          <w:color w:val="005DAA"/>
          <w:sz w:val="31"/>
          <w:szCs w:val="31"/>
          <w:lang w:eastAsia="en-GB"/>
        </w:rPr>
        <w:t>Consequences </w:t>
      </w:r>
    </w:p>
    <w:p w14:paraId="34C15572"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Although the offence is not a ‘results crime’, the likely consequences of any wilful neglect or misconduct are relevant when deciding whether the conduct falls below the standard expected:</w:t>
      </w:r>
    </w:p>
    <w:p w14:paraId="77F7CCE1"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“It will normally be necessary to consider the likely consequences of the breach in deciding whether the conduct falls so far below the standard of conduct to be expected of the officer as to constitute the offence. The conduct cannot be considered in a vacuum: the consequences likely to follow from it, viewed subjectively … will often influence the decision as to whether the conduct amounted to an abuse of the public's trust in the officer. (Attorney General's Reference No 3 of 2003).”</w:t>
      </w:r>
      <w:r w:rsidRPr="0082534D">
        <w:rPr>
          <w:rFonts w:ascii="Arial" w:eastAsia="Times New Roman" w:hAnsi="Arial" w:cs="Arial"/>
          <w:color w:val="444444"/>
          <w:sz w:val="24"/>
          <w:szCs w:val="24"/>
          <w:lang w:eastAsia="en-GB"/>
        </w:rPr>
        <w:t> </w:t>
      </w:r>
    </w:p>
    <w:p w14:paraId="787BC51A"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Whilst there is no need to prove any particular consequences flowing from the misconduct, it must be proved that the defendant was reckless not just as to the legality of his behaviour, but also as to its likely consequences. </w:t>
      </w:r>
    </w:p>
    <w:p w14:paraId="3F456FE8"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lastRenderedPageBreak/>
        <w:t>The consequences must be likely ones, as viewed subjectively by the defendant. Although the authorities do not say so, likely can probably be taken to mean at the very least 'reasonably foreseeable'; it is arguable that likely may mean 'probable' in this context. </w:t>
      </w:r>
      <w:bookmarkStart w:id="10" w:name="_Toc519523924"/>
      <w:bookmarkEnd w:id="10"/>
    </w:p>
    <w:p w14:paraId="65E2DBB0" w14:textId="77777777" w:rsidR="0082534D" w:rsidRPr="0082534D" w:rsidRDefault="0082534D" w:rsidP="0082534D">
      <w:pPr>
        <w:numPr>
          <w:ilvl w:val="0"/>
          <w:numId w:val="10"/>
        </w:numPr>
        <w:shd w:val="clear" w:color="auto" w:fill="FFFFFF"/>
        <w:spacing w:after="100" w:afterAutospacing="1" w:line="240" w:lineRule="auto"/>
        <w:ind w:left="0"/>
        <w:outlineLvl w:val="2"/>
        <w:rPr>
          <w:rFonts w:ascii="inherit" w:eastAsia="Times New Roman" w:hAnsi="inherit" w:cs="Arial"/>
          <w:b/>
          <w:bCs/>
          <w:color w:val="005DAA"/>
          <w:sz w:val="31"/>
          <w:szCs w:val="31"/>
          <w:lang w:eastAsia="en-GB"/>
        </w:rPr>
      </w:pPr>
      <w:r w:rsidRPr="0082534D">
        <w:rPr>
          <w:rFonts w:ascii="inherit" w:eastAsia="Times New Roman" w:hAnsi="inherit" w:cs="Arial"/>
          <w:b/>
          <w:bCs/>
          <w:color w:val="005DAA"/>
          <w:sz w:val="31"/>
          <w:szCs w:val="31"/>
          <w:lang w:eastAsia="en-GB"/>
        </w:rPr>
        <w:t>Motive </w:t>
      </w:r>
    </w:p>
    <w:p w14:paraId="4B12E8EC"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In order to establish whether the behaviour is sufficiently serious to amount to the offence, the officer's motive is also relevant:</w:t>
      </w:r>
    </w:p>
    <w:p w14:paraId="2F7E747C"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 xml:space="preserve">“… </w:t>
      </w:r>
      <w:proofErr w:type="gramStart"/>
      <w:r w:rsidRPr="0082534D">
        <w:rPr>
          <w:rFonts w:ascii="Arial" w:eastAsia="Times New Roman" w:hAnsi="Arial" w:cs="Arial"/>
          <w:i/>
          <w:iCs/>
          <w:color w:val="444444"/>
          <w:sz w:val="24"/>
          <w:szCs w:val="24"/>
          <w:lang w:eastAsia="en-GB"/>
        </w:rPr>
        <w:t>the</w:t>
      </w:r>
      <w:proofErr w:type="gramEnd"/>
      <w:r w:rsidRPr="0082534D">
        <w:rPr>
          <w:rFonts w:ascii="Arial" w:eastAsia="Times New Roman" w:hAnsi="Arial" w:cs="Arial"/>
          <w:i/>
          <w:iCs/>
          <w:color w:val="444444"/>
          <w:sz w:val="24"/>
          <w:szCs w:val="24"/>
          <w:lang w:eastAsia="en-GB"/>
        </w:rPr>
        <w:t xml:space="preserve"> question has always been, not whether the act done might, upon full and mature investigation, be found strictly right, but from what motive it had proceeded; whether from a dishonest, oppressive, or corrupt motive, under which description, fear and favour may generally be included, or from mistake or error …</w:t>
      </w:r>
    </w:p>
    <w:p w14:paraId="21478F37"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i/>
          <w:iCs/>
          <w:color w:val="444444"/>
          <w:sz w:val="24"/>
          <w:szCs w:val="24"/>
          <w:lang w:eastAsia="en-GB"/>
        </w:rPr>
        <w:t>“To punish as a criminal any person who, in the gratuitous exercise of a public trust, may have fallen into error or mistake belongs only to the despotic ruler of an enslaved people, and is wholly abhorrent from the jurisprudence of this kingdom.”</w:t>
      </w:r>
    </w:p>
    <w:p w14:paraId="514E0679"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w:t>
      </w:r>
      <w:r w:rsidRPr="0082534D">
        <w:rPr>
          <w:rFonts w:ascii="Arial" w:eastAsia="Times New Roman" w:hAnsi="Arial" w:cs="Arial"/>
          <w:i/>
          <w:iCs/>
          <w:color w:val="444444"/>
          <w:sz w:val="24"/>
          <w:szCs w:val="24"/>
          <w:lang w:eastAsia="en-GB"/>
        </w:rPr>
        <w:t xml:space="preserve">R v </w:t>
      </w:r>
      <w:proofErr w:type="spellStart"/>
      <w:r w:rsidRPr="0082534D">
        <w:rPr>
          <w:rFonts w:ascii="Arial" w:eastAsia="Times New Roman" w:hAnsi="Arial" w:cs="Arial"/>
          <w:i/>
          <w:iCs/>
          <w:color w:val="444444"/>
          <w:sz w:val="24"/>
          <w:szCs w:val="24"/>
          <w:lang w:eastAsia="en-GB"/>
        </w:rPr>
        <w:t>Borron</w:t>
      </w:r>
      <w:proofErr w:type="spellEnd"/>
      <w:r w:rsidRPr="0082534D">
        <w:rPr>
          <w:rFonts w:ascii="Arial" w:eastAsia="Times New Roman" w:hAnsi="Arial" w:cs="Arial"/>
          <w:color w:val="444444"/>
          <w:sz w:val="24"/>
          <w:szCs w:val="24"/>
          <w:lang w:eastAsia="en-GB"/>
        </w:rPr>
        <w:t xml:space="preserve"> [1820] 3 </w:t>
      </w:r>
      <w:proofErr w:type="spellStart"/>
      <w:r w:rsidRPr="0082534D">
        <w:rPr>
          <w:rFonts w:ascii="Arial" w:eastAsia="Times New Roman" w:hAnsi="Arial" w:cs="Arial"/>
          <w:color w:val="444444"/>
          <w:sz w:val="24"/>
          <w:szCs w:val="24"/>
          <w:lang w:eastAsia="en-GB"/>
        </w:rPr>
        <w:t>B&amp;Ald</w:t>
      </w:r>
      <w:proofErr w:type="spellEnd"/>
      <w:r w:rsidRPr="0082534D">
        <w:rPr>
          <w:rFonts w:ascii="Arial" w:eastAsia="Times New Roman" w:hAnsi="Arial" w:cs="Arial"/>
          <w:color w:val="444444"/>
          <w:sz w:val="24"/>
          <w:szCs w:val="24"/>
          <w:lang w:eastAsia="en-GB"/>
        </w:rPr>
        <w:t xml:space="preserve"> 432: Abbott CJ, at page 434.) </w:t>
      </w:r>
    </w:p>
    <w:p w14:paraId="395B3376"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At its highest the motive may be malice or bad faith but they are not prerequisites. Reckless indifference would be sufficient. </w:t>
      </w:r>
    </w:p>
    <w:p w14:paraId="7AD21818" w14:textId="77777777" w:rsidR="0082534D" w:rsidRPr="0082534D" w:rsidRDefault="0082534D" w:rsidP="0082534D">
      <w:pPr>
        <w:shd w:val="clear" w:color="auto" w:fill="FFFFFF"/>
        <w:spacing w:after="100" w:afterAutospacing="1" w:line="240" w:lineRule="auto"/>
        <w:outlineLvl w:val="1"/>
        <w:rPr>
          <w:rFonts w:ascii="Arial" w:eastAsia="Times New Roman" w:hAnsi="Arial" w:cs="Arial"/>
          <w:b/>
          <w:bCs/>
          <w:color w:val="002554"/>
          <w:sz w:val="36"/>
          <w:szCs w:val="36"/>
          <w:lang w:eastAsia="en-GB"/>
        </w:rPr>
      </w:pPr>
      <w:r w:rsidRPr="0082534D">
        <w:rPr>
          <w:rFonts w:ascii="Arial" w:eastAsia="Times New Roman" w:hAnsi="Arial" w:cs="Arial"/>
          <w:b/>
          <w:bCs/>
          <w:color w:val="002554"/>
          <w:sz w:val="36"/>
          <w:szCs w:val="36"/>
          <w:lang w:eastAsia="en-GB"/>
        </w:rPr>
        <w:t>Without reasonable excuse or justification</w:t>
      </w:r>
    </w:p>
    <w:p w14:paraId="68F355F0"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It is not necessary for the prosecution to prove the absence of a reasonable excuse or justification, although the nature of the prosecution evidence should in practice negate any such element</w:t>
      </w:r>
      <w:proofErr w:type="gramStart"/>
      <w:r w:rsidRPr="0082534D">
        <w:rPr>
          <w:rFonts w:ascii="Arial" w:eastAsia="Times New Roman" w:hAnsi="Arial" w:cs="Arial"/>
          <w:color w:val="444444"/>
          <w:sz w:val="24"/>
          <w:szCs w:val="24"/>
          <w:lang w:eastAsia="en-GB"/>
        </w:rPr>
        <w:t>.;</w:t>
      </w:r>
      <w:proofErr w:type="gramEnd"/>
    </w:p>
    <w:p w14:paraId="5A34D6E4" w14:textId="77777777" w:rsidR="0082534D" w:rsidRPr="0082534D" w:rsidRDefault="0082534D" w:rsidP="0082534D">
      <w:pPr>
        <w:shd w:val="clear" w:color="auto" w:fill="FFFFFF"/>
        <w:spacing w:before="240" w:after="240" w:line="360" w:lineRule="atLeast"/>
        <w:rPr>
          <w:rFonts w:ascii="Arial" w:eastAsia="Times New Roman" w:hAnsi="Arial" w:cs="Arial"/>
          <w:color w:val="444444"/>
          <w:sz w:val="24"/>
          <w:szCs w:val="24"/>
          <w:lang w:eastAsia="en-GB"/>
        </w:rPr>
      </w:pPr>
      <w:r w:rsidRPr="0082534D">
        <w:rPr>
          <w:rFonts w:ascii="Arial" w:eastAsia="Times New Roman" w:hAnsi="Arial" w:cs="Arial"/>
          <w:color w:val="444444"/>
          <w:sz w:val="24"/>
          <w:szCs w:val="24"/>
          <w:lang w:eastAsia="en-GB"/>
        </w:rPr>
        <w:t>The defendant may advance evidence of a reasonable excuse or justification. It is for the jury to determine whether the evidence reveals the necessary culpability.</w:t>
      </w:r>
    </w:p>
    <w:p w14:paraId="3824C896" w14:textId="77777777" w:rsidR="007B6F1D" w:rsidRDefault="007B6F1D"/>
    <w:sectPr w:rsidR="007B6F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467B8"/>
    <w:multiLevelType w:val="multilevel"/>
    <w:tmpl w:val="A7FE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36DE8"/>
    <w:multiLevelType w:val="multilevel"/>
    <w:tmpl w:val="43F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83E0A"/>
    <w:multiLevelType w:val="multilevel"/>
    <w:tmpl w:val="A80C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16916"/>
    <w:multiLevelType w:val="multilevel"/>
    <w:tmpl w:val="7DD0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541F1"/>
    <w:multiLevelType w:val="multilevel"/>
    <w:tmpl w:val="17207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8B4702"/>
    <w:multiLevelType w:val="multilevel"/>
    <w:tmpl w:val="97DE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F4172E"/>
    <w:multiLevelType w:val="multilevel"/>
    <w:tmpl w:val="C992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2E21CC"/>
    <w:multiLevelType w:val="multilevel"/>
    <w:tmpl w:val="A87E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9F74C5"/>
    <w:multiLevelType w:val="multilevel"/>
    <w:tmpl w:val="F228A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DC7804"/>
    <w:multiLevelType w:val="multilevel"/>
    <w:tmpl w:val="0EDA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6"/>
  </w:num>
  <w:num w:numId="4">
    <w:abstractNumId w:val="3"/>
  </w:num>
  <w:num w:numId="5">
    <w:abstractNumId w:val="1"/>
  </w:num>
  <w:num w:numId="6">
    <w:abstractNumId w:val="2"/>
  </w:num>
  <w:num w:numId="7">
    <w:abstractNumId w:val="9"/>
  </w:num>
  <w:num w:numId="8">
    <w:abstractNumId w:val="7"/>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34D"/>
    <w:rsid w:val="00020940"/>
    <w:rsid w:val="000868CC"/>
    <w:rsid w:val="000A2350"/>
    <w:rsid w:val="000C0CDD"/>
    <w:rsid w:val="000F16F6"/>
    <w:rsid w:val="00147748"/>
    <w:rsid w:val="001863D0"/>
    <w:rsid w:val="0024265F"/>
    <w:rsid w:val="00253C67"/>
    <w:rsid w:val="002E4C6D"/>
    <w:rsid w:val="00304B8D"/>
    <w:rsid w:val="003C6D39"/>
    <w:rsid w:val="00532ABF"/>
    <w:rsid w:val="0056373B"/>
    <w:rsid w:val="00650314"/>
    <w:rsid w:val="00736B43"/>
    <w:rsid w:val="007B6F1D"/>
    <w:rsid w:val="0082534D"/>
    <w:rsid w:val="00853BAF"/>
    <w:rsid w:val="009659B2"/>
    <w:rsid w:val="009B3E7A"/>
    <w:rsid w:val="00A805B1"/>
    <w:rsid w:val="00A8421D"/>
    <w:rsid w:val="00B8011C"/>
    <w:rsid w:val="00C93212"/>
    <w:rsid w:val="00D64E2A"/>
    <w:rsid w:val="00E46377"/>
    <w:rsid w:val="00ED3889"/>
    <w:rsid w:val="00F10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2E962"/>
  <w15:chartTrackingRefBased/>
  <w15:docId w15:val="{73BF2E7B-60C4-4C86-84AE-71779DB66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53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3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504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2355</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1</cp:revision>
  <cp:lastPrinted>2018-10-09T07:41:00Z</cp:lastPrinted>
  <dcterms:created xsi:type="dcterms:W3CDTF">2018-10-09T07:40:00Z</dcterms:created>
  <dcterms:modified xsi:type="dcterms:W3CDTF">2018-10-09T07:53:00Z</dcterms:modified>
</cp:coreProperties>
</file>