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7400" w:rsidRPr="00E57400" w:rsidRDefault="00E57400" w:rsidP="00E57400">
      <w:pPr>
        <w:rPr>
          <w:u w:val="single"/>
        </w:rPr>
      </w:pPr>
      <w:r w:rsidRPr="00E57400">
        <w:rPr>
          <w:u w:val="single"/>
        </w:rPr>
        <w:t>Commentary on the full view and close up photographs of the tomb of John FitzAlan, the 14th Earl of Arundel (d.1435) in the FitzAlan Chapel, West Sussex.</w:t>
      </w:r>
    </w:p>
    <w:p w:rsidR="00E57400" w:rsidRPr="00E57400" w:rsidRDefault="00E57400" w:rsidP="00E57400">
      <w:r w:rsidRPr="00E57400">
        <w:t>When approaching this image of a transi tomb commemorating the life and death of John FitzAlan (the fourteenth Earl of Arundel) it firstly important to understand the way of l</w:t>
      </w:r>
      <w:r w:rsidR="00925382">
        <w:t>ife that the individual pursued</w:t>
      </w:r>
      <w:r w:rsidRPr="00E57400">
        <w:t xml:space="preserve"> before their death. John FitzAlan led multiple campaigns in Rouen and the Isle de France under the title of Captain and hindered advances on the Nor</w:t>
      </w:r>
      <w:r w:rsidR="00AC507C">
        <w:t>man frontier. He was wounded whilst i</w:t>
      </w:r>
      <w:r w:rsidRPr="00E57400">
        <w:t>n the lower Somme under the attack of heavy artillery, which was the cause of his death.</w:t>
      </w:r>
      <w:r w:rsidRPr="00E57400">
        <w:rPr>
          <w:vertAlign w:val="superscript"/>
        </w:rPr>
        <w:footnoteReference w:id="1"/>
      </w:r>
      <w:r w:rsidRPr="00E57400">
        <w:t xml:space="preserve"> ‘He had just before his death been created Duke of Touraine, and in 1432 had been made a Knight of the Garter’.</w:t>
      </w:r>
      <w:r w:rsidRPr="00E57400">
        <w:rPr>
          <w:vertAlign w:val="superscript"/>
        </w:rPr>
        <w:footnoteReference w:id="2"/>
      </w:r>
      <w:r w:rsidRPr="00E57400">
        <w:t xml:space="preserve"> It is therefore understandable that the individual chose to be presented in his chivalric attire; wearing armour, chainmail and the English coat of arms on his chest, to signify his lifestyle on earth. The location of the tomb is also significant. The need to be buried on consecrated ground became increasingly popular throughout the middle ages, especially in times of high mortality rates in years of great devastation, such as the Black Death.</w:t>
      </w:r>
      <w:r w:rsidRPr="00E57400">
        <w:rPr>
          <w:vertAlign w:val="superscript"/>
        </w:rPr>
        <w:footnoteReference w:id="3"/>
      </w:r>
      <w:r w:rsidRPr="00E57400">
        <w:t xml:space="preserve"> The increased interest in burial on consecrated ground is evident in Forrest’s description of the continual movement of the cadaver as ‘burial monopoly’.</w:t>
      </w:r>
      <w:r w:rsidRPr="00E57400">
        <w:rPr>
          <w:vertAlign w:val="superscript"/>
        </w:rPr>
        <w:footnoteReference w:id="4"/>
      </w:r>
      <w:r w:rsidRPr="00E57400">
        <w:t xml:space="preserve"> Consecrated burial reflects the need for religious individuality and the salvation of the soul; the need for prayers of the living to save the souls of the deceased in the afterlife and the developing doctrine of purgatory. </w:t>
      </w:r>
    </w:p>
    <w:p w:rsidR="00E57400" w:rsidRPr="00E57400" w:rsidRDefault="00E57400" w:rsidP="00E57400">
      <w:r w:rsidRPr="00E57400">
        <w:t>It can be concluded, then, that if you knew the individual personally throughout their life that you would be able to easily identify them in their death. However, it could also be assumed that an effigy is a permanent way of establishing an individual’s presence within their own community, irrelevant to whether they are recognisable to others. Those who pass FitzAlan’s tomb may not know him as an individual but would recognise him as a knight, due to the way that the living is dressed, and therefore when they pray for the salvation of the dead they will be able to pay suffrages to the knight’s soul when they visit FitzAlan’s Parish.</w:t>
      </w:r>
      <w:r w:rsidRPr="00E57400">
        <w:rPr>
          <w:vertAlign w:val="superscript"/>
        </w:rPr>
        <w:footnoteReference w:id="5"/>
      </w:r>
      <w:r w:rsidRPr="00E57400">
        <w:t xml:space="preserve"> This unusual relationship between visual and oral interactions in society establishes a mutual understanding amongst the dead and the living of the individual’s own characteristics and lifestyle during his time on earth and his need for salvation in the afterlife.</w:t>
      </w:r>
    </w:p>
    <w:p w:rsidR="00E57400" w:rsidRPr="00E57400" w:rsidRDefault="00E57400" w:rsidP="00E57400">
      <w:r w:rsidRPr="00E57400">
        <w:t>The second is the portrayal of the living and the dead in the double-decker layout of the tomb itself and the architecture and representation of the living and the cadaver.</w:t>
      </w:r>
      <w:r w:rsidRPr="00E57400">
        <w:rPr>
          <w:vertAlign w:val="superscript"/>
        </w:rPr>
        <w:footnoteReference w:id="6"/>
      </w:r>
      <w:r w:rsidRPr="00E57400">
        <w:t xml:space="preserve"> The deceased seems to almost be imprisoned within the bottom half of the tomb, much like the tomb of Alice de la Pole,</w:t>
      </w:r>
      <w:r w:rsidRPr="00E57400">
        <w:rPr>
          <w:vertAlign w:val="superscript"/>
        </w:rPr>
        <w:footnoteReference w:id="7"/>
      </w:r>
      <w:r w:rsidRPr="00E57400">
        <w:t xml:space="preserve"> with the framework of the tomb almost acting as windows to invite the visitor to take a closer look at the dead and reflect on the fragility and transience of life. However, the fact that the deceased is imprisoned is difficult to understand. Whereas the effigy is clear to see, the cadaver is not, and this raises many questions. Firstly, for a society which is in constant amalgamation with the imagery of death, as seen in the </w:t>
      </w:r>
      <w:r w:rsidRPr="00E57400">
        <w:rPr>
          <w:i/>
        </w:rPr>
        <w:t>danse macabre</w:t>
      </w:r>
      <w:r w:rsidRPr="00E57400">
        <w:t xml:space="preserve">, it would be expected for the corpse not to repulse, but rather </w:t>
      </w:r>
      <w:r w:rsidRPr="00E57400">
        <w:lastRenderedPageBreak/>
        <w:t>comfort those who visited the epitaph. The didactic nature of the transi tomb, expressing the reflection on the mortality of life through the portrayal of the ‘gisant’ and the ‘cadaver’, as well as the aim to act as ‘a memento mori: a reminder of death’</w:t>
      </w:r>
      <w:r w:rsidRPr="00E57400">
        <w:rPr>
          <w:vertAlign w:val="superscript"/>
        </w:rPr>
        <w:footnoteReference w:id="8"/>
      </w:r>
      <w:r w:rsidRPr="00E57400">
        <w:t xml:space="preserve"> is seen also in the tomb of Chichele. Erected in 1426, roughly twenty years before Chichele died it could be assumed that the tomb acted as a point of reflection for the individual themselves and a reminder of the need for repentance.</w:t>
      </w:r>
      <w:r w:rsidRPr="00E57400">
        <w:rPr>
          <w:vertAlign w:val="superscript"/>
        </w:rPr>
        <w:footnoteReference w:id="9"/>
      </w:r>
      <w:r w:rsidRPr="00E57400">
        <w:t xml:space="preserve">  </w:t>
      </w:r>
    </w:p>
    <w:p w:rsidR="00E57400" w:rsidRDefault="00E57400" w:rsidP="00E57400">
      <w:r w:rsidRPr="00E57400">
        <w:t>To conclude, in response to the photographs taken at FitzAlan Chapel of the tomb of John FitzAlan, the commemorative and architectural influences are used in many ways to present the dead alongside the living in a didactic environment. Transi tombs establish the transience and fragile nature of life; with the salvatio</w:t>
      </w:r>
      <w:r w:rsidR="0091628E">
        <w:t>n of the soul as the concerns for</w:t>
      </w:r>
      <w:r w:rsidRPr="00E57400">
        <w:t xml:space="preserve"> the living. The portrayal of the effigy dressed in the clothes of the individual’s profession, as well as the tombs location and the contrast between the living and the cadaver concludes that death is inescapable, and rather than to fear it, the living sho</w:t>
      </w:r>
      <w:r w:rsidR="009E4AFE">
        <w:t>uld embrace it and act in a way</w:t>
      </w:r>
      <w:r w:rsidRPr="00E57400">
        <w:t xml:space="preserve"> that will benefit their life after death, when they are no longer enjoying worldly goods and joys. </w:t>
      </w:r>
    </w:p>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Default="00E57400" w:rsidP="00E57400"/>
    <w:p w:rsidR="00E57400" w:rsidRPr="00E57400" w:rsidRDefault="00E57400" w:rsidP="00E57400">
      <w:pPr>
        <w:jc w:val="center"/>
        <w:rPr>
          <w:u w:val="single"/>
        </w:rPr>
      </w:pPr>
      <w:r w:rsidRPr="00E57400">
        <w:rPr>
          <w:noProof/>
          <w:lang w:eastAsia="en-GB"/>
        </w:rPr>
        <w:lastRenderedPageBreak/>
        <w:drawing>
          <wp:anchor distT="0" distB="0" distL="114300" distR="114300" simplePos="0" relativeHeight="251665408" behindDoc="1" locked="0" layoutInCell="1" allowOverlap="1" wp14:anchorId="2C7A7B59" wp14:editId="71DAD50E">
            <wp:simplePos x="0" y="0"/>
            <wp:positionH relativeFrom="margin">
              <wp:align>center</wp:align>
            </wp:positionH>
            <wp:positionV relativeFrom="paragraph">
              <wp:posOffset>304800</wp:posOffset>
            </wp:positionV>
            <wp:extent cx="5731510" cy="3817620"/>
            <wp:effectExtent l="0" t="0" r="2540" b="0"/>
            <wp:wrapTight wrapText="bothSides">
              <wp:wrapPolygon edited="0">
                <wp:start x="0" y="0"/>
                <wp:lineTo x="0" y="21449"/>
                <wp:lineTo x="21538" y="21449"/>
                <wp:lineTo x="21538" y="0"/>
                <wp:lineTo x="0" y="0"/>
              </wp:wrapPolygon>
            </wp:wrapTight>
            <wp:docPr id="10" name="Picture 10" descr="Image result for alice de la pole tomb">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alice de la pole tomb">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anchor>
        </w:drawing>
      </w:r>
      <w:r w:rsidRPr="00E57400">
        <w:rPr>
          <w:u w:val="single"/>
        </w:rPr>
        <w:t>Figure One: The tomb of Alice de la Pole</w:t>
      </w:r>
    </w:p>
    <w:p w:rsidR="00E57400" w:rsidRPr="00E57400" w:rsidRDefault="00E57400" w:rsidP="00E57400"/>
    <w:p w:rsidR="00E57400" w:rsidRPr="00E57400" w:rsidRDefault="00E57400" w:rsidP="00E57400">
      <w:pPr>
        <w:jc w:val="center"/>
      </w:pPr>
      <w:r w:rsidRPr="00E57400">
        <w:rPr>
          <w:noProof/>
          <w:lang w:eastAsia="en-GB"/>
        </w:rPr>
        <w:drawing>
          <wp:anchor distT="0" distB="0" distL="114300" distR="114300" simplePos="0" relativeHeight="251664384" behindDoc="0" locked="0" layoutInCell="1" allowOverlap="1" wp14:anchorId="732C5E1D" wp14:editId="08236B43">
            <wp:simplePos x="0" y="0"/>
            <wp:positionH relativeFrom="margin">
              <wp:align>center</wp:align>
            </wp:positionH>
            <wp:positionV relativeFrom="margin">
              <wp:posOffset>5059680</wp:posOffset>
            </wp:positionV>
            <wp:extent cx="5729605" cy="3322320"/>
            <wp:effectExtent l="0" t="0" r="4445" b="0"/>
            <wp:wrapSquare wrapText="bothSides"/>
            <wp:docPr id="11" name="Picture 11" descr="Arundel_ms_83_f127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undel_ms_83_f127r"/>
                    <pic:cNvPicPr>
                      <a:picLocks noChangeAspect="1" noChangeArrowheads="1"/>
                    </pic:cNvPicPr>
                  </pic:nvPicPr>
                  <pic:blipFill rotWithShape="1">
                    <a:blip r:embed="rId8">
                      <a:extLst>
                        <a:ext uri="{28A0092B-C50C-407E-A947-70E740481C1C}">
                          <a14:useLocalDpi xmlns:a14="http://schemas.microsoft.com/office/drawing/2010/main" val="0"/>
                        </a:ext>
                      </a:extLst>
                    </a:blip>
                    <a:srcRect t="7033" b="53582"/>
                    <a:stretch/>
                  </pic:blipFill>
                  <pic:spPr bwMode="auto">
                    <a:xfrm>
                      <a:off x="0" y="0"/>
                      <a:ext cx="5729605" cy="3322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57400">
        <w:rPr>
          <w:u w:val="single"/>
        </w:rPr>
        <w:t>Figure Two: Miniature of the Three Living and the Three Dead from the De Lisle Psalter, England (East Anglia), c. 1308 – c. 1340, Arundel MS 83, f. 127v.</w:t>
      </w:r>
    </w:p>
    <w:p w:rsidR="00E57400" w:rsidRDefault="00E57400" w:rsidP="00E57400"/>
    <w:p w:rsidR="00E57400" w:rsidRDefault="00E57400" w:rsidP="00E57400"/>
    <w:p w:rsidR="00E57400" w:rsidRPr="00E57400" w:rsidRDefault="00E57400" w:rsidP="00E57400">
      <w:pPr>
        <w:jc w:val="center"/>
        <w:rPr>
          <w:u w:val="single"/>
        </w:rPr>
      </w:pPr>
      <w:r w:rsidRPr="00E57400">
        <w:rPr>
          <w:u w:val="single"/>
        </w:rPr>
        <w:lastRenderedPageBreak/>
        <w:t>Commentary on the popular theme of resurrection throughout the middle ages.</w:t>
      </w:r>
    </w:p>
    <w:p w:rsidR="00E57400" w:rsidRPr="00E57400" w:rsidRDefault="00E57400" w:rsidP="00E57400">
      <w:r w:rsidRPr="00E57400">
        <w:t xml:space="preserve">The concept of resurrection is seen throughout the medieval period in various forms: the resurrection of Christ, the martyrdom of saints and their ascension into heaven, revenants and the </w:t>
      </w:r>
      <w:r w:rsidR="00F77755">
        <w:t>Last Judgement</w:t>
      </w:r>
      <w:r w:rsidRPr="00E57400">
        <w:t xml:space="preserve">. To focus the exact scope and extent of my enquiry, I will be looking into the </w:t>
      </w:r>
      <w:r w:rsidR="00F77755">
        <w:t>Last Judgement</w:t>
      </w:r>
      <w:r w:rsidRPr="00E57400">
        <w:t xml:space="preserve"> in particular, and how this varies in its representation throughout illuminated manuscripts, along with how it influenced the lives of the laity and clergy in the middle ages and raised multiple questions concerning life after death. The exact definition of ‘resurrection’ is as follows: ‘The act of bringing something that had disappeared or ended back into use or existence’.</w:t>
      </w:r>
      <w:r w:rsidRPr="00E57400">
        <w:rPr>
          <w:vertAlign w:val="superscript"/>
        </w:rPr>
        <w:footnoteReference w:id="10"/>
      </w:r>
      <w:r w:rsidRPr="00E57400">
        <w:t xml:space="preserve"> </w:t>
      </w:r>
    </w:p>
    <w:p w:rsidR="00E57400" w:rsidRPr="00E57400" w:rsidRDefault="00E57400" w:rsidP="00E57400">
      <w:r w:rsidRPr="00E57400">
        <w:t>Most commonly this is referred to as the passage of the living’s soul into purgatory or heaven after death, or more unexpectedly, the acts of revenants recorded in contemporary sources. A prevalent depiction of the resurrection of the soul can be seen in the ascension of ecclesiastical martyrs into heaven, and the raising of souls to heaven within a cloth held by angels.</w:t>
      </w:r>
      <w:r w:rsidRPr="00E57400">
        <w:rPr>
          <w:vertAlign w:val="superscript"/>
        </w:rPr>
        <w:footnoteReference w:id="11"/>
      </w:r>
      <w:r w:rsidRPr="00E57400">
        <w:t xml:space="preserve"> What interests me the most in these two instances is the appearance of the individuals’ themselves. For example, the ascension of the laity is often presented as the ascending wearing no clothes and stripped of all materialistic values. Whereas in the resurrection of saints, who frequently are pictured leaving their tomb surrounded by sleeping soldiers, the individual is covered by a simple shroud. This could be to protect the modesty of the saints, as their status is somewhat higher than that of the peasantry. Or i</w:t>
      </w:r>
      <w:r w:rsidR="006163EE">
        <w:t>t</w:t>
      </w:r>
      <w:r w:rsidRPr="00E57400">
        <w:t xml:space="preserve"> could be to highlight that the saints are very much similar to Christ in his ascension, bearing a simple cloth for modesty and a golden halo positioned around their head. This could be an attempt to consolidate the individuals’ spiritual value in their death; justifying their easy passage to hea</w:t>
      </w:r>
      <w:r w:rsidR="003B249C">
        <w:t>ven due to their spiritual presence</w:t>
      </w:r>
      <w:r w:rsidRPr="00E57400">
        <w:t xml:space="preserve">. </w:t>
      </w:r>
    </w:p>
    <w:p w:rsidR="00E57400" w:rsidRPr="00E57400" w:rsidRDefault="00E57400" w:rsidP="00E57400">
      <w:pPr>
        <w:rPr>
          <w:i/>
        </w:rPr>
      </w:pPr>
      <w:r w:rsidRPr="00E57400">
        <w:t xml:space="preserve">However, no resurrection is so massively reproduced in illuminations than the scene of the </w:t>
      </w:r>
      <w:r w:rsidR="00F77755">
        <w:t>Last Judgement</w:t>
      </w:r>
      <w:r w:rsidRPr="00E57400">
        <w:t>. This eschatological concept is that in the wake of the apocalypse, the body and soul will be reunited and humanity will be judged; wherefore an individual’s destination in the afterlife, be it hell, purgatory or heaven, will be decided and initiated.</w:t>
      </w:r>
      <w:r w:rsidRPr="00E57400">
        <w:rPr>
          <w:vertAlign w:val="superscript"/>
        </w:rPr>
        <w:footnoteReference w:id="12"/>
      </w:r>
      <w:r w:rsidRPr="00E57400">
        <w:t xml:space="preserve"> The ‘resurrected’ are often represented in a variety of different ways. In some, the revenants are presented fully clothed, climbing out of the ground and physically reaching towards Christ above them.</w:t>
      </w:r>
      <w:r w:rsidRPr="00E57400">
        <w:rPr>
          <w:vertAlign w:val="superscript"/>
        </w:rPr>
        <w:footnoteReference w:id="13"/>
      </w:r>
      <w:r w:rsidRPr="00E57400">
        <w:t xml:space="preserve"> In others, the dead are rising from their coffins and seem to almost be shocked by what is happening; an exclamatory expression on their face as if they don’t quite understand what is happening.</w:t>
      </w:r>
      <w:r w:rsidRPr="00E57400">
        <w:rPr>
          <w:vertAlign w:val="superscript"/>
        </w:rPr>
        <w:footnoteReference w:id="14"/>
      </w:r>
      <w:r w:rsidRPr="00E57400">
        <w:t xml:space="preserve"> This is rather confusing if we consider that this was a popular teaching and so you would assume that the individuals would be prepared for this to happen after their death. This, as well as the whole concept of the </w:t>
      </w:r>
      <w:r w:rsidR="00F77755">
        <w:t>Last Judgement</w:t>
      </w:r>
      <w:r w:rsidRPr="00E57400">
        <w:t>, provoked many queries presented by scholars of theology. Peter Lombard, ‘a scholastic theologian of the twelfth century’</w:t>
      </w:r>
      <w:r w:rsidRPr="00E57400">
        <w:rPr>
          <w:vertAlign w:val="superscript"/>
        </w:rPr>
        <w:footnoteReference w:id="15"/>
      </w:r>
      <w:r w:rsidRPr="00E57400">
        <w:t xml:space="preserve">, published a textbook titled the </w:t>
      </w:r>
      <w:r w:rsidRPr="00735CE7">
        <w:rPr>
          <w:i/>
        </w:rPr>
        <w:t>Four Books of Sentences</w:t>
      </w:r>
      <w:r w:rsidRPr="00E57400">
        <w:t xml:space="preserve">, which questioned the burial composition of the human body and the logistics of the resurrection when the </w:t>
      </w:r>
      <w:r w:rsidR="00F77755">
        <w:t>Last Judgement</w:t>
      </w:r>
      <w:r w:rsidRPr="00E57400">
        <w:t xml:space="preserve"> takes place. Sadly, a full cohesive translation of </w:t>
      </w:r>
      <w:r w:rsidRPr="00735CE7">
        <w:rPr>
          <w:i/>
        </w:rPr>
        <w:t>Sentences</w:t>
      </w:r>
      <w:r w:rsidRPr="00E57400">
        <w:t xml:space="preserve"> does not survive. As stated by Walker-Bynum, the fourth book focuses on the ‘the discussion of the last trumpet’, where Lombard asks questions such as ‘Will the bodies of the damned as well as the saved rise with their defects </w:t>
      </w:r>
      <w:r w:rsidRPr="00E57400">
        <w:lastRenderedPageBreak/>
        <w:t>repaired?’ and so on.</w:t>
      </w:r>
      <w:r w:rsidRPr="00E57400">
        <w:rPr>
          <w:vertAlign w:val="superscript"/>
        </w:rPr>
        <w:footnoteReference w:id="16"/>
      </w:r>
      <w:r w:rsidRPr="00E57400">
        <w:t xml:space="preserve"> Not only does this confirm that the idea of resurrection was questionable to those in medieval society, but also that the exact details and sp</w:t>
      </w:r>
      <w:r w:rsidR="00415252">
        <w:t>ecifications</w:t>
      </w:r>
      <w:r w:rsidRPr="00E57400">
        <w:t xml:space="preserve"> were not certain. However, the confusion over the uncertainty of the resurrection is resolved by the words of St. James the Dismembered. ‘Little toe, be comforted, because the big and the little will all rise again…how much less will you…be separated from your fellows!’</w:t>
      </w:r>
      <w:r w:rsidRPr="00E57400">
        <w:rPr>
          <w:vertAlign w:val="superscript"/>
        </w:rPr>
        <w:footnoteReference w:id="17"/>
      </w:r>
      <w:r w:rsidRPr="00E57400">
        <w:t xml:space="preserve"> Provided through the words of a saint, this statement gives the resurrection of the dead, not only confirmation but greater acceptance, particularly between the learned. This ultimate confirmation, which eases the minds of the living and laity in particular, presents the ecclesiastical and secular groups in society in constant debate with one another, once again concluding that the resurrection and the </w:t>
      </w:r>
      <w:r w:rsidR="00F77755">
        <w:t>Last Judgement</w:t>
      </w:r>
      <w:r w:rsidR="00415252">
        <w:t xml:space="preserve"> was not a simple construct. This interaction did lead to a decrease in concern amongst the</w:t>
      </w:r>
      <w:r w:rsidRPr="00E57400">
        <w:t xml:space="preserve"> living, in terms of life after death and the apocalyptic foreshadowing, as seen in this example between Lombard and the martyrdom of St James the Dismembered</w:t>
      </w:r>
      <w:r w:rsidRPr="00E57400">
        <w:rPr>
          <w:i/>
        </w:rPr>
        <w:t>.</w:t>
      </w:r>
    </w:p>
    <w:p w:rsidR="00E57400" w:rsidRPr="00E57400" w:rsidRDefault="00E57400" w:rsidP="00E57400">
      <w:pPr>
        <w:rPr>
          <w:i/>
        </w:rPr>
      </w:pPr>
    </w:p>
    <w:p w:rsidR="00E57400" w:rsidRPr="00E57400" w:rsidRDefault="00E57400" w:rsidP="00E57400">
      <w:pPr>
        <w:rPr>
          <w:i/>
        </w:rPr>
      </w:pPr>
    </w:p>
    <w:p w:rsidR="002269EB" w:rsidRDefault="002269EB"/>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Pr="00E57400" w:rsidRDefault="00E57400" w:rsidP="00E57400">
      <w:pPr>
        <w:jc w:val="center"/>
      </w:pPr>
      <w:r w:rsidRPr="00E57400">
        <w:rPr>
          <w:noProof/>
          <w:lang w:eastAsia="en-GB"/>
        </w:rPr>
        <w:lastRenderedPageBreak/>
        <w:drawing>
          <wp:anchor distT="0" distB="0" distL="114300" distR="114300" simplePos="0" relativeHeight="251659264" behindDoc="0" locked="0" layoutInCell="1" allowOverlap="1" wp14:anchorId="732CC9CF" wp14:editId="1846FCEB">
            <wp:simplePos x="0" y="0"/>
            <wp:positionH relativeFrom="margin">
              <wp:align>center</wp:align>
            </wp:positionH>
            <wp:positionV relativeFrom="paragraph">
              <wp:posOffset>219075</wp:posOffset>
            </wp:positionV>
            <wp:extent cx="4045585" cy="389572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5585" cy="3895725"/>
                    </a:xfrm>
                    <a:prstGeom prst="rect">
                      <a:avLst/>
                    </a:prstGeom>
                    <a:noFill/>
                  </pic:spPr>
                </pic:pic>
              </a:graphicData>
            </a:graphic>
            <wp14:sizeRelH relativeFrom="margin">
              <wp14:pctWidth>0</wp14:pctWidth>
            </wp14:sizeRelH>
            <wp14:sizeRelV relativeFrom="margin">
              <wp14:pctHeight>0</wp14:pctHeight>
            </wp14:sizeRelV>
          </wp:anchor>
        </w:drawing>
      </w:r>
      <w:r w:rsidRPr="00E57400">
        <w:rPr>
          <w:u w:val="single"/>
        </w:rPr>
        <w:t>Figure One:</w:t>
      </w:r>
      <w:r w:rsidRPr="00E57400">
        <w:t xml:space="preserve"> </w:t>
      </w:r>
      <w:r w:rsidRPr="00E57400">
        <w:rPr>
          <w:u w:val="single"/>
        </w:rPr>
        <w:t>Harley 2933 f. 175   Raising of Souls to Heaven. Book of Hours. Netherlands, 1440 AD.</w:t>
      </w:r>
    </w:p>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 w:rsidR="00E57400" w:rsidRPr="00E57400" w:rsidRDefault="00E57400" w:rsidP="00E57400">
      <w:pPr>
        <w:jc w:val="center"/>
        <w:rPr>
          <w:u w:val="single"/>
        </w:rPr>
      </w:pPr>
      <w:r w:rsidRPr="00E57400">
        <w:rPr>
          <w:noProof/>
          <w:lang w:eastAsia="en-GB"/>
        </w:rPr>
        <w:drawing>
          <wp:anchor distT="0" distB="0" distL="114300" distR="114300" simplePos="0" relativeHeight="251660288" behindDoc="1" locked="0" layoutInCell="1" allowOverlap="1" wp14:anchorId="76617A71" wp14:editId="14A32E4D">
            <wp:simplePos x="0" y="0"/>
            <wp:positionH relativeFrom="margin">
              <wp:align>center</wp:align>
            </wp:positionH>
            <wp:positionV relativeFrom="paragraph">
              <wp:posOffset>391795</wp:posOffset>
            </wp:positionV>
            <wp:extent cx="3905250" cy="4175760"/>
            <wp:effectExtent l="0" t="0" r="0" b="0"/>
            <wp:wrapTight wrapText="bothSides">
              <wp:wrapPolygon edited="0">
                <wp:start x="0" y="0"/>
                <wp:lineTo x="0" y="21482"/>
                <wp:lineTo x="21495" y="21482"/>
                <wp:lineTo x="2149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5250" cy="4175760"/>
                    </a:xfrm>
                    <a:prstGeom prst="rect">
                      <a:avLst/>
                    </a:prstGeom>
                    <a:noFill/>
                  </pic:spPr>
                </pic:pic>
              </a:graphicData>
            </a:graphic>
            <wp14:sizeRelH relativeFrom="margin">
              <wp14:pctWidth>0</wp14:pctWidth>
            </wp14:sizeRelH>
            <wp14:sizeRelV relativeFrom="margin">
              <wp14:pctHeight>0</wp14:pctHeight>
            </wp14:sizeRelV>
          </wp:anchor>
        </w:drawing>
      </w:r>
      <w:r w:rsidRPr="00E57400">
        <w:rPr>
          <w:u w:val="single"/>
        </w:rPr>
        <w:t xml:space="preserve">Figure Two: Royal 19 A XXII f. 16 Resurrection. Jean de </w:t>
      </w:r>
      <w:proofErr w:type="spellStart"/>
      <w:r w:rsidRPr="00E57400">
        <w:rPr>
          <w:u w:val="single"/>
        </w:rPr>
        <w:t>Meun</w:t>
      </w:r>
      <w:proofErr w:type="spellEnd"/>
      <w:r w:rsidRPr="00E57400">
        <w:rPr>
          <w:u w:val="single"/>
        </w:rPr>
        <w:t xml:space="preserve">, Sept articles de la </w:t>
      </w:r>
      <w:proofErr w:type="spellStart"/>
      <w:r w:rsidRPr="00E57400">
        <w:rPr>
          <w:u w:val="single"/>
        </w:rPr>
        <w:t>foy</w:t>
      </w:r>
      <w:proofErr w:type="spellEnd"/>
      <w:r w:rsidRPr="00E57400">
        <w:rPr>
          <w:u w:val="single"/>
        </w:rPr>
        <w:t>. France, N. (Rouen); c. 1440 AD.</w:t>
      </w: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jc w:val="center"/>
        <w:rPr>
          <w:u w:val="single"/>
        </w:rPr>
      </w:pPr>
      <w:r w:rsidRPr="00E57400">
        <w:rPr>
          <w:noProof/>
          <w:u w:val="single"/>
          <w:lang w:eastAsia="en-GB"/>
        </w:rPr>
        <w:lastRenderedPageBreak/>
        <w:drawing>
          <wp:anchor distT="0" distB="0" distL="114300" distR="114300" simplePos="0" relativeHeight="251662336" behindDoc="1" locked="0" layoutInCell="1" allowOverlap="1" wp14:anchorId="5333ED27" wp14:editId="0A1DDF51">
            <wp:simplePos x="0" y="0"/>
            <wp:positionH relativeFrom="margin">
              <wp:align>center</wp:align>
            </wp:positionH>
            <wp:positionV relativeFrom="paragraph">
              <wp:posOffset>257810</wp:posOffset>
            </wp:positionV>
            <wp:extent cx="2747010" cy="4311015"/>
            <wp:effectExtent l="0" t="0" r="0" b="0"/>
            <wp:wrapTight wrapText="bothSides">
              <wp:wrapPolygon edited="0">
                <wp:start x="0" y="0"/>
                <wp:lineTo x="0" y="21476"/>
                <wp:lineTo x="21420" y="21476"/>
                <wp:lineTo x="2142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7010" cy="4311015"/>
                    </a:xfrm>
                    <a:prstGeom prst="rect">
                      <a:avLst/>
                    </a:prstGeom>
                    <a:noFill/>
                  </pic:spPr>
                </pic:pic>
              </a:graphicData>
            </a:graphic>
            <wp14:sizeRelH relativeFrom="margin">
              <wp14:pctWidth>0</wp14:pctWidth>
            </wp14:sizeRelH>
            <wp14:sizeRelV relativeFrom="margin">
              <wp14:pctHeight>0</wp14:pctHeight>
            </wp14:sizeRelV>
          </wp:anchor>
        </w:drawing>
      </w:r>
      <w:r w:rsidRPr="00E57400">
        <w:rPr>
          <w:u w:val="single"/>
        </w:rPr>
        <w:t xml:space="preserve">Figure </w:t>
      </w:r>
      <w:proofErr w:type="spellStart"/>
      <w:r w:rsidRPr="00E57400">
        <w:rPr>
          <w:u w:val="single"/>
        </w:rPr>
        <w:t>Threer</w:t>
      </w:r>
      <w:proofErr w:type="spellEnd"/>
      <w:r w:rsidRPr="00E57400">
        <w:rPr>
          <w:u w:val="single"/>
        </w:rPr>
        <w:t xml:space="preserve">: Stowe 24   ff. 91v-92 </w:t>
      </w:r>
      <w:proofErr w:type="gramStart"/>
      <w:r w:rsidRPr="00E57400">
        <w:rPr>
          <w:u w:val="single"/>
        </w:rPr>
        <w:t>The</w:t>
      </w:r>
      <w:proofErr w:type="gramEnd"/>
      <w:r w:rsidRPr="00E57400">
        <w:rPr>
          <w:u w:val="single"/>
        </w:rPr>
        <w:t xml:space="preserve"> </w:t>
      </w:r>
      <w:r w:rsidR="00F77755">
        <w:rPr>
          <w:u w:val="single"/>
        </w:rPr>
        <w:t>Last Judgement</w:t>
      </w:r>
      <w:r w:rsidRPr="00E57400">
        <w:rPr>
          <w:u w:val="single"/>
        </w:rPr>
        <w:t>. France. Book of Hours. Late 15th Century.</w:t>
      </w: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rPr>
          <w:b/>
          <w:u w:val="single"/>
        </w:rPr>
      </w:pPr>
    </w:p>
    <w:p w:rsidR="00E57400" w:rsidRPr="00E57400" w:rsidRDefault="00E57400" w:rsidP="00E57400">
      <w:pPr>
        <w:jc w:val="center"/>
        <w:rPr>
          <w:b/>
          <w:u w:val="single"/>
        </w:rPr>
      </w:pPr>
    </w:p>
    <w:p w:rsidR="00E57400" w:rsidRPr="00E57400" w:rsidRDefault="00E57400" w:rsidP="00E57400">
      <w:pPr>
        <w:rPr>
          <w:b/>
          <w:u w:val="single"/>
        </w:rPr>
      </w:pPr>
    </w:p>
    <w:p w:rsidR="00E57400" w:rsidRPr="00E57400" w:rsidRDefault="00E57400" w:rsidP="00E57400">
      <w:pPr>
        <w:jc w:val="center"/>
        <w:rPr>
          <w:u w:val="single"/>
        </w:rPr>
      </w:pPr>
      <w:r w:rsidRPr="00E57400">
        <w:rPr>
          <w:u w:val="single"/>
        </w:rPr>
        <w:t xml:space="preserve">Figure Four: Additional 50001 f. </w:t>
      </w:r>
      <w:proofErr w:type="gramStart"/>
      <w:r w:rsidRPr="00E57400">
        <w:rPr>
          <w:u w:val="single"/>
        </w:rPr>
        <w:t xml:space="preserve">27  </w:t>
      </w:r>
      <w:r w:rsidR="00F77755">
        <w:rPr>
          <w:u w:val="single"/>
        </w:rPr>
        <w:t>Last</w:t>
      </w:r>
      <w:proofErr w:type="gramEnd"/>
      <w:r w:rsidR="00F77755">
        <w:rPr>
          <w:u w:val="single"/>
        </w:rPr>
        <w:t xml:space="preserve"> Judgement</w:t>
      </w:r>
      <w:r w:rsidRPr="00E57400">
        <w:rPr>
          <w:u w:val="single"/>
        </w:rPr>
        <w:t>. Book of Hours. England. 1420-30.</w:t>
      </w:r>
    </w:p>
    <w:p w:rsidR="00E57400" w:rsidRPr="00E57400" w:rsidRDefault="00E57400" w:rsidP="00E57400">
      <w:pPr>
        <w:rPr>
          <w:u w:val="single"/>
        </w:rPr>
      </w:pPr>
      <w:r w:rsidRPr="00E57400">
        <w:rPr>
          <w:noProof/>
          <w:lang w:eastAsia="en-GB"/>
        </w:rPr>
        <w:drawing>
          <wp:anchor distT="0" distB="0" distL="114300" distR="114300" simplePos="0" relativeHeight="251661312" behindDoc="1" locked="0" layoutInCell="1" allowOverlap="1" wp14:anchorId="370CDA5A" wp14:editId="032183D1">
            <wp:simplePos x="0" y="0"/>
            <wp:positionH relativeFrom="margin">
              <wp:align>center</wp:align>
            </wp:positionH>
            <wp:positionV relativeFrom="margin">
              <wp:posOffset>5167842</wp:posOffset>
            </wp:positionV>
            <wp:extent cx="3933825" cy="36068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33825" cy="3606800"/>
                    </a:xfrm>
                    <a:prstGeom prst="rect">
                      <a:avLst/>
                    </a:prstGeom>
                  </pic:spPr>
                </pic:pic>
              </a:graphicData>
            </a:graphic>
            <wp14:sizeRelH relativeFrom="margin">
              <wp14:pctWidth>0</wp14:pctWidth>
            </wp14:sizeRelH>
            <wp14:sizeRelV relativeFrom="margin">
              <wp14:pctHeight>0</wp14:pctHeight>
            </wp14:sizeRelV>
          </wp:anchor>
        </w:drawing>
      </w:r>
    </w:p>
    <w:p w:rsidR="00E57400" w:rsidRPr="00E57400" w:rsidRDefault="00E57400" w:rsidP="00E57400">
      <w:pPr>
        <w:rPr>
          <w:u w:val="single"/>
        </w:rPr>
      </w:pPr>
    </w:p>
    <w:p w:rsidR="00E57400" w:rsidRPr="00E57400" w:rsidRDefault="00E57400" w:rsidP="00E57400">
      <w:pPr>
        <w:rPr>
          <w:u w:val="single"/>
        </w:rPr>
      </w:pPr>
    </w:p>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Default="00E57400"/>
    <w:p w:rsidR="00E57400" w:rsidRPr="00E57400" w:rsidRDefault="00E57400" w:rsidP="008B6DB5">
      <w:pPr>
        <w:rPr>
          <w:u w:val="single"/>
        </w:rPr>
      </w:pPr>
      <w:r w:rsidRPr="00E57400">
        <w:rPr>
          <w:u w:val="single"/>
        </w:rPr>
        <w:lastRenderedPageBreak/>
        <w:t>Commentary on an extract from Chapter V of ‘The Art and Craft to Know Well to Die’ by William Caxton</w:t>
      </w:r>
    </w:p>
    <w:p w:rsidR="00E57400" w:rsidRPr="00E57400" w:rsidRDefault="00E57400" w:rsidP="00E57400">
      <w:r w:rsidRPr="00E57400">
        <w:t>Within the medieval period, there is a constant theme that dominates the minds of those in society, and this is the concept of death, dying and the macabre. Most s</w:t>
      </w:r>
      <w:r w:rsidR="008A3F2B">
        <w:t>ignificantly, the preparation for death by</w:t>
      </w:r>
      <w:r w:rsidRPr="00E57400">
        <w:t xml:space="preserve"> the individual and how to perform a ‘good’ death as opposed to a ‘bad’ one. It is first important, however, to define what a ‘good death’ is. In the eyes of a medieval Christian, a good death would entail ‘absolution, sacraments… [</w:t>
      </w:r>
      <w:proofErr w:type="gramStart"/>
      <w:r w:rsidRPr="00E57400">
        <w:t>and</w:t>
      </w:r>
      <w:proofErr w:type="gramEnd"/>
      <w:r w:rsidRPr="00E57400">
        <w:t>] burial in consecrated earth’.</w:t>
      </w:r>
      <w:r w:rsidRPr="00E57400">
        <w:rPr>
          <w:vertAlign w:val="superscript"/>
        </w:rPr>
        <w:footnoteReference w:id="18"/>
      </w:r>
      <w:r w:rsidRPr="00E57400">
        <w:t xml:space="preserve"> </w:t>
      </w:r>
    </w:p>
    <w:p w:rsidR="00E57400" w:rsidRPr="00E57400" w:rsidRDefault="00E57400" w:rsidP="00E57400">
      <w:r w:rsidRPr="00E57400">
        <w:t>Fear of a bad death</w:t>
      </w:r>
      <w:r w:rsidRPr="00E57400">
        <w:rPr>
          <w:vertAlign w:val="superscript"/>
        </w:rPr>
        <w:footnoteReference w:id="19"/>
      </w:r>
      <w:r w:rsidRPr="00E57400">
        <w:t xml:space="preserve"> is most apparent in the presence of the fourteen holy helpers and the death of Robert, Son of Humphrey, as documented by Orderic Vitalis in his </w:t>
      </w:r>
      <w:r w:rsidRPr="00E57400">
        <w:rPr>
          <w:i/>
        </w:rPr>
        <w:t>Ecclesiastical History</w:t>
      </w:r>
      <w:r w:rsidRPr="00E57400">
        <w:t>. Killed during an invasion by Welsh pirates, Robert is mutilated and his decapitated head placed on the mast of the enemy’s boat. However it is not the grief for the lord’s death which is interesting but rather the anger and distress of his followers in response to his bodily remains, or lack thereof.</w:t>
      </w:r>
      <w:r w:rsidRPr="00E57400">
        <w:rPr>
          <w:vertAlign w:val="superscript"/>
        </w:rPr>
        <w:footnoteReference w:id="20"/>
      </w:r>
      <w:r w:rsidRPr="00E57400">
        <w:t xml:space="preserve"> This tells us, as a reader, the importance of a prepared and well-structured death, rather than that of a rash and impromptu one, as I will explore later in my deconstruction of the importance of the </w:t>
      </w:r>
      <w:proofErr w:type="spellStart"/>
      <w:r w:rsidRPr="00E57400">
        <w:rPr>
          <w:i/>
        </w:rPr>
        <w:t>ars</w:t>
      </w:r>
      <w:proofErr w:type="spellEnd"/>
      <w:r w:rsidRPr="00E57400">
        <w:rPr>
          <w:i/>
        </w:rPr>
        <w:t xml:space="preserve"> moriendi. </w:t>
      </w:r>
      <w:r w:rsidRPr="00E57400">
        <w:t>The holy helpers were significant and important within medieval life as they were referred to by the clergy for their ‘efficacious [assistance] in [the] trials and sufferings [of individuals in need]’.</w:t>
      </w:r>
      <w:r w:rsidRPr="00E57400">
        <w:rPr>
          <w:vertAlign w:val="superscript"/>
        </w:rPr>
        <w:footnoteReference w:id="21"/>
      </w:r>
      <w:r w:rsidRPr="00E57400">
        <w:t xml:space="preserve"> These martyrs include St. Erasmus, St. Catherine of Alexandria and St. Christopher; who is most generally known for invoking against plague and sudden death.</w:t>
      </w:r>
      <w:r w:rsidRPr="00E57400">
        <w:rPr>
          <w:vertAlign w:val="superscript"/>
        </w:rPr>
        <w:footnoteReference w:id="22"/>
      </w:r>
      <w:r w:rsidRPr="00E57400">
        <w:t xml:space="preserve"> The necessity for saints which accompany and fight off aspects of death in medieval life confirms the fear but also familiarity of the afterlife as a constant throughout a person’s time on earth. </w:t>
      </w:r>
    </w:p>
    <w:p w:rsidR="00E57400" w:rsidRPr="00E57400" w:rsidRDefault="00E57400" w:rsidP="00E57400">
      <w:r w:rsidRPr="00E57400">
        <w:t xml:space="preserve">The </w:t>
      </w:r>
      <w:proofErr w:type="spellStart"/>
      <w:r w:rsidRPr="00E57400">
        <w:rPr>
          <w:i/>
        </w:rPr>
        <w:t>ars</w:t>
      </w:r>
      <w:proofErr w:type="spellEnd"/>
      <w:r w:rsidRPr="00E57400">
        <w:rPr>
          <w:i/>
        </w:rPr>
        <w:t xml:space="preserve"> moriendi</w:t>
      </w:r>
      <w:r w:rsidRPr="00E57400">
        <w:t xml:space="preserve"> allows Christian individuals to ‘give themselves over to death in a spirit of joy and happiness’, as stated by Moller in reference to ‘the art of dying well’ manuals published in the fifteenth and sixteenth century.</w:t>
      </w:r>
      <w:r w:rsidRPr="00E57400">
        <w:rPr>
          <w:vertAlign w:val="superscript"/>
        </w:rPr>
        <w:footnoteReference w:id="23"/>
      </w:r>
      <w:r w:rsidRPr="00E57400">
        <w:t xml:space="preserve"> This is strongly supported in Caxton’s extract in which it states that the assistants should read literature and biblical stories which the dying took joy in listening and reflecting to in their health: ‘ought to read before him histories and devout orisons, which before he delighted and took pleasure in’. This not only takes away the unpleasantness of death, but also assures the reader of the manual that death is not a scary experience, but one which can be, almost, enjoyable, reflective and comforting, as the afterlife is the reward for the suffering. This reminder of the inevitability of death, in turn taking away the fear of death itself, normalises the cycle of life and death; however it is clear within this extract that this </w:t>
      </w:r>
      <w:proofErr w:type="spellStart"/>
      <w:r w:rsidRPr="00E57400">
        <w:rPr>
          <w:i/>
        </w:rPr>
        <w:t>ars</w:t>
      </w:r>
      <w:proofErr w:type="spellEnd"/>
      <w:r w:rsidRPr="00E57400">
        <w:rPr>
          <w:i/>
        </w:rPr>
        <w:t xml:space="preserve"> moriendi</w:t>
      </w:r>
      <w:r w:rsidRPr="00E57400">
        <w:t xml:space="preserve"> is for the reflection of the clergy and those assisting the dying, rather than the dying themselves and their own personal meditation. </w:t>
      </w:r>
    </w:p>
    <w:p w:rsidR="00E57400" w:rsidRPr="00E57400" w:rsidRDefault="00E57400" w:rsidP="00E57400">
      <w:r w:rsidRPr="00E57400">
        <w:t>It cannot be ignored that the middle ages homed a society which witnessed death on a daily basis, if not in person than through art and religious ceremonies. The crucifixion is something that everybody would have seen and is instructed as a point of reflection before death: ‘presented to the sick person the image of the crucifix’ as to reflect on the ultimate sacrifice that Christ performed for human sin. The crucifixion itself is not a pleasant scene, with artistic portrayals becoming increasingly more violent and gory throughout the middle ages.</w:t>
      </w:r>
      <w:r w:rsidRPr="00E57400">
        <w:rPr>
          <w:vertAlign w:val="superscript"/>
        </w:rPr>
        <w:footnoteReference w:id="24"/>
      </w:r>
      <w:r w:rsidRPr="00E57400">
        <w:t xml:space="preserve"> Therefore it can be assumed that due to the more focused and tuned outlook of death as a normality within the medieval era, if only in art or </w:t>
      </w:r>
      <w:r w:rsidRPr="00E57400">
        <w:lastRenderedPageBreak/>
        <w:t xml:space="preserve">architecture, the obsession of death and dying is understandable as the constant presence of death would be sure to spark curiosity and paranoia of a person’s fate in the afterlife.  </w:t>
      </w:r>
    </w:p>
    <w:p w:rsidR="00E57400" w:rsidRPr="00E57400" w:rsidRDefault="00E57400" w:rsidP="00E57400">
      <w:r w:rsidRPr="00E57400">
        <w:t>The formalities and sequence of a good death in Caxton’s work takes on a very structured and organised step-by-step guide: a reminder of God’s commandments, interrogations, resistance from temptations and the devil, and the crucifix and holy water. The interrogation of the dying relates to the Seven Interrogations, in which the extract states ‘the interrogations be made before or that the sick man lose the usage of speech’. The ‘interrogation’, also known as confession, referred to an exploration and inquiry into the dying’s relationship with ‘the seven deadly sins and…the circumstances, leading to examination of the penitent’.</w:t>
      </w:r>
      <w:r w:rsidRPr="00E57400">
        <w:rPr>
          <w:vertAlign w:val="superscript"/>
        </w:rPr>
        <w:footnoteReference w:id="25"/>
      </w:r>
      <w:r w:rsidRPr="00E57400">
        <w:t xml:space="preserve"> The formality and structure of a good death, as presented in this extract, supports the idea that the attitudes towards death and the treatment of the dying, and the actions undertaken, was a repetitive and identical one, which stripped away any sense of individuality. The scene of the ‘deathbed’ and the ‘assisting’ presents a combination of both a clinical and spiritual procedure, which desensitizes the idea of death and dying. </w:t>
      </w:r>
      <w:r w:rsidRPr="00E57400">
        <w:rPr>
          <w:i/>
        </w:rPr>
        <w:t>Ars moriendi</w:t>
      </w:r>
      <w:r w:rsidRPr="00E57400">
        <w:t xml:space="preserve"> in this case, comes across very much in a way that pursues the inevitability of death, with dying being only a fragment between living and the afterlife. </w:t>
      </w:r>
    </w:p>
    <w:p w:rsidR="00E57400" w:rsidRDefault="00E57400" w:rsidP="00E57400">
      <w:pPr>
        <w:rPr>
          <w:u w:val="single"/>
        </w:rPr>
      </w:pPr>
    </w:p>
    <w:p w:rsidR="00E57400" w:rsidRDefault="00E57400" w:rsidP="00E57400">
      <w:pPr>
        <w:rPr>
          <w:u w:val="single"/>
        </w:rPr>
      </w:pPr>
    </w:p>
    <w:p w:rsidR="00E57400" w:rsidRPr="00E57400" w:rsidRDefault="00E57400" w:rsidP="00E57400">
      <w:pPr>
        <w:jc w:val="center"/>
        <w:rPr>
          <w:u w:val="single"/>
        </w:rPr>
      </w:pPr>
      <w:r w:rsidRPr="00E57400">
        <w:rPr>
          <w:u w:val="single"/>
        </w:rPr>
        <w:t>Figure One: Sloane 2468 f. 227v Crucifixion. Book of Hours. Paris. 1420 AD.</w:t>
      </w:r>
    </w:p>
    <w:p w:rsidR="00E57400" w:rsidRPr="00E57400" w:rsidRDefault="00E57400" w:rsidP="00E57400">
      <w:r w:rsidRPr="00E57400">
        <w:rPr>
          <w:noProof/>
          <w:lang w:eastAsia="en-GB"/>
        </w:rPr>
        <w:drawing>
          <wp:anchor distT="0" distB="0" distL="114300" distR="114300" simplePos="0" relativeHeight="251667456" behindDoc="0" locked="0" layoutInCell="1" allowOverlap="1" wp14:anchorId="2D77C1EC" wp14:editId="66573999">
            <wp:simplePos x="0" y="0"/>
            <wp:positionH relativeFrom="margin">
              <wp:posOffset>1617980</wp:posOffset>
            </wp:positionH>
            <wp:positionV relativeFrom="margin">
              <wp:posOffset>3927747</wp:posOffset>
            </wp:positionV>
            <wp:extent cx="2486318" cy="4147185"/>
            <wp:effectExtent l="0" t="0" r="9525" b="5715"/>
            <wp:wrapSquare wrapText="bothSides"/>
            <wp:docPr id="3" name="Picture 3" descr="Detail">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tail">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86318" cy="4147185"/>
                    </a:xfrm>
                    <a:prstGeom prst="rect">
                      <a:avLst/>
                    </a:prstGeom>
                    <a:noFill/>
                    <a:ln>
                      <a:noFill/>
                    </a:ln>
                  </pic:spPr>
                </pic:pic>
              </a:graphicData>
            </a:graphic>
          </wp:anchor>
        </w:drawing>
      </w:r>
    </w:p>
    <w:p w:rsidR="000D2576" w:rsidRPr="00E57400" w:rsidRDefault="00A3157B" w:rsidP="00E57400"/>
    <w:p w:rsidR="00E57400" w:rsidRDefault="00E57400"/>
    <w:p w:rsidR="00B46636" w:rsidRDefault="00B46636"/>
    <w:p w:rsidR="00B46636" w:rsidRDefault="00B46636"/>
    <w:p w:rsidR="00B46636" w:rsidRDefault="00B46636"/>
    <w:p w:rsidR="00B46636" w:rsidRDefault="00B46636"/>
    <w:p w:rsidR="00B46636" w:rsidRDefault="00B46636"/>
    <w:p w:rsidR="00B46636" w:rsidRDefault="00B46636"/>
    <w:p w:rsidR="00B46636" w:rsidRDefault="00B46636"/>
    <w:p w:rsidR="00B46636" w:rsidRDefault="00B46636"/>
    <w:p w:rsidR="00B46636" w:rsidRDefault="00B46636"/>
    <w:p w:rsidR="00B46636" w:rsidRDefault="00B46636"/>
    <w:p w:rsidR="00B46636" w:rsidRDefault="00B46636"/>
    <w:p w:rsidR="00B46636" w:rsidRDefault="00B46636"/>
    <w:p w:rsidR="00B46636" w:rsidRDefault="00B46636"/>
    <w:p w:rsidR="00B46636" w:rsidRPr="00B46636" w:rsidRDefault="00B46636" w:rsidP="00B46636">
      <w:pPr>
        <w:rPr>
          <w:u w:val="single"/>
        </w:rPr>
      </w:pPr>
      <w:r w:rsidRPr="00B46636">
        <w:rPr>
          <w:u w:val="single"/>
        </w:rPr>
        <w:lastRenderedPageBreak/>
        <w:t xml:space="preserve">Commentary on J. Casey, </w:t>
      </w:r>
      <w:r w:rsidRPr="00B46636">
        <w:rPr>
          <w:i/>
          <w:u w:val="single"/>
        </w:rPr>
        <w:t>After Lives: A Guide to Heaven, Hell, and Purgatory</w:t>
      </w:r>
      <w:r w:rsidRPr="00B46636">
        <w:rPr>
          <w:u w:val="single"/>
        </w:rPr>
        <w:t xml:space="preserve"> (Oxford: Oxford University Press, 2009), ‘Rome’s Happiest Inspiration, pp. 225-242.</w:t>
      </w:r>
    </w:p>
    <w:p w:rsidR="00B46636" w:rsidRPr="00B46636" w:rsidRDefault="00B46636" w:rsidP="00B46636">
      <w:r w:rsidRPr="00B46636">
        <w:t xml:space="preserve">When reading and responding to this chapter taken from Casey’s </w:t>
      </w:r>
      <w:r w:rsidRPr="00B46636">
        <w:rPr>
          <w:i/>
        </w:rPr>
        <w:t>After Lives</w:t>
      </w:r>
      <w:r w:rsidRPr="00B46636">
        <w:t>, it if firstly important to understand the exact argument that he is presenting, but also to establish my own personal definitions which I will be referring back to and reflecting upon throughout this essay. The two key words that stand out in Casey’s statement are ‘purgatory’ and ‘inspiration’. The definition for purgatory that I will be making reference to throughout this commentary is as follows: ‘a place to which Roman Catholics believe the spirits of dead people go and suffer for the evil acts that they did while they were alive, before they are able to go to Heaven’.</w:t>
      </w:r>
      <w:r w:rsidRPr="00B46636">
        <w:rPr>
          <w:vertAlign w:val="superscript"/>
        </w:rPr>
        <w:footnoteReference w:id="26"/>
      </w:r>
      <w:r w:rsidRPr="00B46636">
        <w:t xml:space="preserve"> This basic definition acts as a foundation for understanding the overall transient concept of purgatorial sufferings; the internal pain and anguish of the souls lessening as the amount of redeeming and sufferable acts increases, and the eventual ascension to heaven. As seen in 696 AD when Bede describes the vision that a man has after coming back from the dead. In Chapter Twelve of Bede’s </w:t>
      </w:r>
      <w:r w:rsidRPr="00B46636">
        <w:rPr>
          <w:i/>
        </w:rPr>
        <w:t>Ecclesiastical History,</w:t>
      </w:r>
      <w:r w:rsidRPr="00B46636">
        <w:t xml:space="preserve"> the man describes what he saw during his brief encounter with death. In a conversation with a figure leading him through purgatory to heaven, the figure states:</w:t>
      </w:r>
    </w:p>
    <w:p w:rsidR="00B46636" w:rsidRPr="00B46636" w:rsidRDefault="00B46636" w:rsidP="00B46636">
      <w:r w:rsidRPr="00B46636">
        <w:t>‘That valley which you be held terrible with flaming fire… place in which the souls of those are tried and punished, who, delaying to confess and amend their crimes… because they, even at their death, confessed and repented, they shall all be received into the kingdom of Heaven at the day of judgement.’</w:t>
      </w:r>
      <w:r w:rsidRPr="00B46636">
        <w:rPr>
          <w:vertAlign w:val="superscript"/>
        </w:rPr>
        <w:footnoteReference w:id="27"/>
      </w:r>
    </w:p>
    <w:p w:rsidR="00B46636" w:rsidRPr="00B46636" w:rsidRDefault="00B46636" w:rsidP="00B46636">
      <w:r w:rsidRPr="00B46636">
        <w:t>This ended the popular concept of predestination, where a person’s place in the afterlife has already been determined by God since the time they were born. This doctrine had already been criticised by society, for to be God, who determined the acts of good and bad, would confirm God to be the author of sin.</w:t>
      </w:r>
      <w:r w:rsidRPr="00B46636">
        <w:rPr>
          <w:vertAlign w:val="superscript"/>
        </w:rPr>
        <w:footnoteReference w:id="28"/>
      </w:r>
      <w:r w:rsidRPr="00B46636">
        <w:t xml:space="preserve"> It also hints at the preparation of a good death, teaching the man whom the figure is conversing with to confess all before death and never to withhold any information.</w:t>
      </w:r>
    </w:p>
    <w:p w:rsidR="00B46636" w:rsidRPr="00B46636" w:rsidRDefault="00B46636" w:rsidP="00B46636">
      <w:r w:rsidRPr="00B46636">
        <w:t>What is also interesting to me is Casey’s use of the phrase ‘Rome’s Happiest Inspiration’ in relation to the Catholic doctrine of purgatory. The Cambridge dictionary defines the word ‘inspiration’ as a ‘sudden good idea’.</w:t>
      </w:r>
      <w:r w:rsidRPr="00B46636">
        <w:rPr>
          <w:vertAlign w:val="superscript"/>
        </w:rPr>
        <w:footnoteReference w:id="29"/>
      </w:r>
      <w:r w:rsidRPr="00B46636">
        <w:t xml:space="preserve"> This infers that the concept of purgatory was thought up and has no real substance, or was supported for Rome’s own benefits (for the papacy and the people) in reaction to the clergy’s claims of visions of a ‘middle state’. To focus the exact scope and extent of my enquiry, I will be looking at the ways in which purgatory was beneficial to firstly, the people, and the papacy in Rome, in response to this historiographical investigation led by J. Casey, which states that ‘power…money…repentance…solidarity…perdition and salvation’</w:t>
      </w:r>
      <w:r w:rsidRPr="00B46636">
        <w:rPr>
          <w:vertAlign w:val="superscript"/>
        </w:rPr>
        <w:footnoteReference w:id="30"/>
      </w:r>
      <w:r w:rsidRPr="00B46636">
        <w:t xml:space="preserve"> are all reasons and consequences for the inspiration of purgatory. </w:t>
      </w:r>
    </w:p>
    <w:p w:rsidR="00B46636" w:rsidRPr="00B46636" w:rsidRDefault="00B46636" w:rsidP="00B46636">
      <w:r w:rsidRPr="00B46636">
        <w:t xml:space="preserve">The idea of purgatory gave people within medieval society the hope and chance to change their own fate and experience in the afterlife. A ‘middle state for the souls’, purgatory offered people a possibility of escape, as seen in a church mural in Chaldon, Sussex. This wall painting portrays the purgatorial ladder, often referred to as the ‘ladder of salvation’, presented in combination with both </w:t>
      </w:r>
      <w:r w:rsidRPr="00B46636">
        <w:lastRenderedPageBreak/>
        <w:t>hell and heaven.</w:t>
      </w:r>
      <w:r w:rsidRPr="00B46636">
        <w:rPr>
          <w:vertAlign w:val="superscript"/>
        </w:rPr>
        <w:footnoteReference w:id="31"/>
      </w:r>
      <w:r w:rsidRPr="00B46636">
        <w:t xml:space="preserve"> Hell is seen below and heaven above, with a separation clearly shown through the use of border. However, there is a point in the middle of the border where there is a break and a possibility of escape. This is one of the few pieces of medieval art which shows purgatory in this manner, with many only briefly portraying in scenes of the Last Judgement. This chance of escape is echoed in the vision of the monk of Eynsham. In his vision, he states that he witnesses ‘sinners set to the punishments that fitted their deeds and their characters’, whose struggles were diverse, where some people had ‘a lighter punishment than others’.</w:t>
      </w:r>
      <w:r w:rsidRPr="00B46636">
        <w:rPr>
          <w:vertAlign w:val="superscript"/>
        </w:rPr>
        <w:footnoteReference w:id="32"/>
      </w:r>
      <w:r w:rsidRPr="00B46636">
        <w:t xml:space="preserve"> This idea of going through punishments tailored to the individual, as well as the idea of struggles becoming easier the longer that punishments are endured and the sins are dissolved, is much like the functionality of purgatorial fire; to melt off the sins of the individual and uncover the innocence of the individual’s soul. Casey states that this ‘assured hope of final salvation’ is one of the reasons for purgatory earning the statement of ‘Rome’s happiest inspiration’. It gave those throughout medieval society a chance to redeem themselves, even if they are caught by an unexpected and unprepared death which rids them from the opportunity of confession. It subtracts a substantial amount of fear from the inevitability of death. It also reduces the fear of judgement, disputing the graphic and gory artistic portrayals of Judgement Day which were popularly produced throughout the tenth to fifteenth century.</w:t>
      </w:r>
      <w:r w:rsidRPr="00B46636">
        <w:rPr>
          <w:vertAlign w:val="superscript"/>
        </w:rPr>
        <w:footnoteReference w:id="33"/>
      </w:r>
      <w:r w:rsidRPr="00B46636">
        <w:t xml:space="preserve"> </w:t>
      </w:r>
    </w:p>
    <w:p w:rsidR="00B46636" w:rsidRPr="00B46636" w:rsidRDefault="00B46636" w:rsidP="00B46636">
      <w:r w:rsidRPr="00B46636">
        <w:t>However, if we were to be cynical on this matter, we could also make the statement that purgatory was a happy invention for Rome and, in particular the papacy, as it financially profits off of the fears of eternal damnation expressed by the laity and nobility. After the increased support of purgatory and its adoption into the Catholic faith, the papacy started to hand out indulgences, which could be bought for a certain amount of money and either offer complete absolution from sin or any sin performed after the individuals’ last confession. This caught a lot of attention and became a great investment of multiple instalments in order for the salvation of the soul in the afterlife. As Casey states: ‘A man that hath money in his pocket cannot be damned’. This idea of using financial aid to save the lives of both the dead and the living in the afterlife, as of course these indulgences could be bought on behalf of relatives, went against the usual temporal penalties that were executed by sinners in the past. This included ‘fasting, praying and almsgiving’</w:t>
      </w:r>
      <w:r w:rsidRPr="00B46636">
        <w:rPr>
          <w:vertAlign w:val="superscript"/>
        </w:rPr>
        <w:footnoteReference w:id="34"/>
      </w:r>
      <w:r w:rsidRPr="00B46636">
        <w:t xml:space="preserve"> and, when each punishment for sin had been completed, it was believed that an individuals’ sin would be forgiven, or if the punishment was not completed, it would be completed in a purgatorial ‘middle state’.</w:t>
      </w:r>
      <w:r w:rsidRPr="00B46636">
        <w:rPr>
          <w:vertAlign w:val="superscript"/>
        </w:rPr>
        <w:footnoteReference w:id="35"/>
      </w:r>
      <w:r w:rsidRPr="00B46636">
        <w:t xml:space="preserve"> It was believed that these new indulgences which had been introduced by the papacy (who believed that they, along with God, held the power to forgive and rid a man of man) were a way in which the church were able to abuse the idea for their own financial income. For example, as Casey demonstrates:</w:t>
      </w:r>
    </w:p>
    <w:p w:rsidR="00B46636" w:rsidRPr="00B46636" w:rsidRDefault="00B46636" w:rsidP="00B46636">
      <w:r w:rsidRPr="00B46636">
        <w:t>‘A certain rich proprietor at Alicante having died, left sufficient money to the church for the purpose of 12,000 masses for his soul; but after a few of them had been said, the masses were discontinued’.</w:t>
      </w:r>
      <w:r w:rsidRPr="00B46636">
        <w:rPr>
          <w:vertAlign w:val="superscript"/>
        </w:rPr>
        <w:footnoteReference w:id="36"/>
      </w:r>
    </w:p>
    <w:p w:rsidR="00B46636" w:rsidRPr="00B46636" w:rsidRDefault="00B46636" w:rsidP="00B46636">
      <w:r w:rsidRPr="00B46636">
        <w:lastRenderedPageBreak/>
        <w:t>This tells us, as historians, the effectiveness of focusing on an individual’s vulnerability, in this case the fear of death and the afterlife, to financially aid the ecclesiastical structure. This is most prominent in a letter addressed to the Archbishop of Mainz in 1517, written by Martin Luther, which states that the archbishop had authorised the sale of indulgences in order to finance the building of St. Peter’s basilica in the Vatican City. Luther addresses the archbishop with great concern, saying that the papacy is lying and deceiving the people of Rome by making them believe that ‘as soon as they cast their contributions into the money-box, souls fly out of purgatory.’</w:t>
      </w:r>
      <w:r w:rsidRPr="00B46636">
        <w:rPr>
          <w:vertAlign w:val="superscript"/>
        </w:rPr>
        <w:footnoteReference w:id="37"/>
      </w:r>
      <w:r w:rsidRPr="00B46636">
        <w:t xml:space="preserve"> This, along with the example of the discontinuation of masses for a noble in Alicante presented earlier, not only displays the papacy as untrustworthy and dishonest in their promise of masses to be continued after the death of an individual (dependent on the amount of money spent), but also that the profit made from these indulgences was only used to express the wealth of the Catholic church even further, creating great basilicas to establish and consolidate authority. Although it may be stated that indulgences, a concept introduced in reaction to the legitimisation of purgatory, may not have been introduced with the best intention, but rather to strengthen the progress, power and expansion of the Catholic Church and Catholicism in medieval Europe. In the eyes of the papacy, purgatory was indeed ‘Rome’s Happiest Inspiration’; as ‘purgatory brought to the church not only new spiritual power but also, to put it bluntly, considerable profit’.</w:t>
      </w:r>
      <w:r w:rsidRPr="00B46636">
        <w:rPr>
          <w:vertAlign w:val="superscript"/>
        </w:rPr>
        <w:footnoteReference w:id="38"/>
      </w:r>
    </w:p>
    <w:p w:rsidR="00B46636" w:rsidRDefault="00B46636" w:rsidP="00B46636">
      <w:r w:rsidRPr="00B46636">
        <w:t xml:space="preserve">To conclude, Casey’s statement that purgatory can be understood as ‘Rome’s Greatest Inspiration’ is a strong, and in my opinion, valid argument to make. It is not only beneficial to that of the papacy but rather all aspects of society, reducing the terror of judgement and ending the doctrine of predestination, as well as introducing the notion of indulgences which positively impacts both individuals of the laity and nobility and that of the clergy and papacy. It allows individual’s to have a sense of hope in the afterlife, confirming that you can change your own fate in the afterlife by changing your way of life or the actions you choose to make on earth. Indulgences allowed the papacy to financially support themselves, reacting as a collaboration with purgatory to establish their power and authority over secular components of life. Though it can be stated that the church did exploit indulgences to support and expand their influence financially and authoritatively, it cannot be denied that the impacts associated with the ‘inspiration’ of purgatory were overall positive for both the papacy and the people. The word ‘inspiration’ however, is arguable, depending on your religious inclinations. For example, for some people the vision of monks is a strong and dependable source to grow and spread a ‘legitimate’ concept from. However, others will believe that this is not a dependable source and will assume that it just gave way to an idea which could be manipulated to suit the needs of the people as well as the papacy. </w:t>
      </w:r>
    </w:p>
    <w:p w:rsidR="000F7CBC" w:rsidRDefault="000F7CBC" w:rsidP="00B46636"/>
    <w:p w:rsidR="000F7CBC" w:rsidRDefault="000F7CBC" w:rsidP="00B46636"/>
    <w:p w:rsidR="000F7CBC" w:rsidRDefault="000F7CBC" w:rsidP="00B46636"/>
    <w:p w:rsidR="000F7CBC" w:rsidRDefault="000F7CBC" w:rsidP="00B46636"/>
    <w:p w:rsidR="000F7CBC" w:rsidRDefault="000F7CBC" w:rsidP="00B46636"/>
    <w:p w:rsidR="000F7CBC" w:rsidRDefault="000F7CBC" w:rsidP="00B46636"/>
    <w:p w:rsidR="000F7CBC" w:rsidRPr="000F7CBC" w:rsidRDefault="000F7CBC" w:rsidP="000F7CBC">
      <w:pPr>
        <w:rPr>
          <w:u w:val="single"/>
        </w:rPr>
      </w:pPr>
      <w:r w:rsidRPr="000F7CBC">
        <w:rPr>
          <w:u w:val="single"/>
        </w:rPr>
        <w:lastRenderedPageBreak/>
        <w:t>Figure One: Church Mural situated in Chaldon, Sussex, which presents the ‘ladder of salvation’.</w:t>
      </w:r>
    </w:p>
    <w:p w:rsidR="000F7CBC" w:rsidRPr="000F7CBC" w:rsidRDefault="000F7CBC" w:rsidP="000F7CBC">
      <w:pPr>
        <w:rPr>
          <w:u w:val="single"/>
        </w:rPr>
      </w:pPr>
      <w:r w:rsidRPr="000F7CBC">
        <w:drawing>
          <wp:inline distT="0" distB="0" distL="0" distR="0" wp14:anchorId="6E5BE765" wp14:editId="56C8FCCF">
            <wp:extent cx="5667375" cy="3552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a:stretch/>
                  </pic:blipFill>
                  <pic:spPr bwMode="auto">
                    <a:xfrm>
                      <a:off x="0" y="0"/>
                      <a:ext cx="5667375" cy="3552825"/>
                    </a:xfrm>
                    <a:prstGeom prst="rect">
                      <a:avLst/>
                    </a:prstGeom>
                    <a:ln>
                      <a:noFill/>
                    </a:ln>
                    <a:extLst>
                      <a:ext uri="{53640926-AAD7-44D8-BBD7-CCE9431645EC}">
                        <a14:shadowObscured xmlns:a14="http://schemas.microsoft.com/office/drawing/2010/main"/>
                      </a:ext>
                    </a:extLst>
                  </pic:spPr>
                </pic:pic>
              </a:graphicData>
            </a:graphic>
          </wp:inline>
        </w:drawing>
      </w:r>
    </w:p>
    <w:p w:rsidR="000F7CBC" w:rsidRPr="000F7CBC" w:rsidRDefault="000F7CBC" w:rsidP="000F7CBC"/>
    <w:p w:rsidR="000F7CBC" w:rsidRPr="000F7CBC" w:rsidRDefault="000F7CBC" w:rsidP="000F7CBC"/>
    <w:p w:rsidR="000F7CBC" w:rsidRPr="000F7CBC" w:rsidRDefault="000F7CBC" w:rsidP="000F7CBC">
      <w:pPr>
        <w:jc w:val="center"/>
        <w:rPr>
          <w:u w:val="single"/>
        </w:rPr>
      </w:pPr>
      <w:r w:rsidRPr="000F7CBC">
        <w:rPr>
          <w:u w:val="single"/>
        </w:rPr>
        <w:t>Figure Two: Royal 19 C II f. 26v Last Judgement. Laurent d'Orleans. France. 14</w:t>
      </w:r>
      <w:r w:rsidRPr="000F7CBC">
        <w:rPr>
          <w:u w:val="single"/>
          <w:vertAlign w:val="superscript"/>
        </w:rPr>
        <w:t>th</w:t>
      </w:r>
      <w:r w:rsidRPr="000F7CBC">
        <w:rPr>
          <w:u w:val="single"/>
        </w:rPr>
        <w:t xml:space="preserve"> Century.</w:t>
      </w:r>
    </w:p>
    <w:p w:rsidR="000F7CBC" w:rsidRPr="000F7CBC" w:rsidRDefault="000F7CBC" w:rsidP="000F7CBC">
      <w:pPr>
        <w:rPr>
          <w:u w:val="single"/>
        </w:rPr>
      </w:pPr>
      <w:r w:rsidRPr="000F7CBC">
        <w:drawing>
          <wp:anchor distT="0" distB="0" distL="114300" distR="114300" simplePos="0" relativeHeight="251669504" behindDoc="1" locked="0" layoutInCell="1" allowOverlap="1" wp14:anchorId="7797796C" wp14:editId="091A177A">
            <wp:simplePos x="0" y="0"/>
            <wp:positionH relativeFrom="margin">
              <wp:align>center</wp:align>
            </wp:positionH>
            <wp:positionV relativeFrom="paragraph">
              <wp:posOffset>20320</wp:posOffset>
            </wp:positionV>
            <wp:extent cx="2738755" cy="4010025"/>
            <wp:effectExtent l="0" t="0" r="4445" b="9525"/>
            <wp:wrapTight wrapText="bothSides">
              <wp:wrapPolygon edited="0">
                <wp:start x="0" y="0"/>
                <wp:lineTo x="0" y="21549"/>
                <wp:lineTo x="21485" y="21549"/>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738755" cy="4010025"/>
                    </a:xfrm>
                    <a:prstGeom prst="rect">
                      <a:avLst/>
                    </a:prstGeom>
                  </pic:spPr>
                </pic:pic>
              </a:graphicData>
            </a:graphic>
            <wp14:sizeRelH relativeFrom="margin">
              <wp14:pctWidth>0</wp14:pctWidth>
            </wp14:sizeRelH>
            <wp14:sizeRelV relativeFrom="margin">
              <wp14:pctHeight>0</wp14:pctHeight>
            </wp14:sizeRelV>
          </wp:anchor>
        </w:drawing>
      </w: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0F7CBC" w:rsidRPr="000F7CBC" w:rsidRDefault="000F7CBC" w:rsidP="000F7CBC">
      <w:pPr>
        <w:rPr>
          <w:u w:val="single"/>
        </w:rPr>
      </w:pPr>
    </w:p>
    <w:p w:rsidR="00B46636" w:rsidRDefault="000F7CBC">
      <w:r w:rsidRPr="000F7CBC">
        <w:t xml:space="preserve"> </w:t>
      </w:r>
    </w:p>
    <w:p w:rsidR="00C10CB2" w:rsidRPr="00C10CB2" w:rsidRDefault="00C10CB2" w:rsidP="00C10CB2">
      <w:pPr>
        <w:rPr>
          <w:u w:val="single"/>
        </w:rPr>
      </w:pPr>
      <w:r w:rsidRPr="00C10CB2">
        <w:rPr>
          <w:u w:val="single"/>
        </w:rPr>
        <w:lastRenderedPageBreak/>
        <w:t xml:space="preserve">Combined Bibliography </w:t>
      </w:r>
    </w:p>
    <w:p w:rsidR="00C10CB2" w:rsidRPr="00C10CB2" w:rsidRDefault="00C10CB2" w:rsidP="00C10CB2">
      <w:pPr>
        <w:rPr>
          <w:u w:val="single"/>
        </w:rPr>
      </w:pPr>
    </w:p>
    <w:p w:rsidR="00C10CB2" w:rsidRPr="00C10CB2" w:rsidRDefault="00C10CB2" w:rsidP="00C10CB2">
      <w:pPr>
        <w:rPr>
          <w:u w:val="single"/>
        </w:rPr>
      </w:pPr>
      <w:r w:rsidRPr="00C10CB2">
        <w:rPr>
          <w:u w:val="single"/>
        </w:rPr>
        <w:t>Primary Source Material:</w:t>
      </w:r>
    </w:p>
    <w:p w:rsidR="00C10CB2" w:rsidRPr="00C10CB2" w:rsidRDefault="00C10CB2" w:rsidP="00C10CB2">
      <w:r w:rsidRPr="00C10CB2">
        <w:t xml:space="preserve">Bede, </w:t>
      </w:r>
      <w:r w:rsidRPr="00C10CB2">
        <w:rPr>
          <w:i/>
        </w:rPr>
        <w:t>Ecclesiastical History of England</w:t>
      </w:r>
      <w:r w:rsidRPr="00C10CB2">
        <w:t>, trans. A.M. Sellar (London: George Bell and Sons, 1907).</w:t>
      </w:r>
    </w:p>
    <w:p w:rsidR="00C10CB2" w:rsidRPr="00C10CB2" w:rsidRDefault="00C10CB2" w:rsidP="00C10CB2">
      <w:r w:rsidRPr="00C10CB2">
        <w:t xml:space="preserve">Martin Luther, </w:t>
      </w:r>
      <w:r w:rsidRPr="00C10CB2">
        <w:rPr>
          <w:i/>
        </w:rPr>
        <w:t>Letter to the Archbishop of Mainz</w:t>
      </w:r>
      <w:r w:rsidRPr="00C10CB2">
        <w:t xml:space="preserve"> from </w:t>
      </w:r>
      <w:r w:rsidRPr="00C10CB2">
        <w:rPr>
          <w:i/>
        </w:rPr>
        <w:t>The Works of Martin Luther,</w:t>
      </w:r>
      <w:r w:rsidRPr="00C10CB2">
        <w:t xml:space="preserve"> ed. and trans. A. </w:t>
      </w:r>
      <w:proofErr w:type="spellStart"/>
      <w:r w:rsidRPr="00C10CB2">
        <w:t>Spaeth</w:t>
      </w:r>
      <w:proofErr w:type="spellEnd"/>
      <w:r w:rsidRPr="00C10CB2">
        <w:t xml:space="preserve">, L.D. Reed, H.E. Jacobs, vol.1, (Philadelphia: A. J. Holman Company, 1915). </w:t>
      </w:r>
    </w:p>
    <w:p w:rsidR="00C10CB2" w:rsidRPr="00C10CB2" w:rsidRDefault="00C10CB2" w:rsidP="00C10CB2">
      <w:r w:rsidRPr="00C10CB2">
        <w:t xml:space="preserve">Monk of Eynsham, </w:t>
      </w:r>
      <w:r w:rsidRPr="00C10CB2">
        <w:rPr>
          <w:i/>
        </w:rPr>
        <w:t>Revelation of the monk of Eynsham</w:t>
      </w:r>
      <w:r w:rsidRPr="00C10CB2">
        <w:t xml:space="preserve">, in the Complete text of </w:t>
      </w:r>
      <w:r w:rsidRPr="00C10CB2">
        <w:rPr>
          <w:i/>
        </w:rPr>
        <w:t>The Revelation of the Monk of Eynsham</w:t>
      </w:r>
      <w:r w:rsidRPr="00C10CB2">
        <w:t xml:space="preserve">, ed. R. Easting from manuscripts in the British Library and the Bodleian Library Oxford, available through the Early English Text Society (EETS). </w:t>
      </w:r>
    </w:p>
    <w:p w:rsidR="00C10CB2" w:rsidRPr="00C10CB2" w:rsidRDefault="00C10CB2" w:rsidP="00C10CB2">
      <w:pPr>
        <w:rPr>
          <w:u w:val="single"/>
        </w:rPr>
      </w:pPr>
      <w:r w:rsidRPr="00C10CB2">
        <w:t xml:space="preserve">Orderic Vitalis, </w:t>
      </w:r>
      <w:proofErr w:type="gramStart"/>
      <w:r w:rsidRPr="00C10CB2">
        <w:rPr>
          <w:i/>
        </w:rPr>
        <w:t>The</w:t>
      </w:r>
      <w:proofErr w:type="gramEnd"/>
      <w:r w:rsidRPr="00C10CB2">
        <w:rPr>
          <w:i/>
        </w:rPr>
        <w:t xml:space="preserve"> Ecclesiastical History of </w:t>
      </w:r>
      <w:proofErr w:type="spellStart"/>
      <w:r w:rsidRPr="00C10CB2">
        <w:rPr>
          <w:i/>
        </w:rPr>
        <w:t>Orderiic</w:t>
      </w:r>
      <w:proofErr w:type="spellEnd"/>
      <w:r w:rsidRPr="00C10CB2">
        <w:rPr>
          <w:i/>
        </w:rPr>
        <w:t xml:space="preserve"> Vitalis</w:t>
      </w:r>
      <w:r w:rsidRPr="00C10CB2">
        <w:t>, trans. M. Chibnall (Oxford: 1973).</w:t>
      </w:r>
    </w:p>
    <w:p w:rsidR="00C10CB2" w:rsidRPr="00C10CB2" w:rsidRDefault="00C10CB2" w:rsidP="00C10CB2">
      <w:pPr>
        <w:rPr>
          <w:u w:val="single"/>
        </w:rPr>
      </w:pPr>
      <w:r w:rsidRPr="00C10CB2">
        <w:rPr>
          <w:u w:val="single"/>
        </w:rPr>
        <w:t>Secondary Source Material</w:t>
      </w:r>
    </w:p>
    <w:p w:rsidR="00C10CB2" w:rsidRPr="00C10CB2" w:rsidRDefault="00C10CB2" w:rsidP="00C10CB2">
      <w:r w:rsidRPr="00C10CB2">
        <w:t xml:space="preserve">Arundel Castle, Explore, Arundel Castle Online, available from https://arundelcastle.org/plan-a-visit/explore.html, accessed on [28/01/2018]. </w:t>
      </w:r>
    </w:p>
    <w:p w:rsidR="00C10CB2" w:rsidRPr="00C10CB2" w:rsidRDefault="00C10CB2" w:rsidP="00C10CB2">
      <w:r w:rsidRPr="00C10CB2">
        <w:t xml:space="preserve">Bower, B., ‘The Back Death Chose its Victims </w:t>
      </w:r>
      <w:proofErr w:type="gramStart"/>
      <w:r w:rsidRPr="00C10CB2">
        <w:t>Selectively</w:t>
      </w:r>
      <w:proofErr w:type="gramEnd"/>
      <w:r w:rsidRPr="00C10CB2">
        <w:t xml:space="preserve">’, </w:t>
      </w:r>
      <w:r w:rsidRPr="00C10CB2">
        <w:rPr>
          <w:i/>
        </w:rPr>
        <w:t>Science News</w:t>
      </w:r>
      <w:r w:rsidRPr="00C10CB2">
        <w:t>, vol.173, no.6 (Feb., 2008).</w:t>
      </w:r>
    </w:p>
    <w:p w:rsidR="00C10CB2" w:rsidRPr="00C10CB2" w:rsidRDefault="00C10CB2" w:rsidP="00C10CB2">
      <w:r w:rsidRPr="00C10CB2">
        <w:t xml:space="preserve">British Library Illuminated Manuscripts, Royal 19 C II, Laurent d’Orleans, available at https://www.bl.uk/catalogues/illuminatedmanuscripts/record.asp?MSID=8544&amp;CollID=16&amp;NStart=190302, accessed on [01/02/2019]. </w:t>
      </w:r>
    </w:p>
    <w:p w:rsidR="00C10CB2" w:rsidRPr="00C10CB2" w:rsidRDefault="00C10CB2" w:rsidP="00C10CB2">
      <w:r w:rsidRPr="00C10CB2">
        <w:t>Cambridge Dictionary, Inspiration, Cambridge Dictionary Online, available at https://dictionary.cambridge.org/dictionary/english/inspiration, accessed on [31/01/2019].</w:t>
      </w:r>
    </w:p>
    <w:p w:rsidR="00C10CB2" w:rsidRPr="00C10CB2" w:rsidRDefault="00C10CB2" w:rsidP="00C10CB2">
      <w:r w:rsidRPr="00C10CB2">
        <w:t>Cambridge Dictionary, Purgatory, Cambridge Dictionary Online, available at https://dictionary.cambridge.org/dictionary/english/purgatory, accessed on [17/01/2019].</w:t>
      </w:r>
    </w:p>
    <w:p w:rsidR="00C10CB2" w:rsidRPr="00C10CB2" w:rsidRDefault="00C10CB2" w:rsidP="00C10CB2">
      <w:r w:rsidRPr="00C10CB2">
        <w:t xml:space="preserve">Cambridge Dictionary, Resurrection, Cambridge Dictionary Online, available from https://dictionary.cambridge.org/dictionary/english/resurrection, accessed on [29/01/2019]. </w:t>
      </w:r>
    </w:p>
    <w:p w:rsidR="00C10CB2" w:rsidRPr="00C10CB2" w:rsidRDefault="00C10CB2" w:rsidP="00C10CB2">
      <w:r w:rsidRPr="00C10CB2">
        <w:t xml:space="preserve">Canterbury Cathedral, The Tomb of Archbishop Henry Chichele, Canterbury Cathedral Online, available at https://www.canterbury-cathedral.org/whats-on/news/attraction/the-tomb-of-archbishop-henry-chichele/, accessed on [29/01/2019]. </w:t>
      </w:r>
    </w:p>
    <w:p w:rsidR="00C10CB2" w:rsidRPr="00C10CB2" w:rsidRDefault="00C10CB2" w:rsidP="00C10CB2">
      <w:r w:rsidRPr="00C10CB2">
        <w:t xml:space="preserve">Casey, J., </w:t>
      </w:r>
      <w:r w:rsidRPr="00C10CB2">
        <w:rPr>
          <w:i/>
        </w:rPr>
        <w:t>After Lives: A Guide to Heaven, Hell, and Purgatory</w:t>
      </w:r>
      <w:r w:rsidRPr="00C10CB2">
        <w:t xml:space="preserve"> (Oxford: Oxford University Press, 2009), ‘Rome’s Happiest Inspiration’. </w:t>
      </w:r>
    </w:p>
    <w:p w:rsidR="00C10CB2" w:rsidRPr="00C10CB2" w:rsidRDefault="00C10CB2" w:rsidP="00C10CB2">
      <w:r w:rsidRPr="00C10CB2">
        <w:t>Catholic Culture, Catholic Activity: Fourteen Holy Helpers, Catholic Culture Online, available from https://www.catholicculture.org/culture/liturgicalyear/activities/view.cfm?id=886, accessed on [30/01/2019].</w:t>
      </w:r>
    </w:p>
    <w:p w:rsidR="00C10CB2" w:rsidRPr="00C10CB2" w:rsidRDefault="00C10CB2" w:rsidP="00C10CB2">
      <w:r w:rsidRPr="00C10CB2">
        <w:t xml:space="preserve">Cohen, K., </w:t>
      </w:r>
      <w:r w:rsidRPr="00C10CB2">
        <w:rPr>
          <w:i/>
        </w:rPr>
        <w:t xml:space="preserve">Metamorphosis of a Death Symbol: The Transi Tomb in the Late </w:t>
      </w:r>
      <w:proofErr w:type="gramStart"/>
      <w:r w:rsidRPr="00C10CB2">
        <w:rPr>
          <w:i/>
        </w:rPr>
        <w:t>Middle</w:t>
      </w:r>
      <w:proofErr w:type="gramEnd"/>
      <w:r w:rsidRPr="00C10CB2">
        <w:rPr>
          <w:i/>
        </w:rPr>
        <w:t xml:space="preserve"> Ages and the Renaissance</w:t>
      </w:r>
      <w:r w:rsidRPr="00C10CB2">
        <w:t xml:space="preserve"> (Berkeley: University of California Press, 1992). </w:t>
      </w:r>
    </w:p>
    <w:p w:rsidR="00C10CB2" w:rsidRPr="00C10CB2" w:rsidRDefault="00C10CB2" w:rsidP="00C10CB2">
      <w:r w:rsidRPr="00C10CB2">
        <w:rPr>
          <w:i/>
        </w:rPr>
        <w:t>Documents on the Papal Plenary Indulgences 1300-1517 Preached in the Regnum Teutonicum</w:t>
      </w:r>
      <w:r w:rsidRPr="00C10CB2">
        <w:t xml:space="preserve">, ed. S. Jenks (Boston: BRILL, 2018), pp. 13-14. </w:t>
      </w:r>
    </w:p>
    <w:p w:rsidR="00C10CB2" w:rsidRPr="00C10CB2" w:rsidRDefault="00C10CB2" w:rsidP="00C10CB2">
      <w:r w:rsidRPr="00C10CB2">
        <w:lastRenderedPageBreak/>
        <w:t xml:space="preserve">Exploring Surrey’s Past, Chaldon Church Mural, exploringsurreyspast.org, available from https://www.exploringsurreyspast.org.uk/themes/places/surrey/tandridge/chaldon/chaldon_church_mural/, accessed on [01/02/2019]. </w:t>
      </w:r>
    </w:p>
    <w:p w:rsidR="00C10CB2" w:rsidRPr="00C10CB2" w:rsidRDefault="00C10CB2" w:rsidP="00C10CB2">
      <w:r w:rsidRPr="00C10CB2">
        <w:t xml:space="preserve">Feltman, J.M., ‘The Last Judgement Porch at Lincoln Cathedral over the </w:t>
      </w:r>
      <w:r w:rsidRPr="00C10CB2">
        <w:rPr>
          <w:i/>
        </w:rPr>
        <w:t>Longue Duree</w:t>
      </w:r>
      <w:r w:rsidRPr="00C10CB2">
        <w:t xml:space="preserve">: Iconography, Interaction, and Religious Thought’, in </w:t>
      </w:r>
      <w:r w:rsidRPr="00C10CB2">
        <w:rPr>
          <w:i/>
        </w:rPr>
        <w:t>Art and Material Culture in Medieval and Renaissance Europe</w:t>
      </w:r>
      <w:r w:rsidRPr="00C10CB2">
        <w:t xml:space="preserve">, ed. S. </w:t>
      </w:r>
      <w:proofErr w:type="spellStart"/>
      <w:r w:rsidRPr="00C10CB2">
        <w:t>Blick</w:t>
      </w:r>
      <w:proofErr w:type="spellEnd"/>
      <w:r w:rsidRPr="00C10CB2">
        <w:t xml:space="preserve"> and L.D. </w:t>
      </w:r>
      <w:proofErr w:type="spellStart"/>
      <w:r w:rsidRPr="00C10CB2">
        <w:t>Gelfand</w:t>
      </w:r>
      <w:proofErr w:type="spellEnd"/>
      <w:r w:rsidRPr="00C10CB2">
        <w:t>, vol.12 (Boston: BRILL, 2018), pp.103-127.</w:t>
      </w:r>
    </w:p>
    <w:p w:rsidR="00C10CB2" w:rsidRPr="00C10CB2" w:rsidRDefault="00C10CB2" w:rsidP="00C10CB2">
      <w:r w:rsidRPr="00C10CB2">
        <w:t xml:space="preserve">Forrest, I., ‘The Politics of Burial in Late Medieval Hereford’, </w:t>
      </w:r>
      <w:r w:rsidRPr="00C10CB2">
        <w:rPr>
          <w:i/>
        </w:rPr>
        <w:t>The English Historical Review</w:t>
      </w:r>
      <w:r w:rsidRPr="00C10CB2">
        <w:t>, vol.125, no.516 (October 2010), pp. 1110-1138.</w:t>
      </w:r>
    </w:p>
    <w:p w:rsidR="00C10CB2" w:rsidRPr="00C10CB2" w:rsidRDefault="00C10CB2" w:rsidP="00C10CB2">
      <w:r w:rsidRPr="00C10CB2">
        <w:t>Goff, J.L., cited in J. Casey, After Lives: A Guide to Heaven, Hell, and Purgatory (Oxford: Oxford University Press, 2009), ‘Rome’s Happiest Inspiration’.</w:t>
      </w:r>
    </w:p>
    <w:p w:rsidR="00C10CB2" w:rsidRPr="00C10CB2" w:rsidRDefault="00C10CB2" w:rsidP="00C10CB2">
      <w:proofErr w:type="spellStart"/>
      <w:r w:rsidRPr="00C10CB2">
        <w:t>Haren</w:t>
      </w:r>
      <w:proofErr w:type="spellEnd"/>
      <w:r w:rsidRPr="00C10CB2">
        <w:t xml:space="preserve">, M., ‘Confession, Social Ethics and Social Discipline in the </w:t>
      </w:r>
      <w:proofErr w:type="spellStart"/>
      <w:r w:rsidRPr="00C10CB2">
        <w:rPr>
          <w:i/>
        </w:rPr>
        <w:t>Memoriale</w:t>
      </w:r>
      <w:proofErr w:type="spellEnd"/>
      <w:r w:rsidRPr="00C10CB2">
        <w:rPr>
          <w:i/>
        </w:rPr>
        <w:t xml:space="preserve"> </w:t>
      </w:r>
      <w:proofErr w:type="spellStart"/>
      <w:r w:rsidRPr="00C10CB2">
        <w:rPr>
          <w:i/>
        </w:rPr>
        <w:t>presbiterorum</w:t>
      </w:r>
      <w:proofErr w:type="spellEnd"/>
      <w:r w:rsidRPr="00C10CB2">
        <w:t xml:space="preserve">’, </w:t>
      </w:r>
      <w:r w:rsidRPr="00C10CB2">
        <w:rPr>
          <w:i/>
        </w:rPr>
        <w:t xml:space="preserve">Handling Sin: Confession in the </w:t>
      </w:r>
      <w:proofErr w:type="gramStart"/>
      <w:r w:rsidRPr="00C10CB2">
        <w:rPr>
          <w:i/>
        </w:rPr>
        <w:t>Middle</w:t>
      </w:r>
      <w:proofErr w:type="gramEnd"/>
      <w:r w:rsidRPr="00C10CB2">
        <w:rPr>
          <w:i/>
        </w:rPr>
        <w:t xml:space="preserve"> Ages</w:t>
      </w:r>
      <w:r w:rsidRPr="00C10CB2">
        <w:t>, vol.2 (York Medieval Press, 1998), pp. 109-122.</w:t>
      </w:r>
    </w:p>
    <w:p w:rsidR="00C10CB2" w:rsidRPr="00C10CB2" w:rsidRDefault="00C10CB2" w:rsidP="00C10CB2">
      <w:r w:rsidRPr="00C10CB2">
        <w:t xml:space="preserve">IEP, Peter Lombard (1095-1160), Internet Encyclopedia of Philosophy Online, available from https://www.iep.utm.edu/lombard/, accessed on [29/01/2019]. </w:t>
      </w:r>
    </w:p>
    <w:p w:rsidR="00C10CB2" w:rsidRPr="00C10CB2" w:rsidRDefault="00C10CB2" w:rsidP="00C10CB2">
      <w:r w:rsidRPr="00C10CB2">
        <w:t xml:space="preserve">Jacobus de </w:t>
      </w:r>
      <w:proofErr w:type="spellStart"/>
      <w:r w:rsidRPr="00C10CB2">
        <w:t>Voragine</w:t>
      </w:r>
      <w:proofErr w:type="spellEnd"/>
      <w:r w:rsidRPr="00C10CB2">
        <w:t xml:space="preserve">, </w:t>
      </w:r>
      <w:r w:rsidRPr="00C10CB2">
        <w:rPr>
          <w:i/>
        </w:rPr>
        <w:t>The Golden Legend: The Reading of Saints</w:t>
      </w:r>
      <w:r w:rsidRPr="00C10CB2">
        <w:t>, trans. W.G. Ryan, vol.2 (Princeton: Princeton University Press, 1993).</w:t>
      </w:r>
    </w:p>
    <w:p w:rsidR="00C10CB2" w:rsidRPr="00C10CB2" w:rsidRDefault="00C10CB2" w:rsidP="00C10CB2">
      <w:proofErr w:type="spellStart"/>
      <w:r w:rsidRPr="00C10CB2">
        <w:t>Kanerva</w:t>
      </w:r>
      <w:proofErr w:type="spellEnd"/>
      <w:r w:rsidRPr="00C10CB2">
        <w:t xml:space="preserve">, K., ‘Restless Dead or Peaceful Cadavers? </w:t>
      </w:r>
      <w:r w:rsidRPr="00C10CB2">
        <w:rPr>
          <w:i/>
        </w:rPr>
        <w:t>Preparations for Death and Afterlife in Medieval Iceland</w:t>
      </w:r>
      <w:r w:rsidRPr="00C10CB2">
        <w:t xml:space="preserve">, </w:t>
      </w:r>
      <w:r w:rsidRPr="00C10CB2">
        <w:rPr>
          <w:i/>
        </w:rPr>
        <w:t>The Northern World</w:t>
      </w:r>
      <w:r w:rsidRPr="00C10CB2">
        <w:t xml:space="preserve">, vol.82, no.2 (BRILL, 2018), pp. 18-44. </w:t>
      </w:r>
    </w:p>
    <w:p w:rsidR="00C10CB2" w:rsidRPr="00C10CB2" w:rsidRDefault="00C10CB2" w:rsidP="00C10CB2">
      <w:r w:rsidRPr="00C10CB2">
        <w:t xml:space="preserve">Lewis, M., </w:t>
      </w:r>
      <w:r w:rsidRPr="00C10CB2">
        <w:rPr>
          <w:i/>
        </w:rPr>
        <w:t>Medieval Britain in 100 Facts</w:t>
      </w:r>
      <w:r w:rsidRPr="00C10CB2">
        <w:t xml:space="preserve"> (Stroud: Amberley Publishing, 2015). </w:t>
      </w:r>
    </w:p>
    <w:p w:rsidR="00C10CB2" w:rsidRPr="00C10CB2" w:rsidRDefault="00C10CB2" w:rsidP="00C10CB2">
      <w:r w:rsidRPr="00C10CB2">
        <w:t>Luminarium: Encyclopedia Project, John FitzAlan, Luminarium.Org, available from http://www.luminarium.org/encyclopedia/arundel7.htm, accessed on [28/01/2018].</w:t>
      </w:r>
    </w:p>
    <w:p w:rsidR="00C10CB2" w:rsidRPr="00C10CB2" w:rsidRDefault="00C10CB2" w:rsidP="00C10CB2">
      <w:r w:rsidRPr="00C10CB2">
        <w:t xml:space="preserve">Morris, C., </w:t>
      </w:r>
      <w:proofErr w:type="gramStart"/>
      <w:r w:rsidRPr="00C10CB2">
        <w:rPr>
          <w:i/>
        </w:rPr>
        <w:t>The</w:t>
      </w:r>
      <w:proofErr w:type="gramEnd"/>
      <w:r w:rsidRPr="00C10CB2">
        <w:rPr>
          <w:i/>
        </w:rPr>
        <w:t xml:space="preserve"> Papal Monarchy: The Western Church from 1050 to 1250</w:t>
      </w:r>
      <w:r w:rsidRPr="00C10CB2">
        <w:t xml:space="preserve"> (Oxford: Oxford University Press, 1991), pp. 79-108.</w:t>
      </w:r>
    </w:p>
    <w:p w:rsidR="00C10CB2" w:rsidRPr="00C10CB2" w:rsidRDefault="00C10CB2" w:rsidP="00C10CB2">
      <w:proofErr w:type="spellStart"/>
      <w:r w:rsidRPr="00C10CB2">
        <w:t>Oosterwijk</w:t>
      </w:r>
      <w:proofErr w:type="spellEnd"/>
      <w:r w:rsidRPr="00C10CB2">
        <w:t xml:space="preserve">, S., </w:t>
      </w:r>
      <w:r w:rsidRPr="00C10CB2">
        <w:rPr>
          <w:i/>
        </w:rPr>
        <w:t>Food for Worms-Food for Thought</w:t>
      </w:r>
      <w:r w:rsidRPr="00C10CB2">
        <w:t xml:space="preserve">, ‘The Appearance and Interpretation of the ‘verminous’ cadaver in Britain and Europe’ </w:t>
      </w:r>
    </w:p>
    <w:p w:rsidR="00C10CB2" w:rsidRPr="00C10CB2" w:rsidRDefault="00C10CB2" w:rsidP="00C10CB2">
      <w:r w:rsidRPr="00C10CB2">
        <w:t xml:space="preserve">Reinis, A., </w:t>
      </w:r>
      <w:r w:rsidRPr="00C10CB2">
        <w:rPr>
          <w:i/>
        </w:rPr>
        <w:t xml:space="preserve">Reforming the Art of Dying: The </w:t>
      </w:r>
      <w:proofErr w:type="spellStart"/>
      <w:r w:rsidRPr="00C10CB2">
        <w:rPr>
          <w:i/>
        </w:rPr>
        <w:t>ars</w:t>
      </w:r>
      <w:proofErr w:type="spellEnd"/>
      <w:r w:rsidRPr="00C10CB2">
        <w:rPr>
          <w:i/>
        </w:rPr>
        <w:t xml:space="preserve"> moriendi in the German Reformation (1519-1528)</w:t>
      </w:r>
      <w:r w:rsidRPr="00C10CB2">
        <w:t xml:space="preserve">, (Routledge, 2007). </w:t>
      </w:r>
    </w:p>
    <w:p w:rsidR="00C10CB2" w:rsidRPr="00C10CB2" w:rsidRDefault="00C10CB2" w:rsidP="00C10CB2">
      <w:r w:rsidRPr="00C10CB2">
        <w:t>Simonds P.M., and Simonds, R.T., ‘The Aesthetics of Speaking Stones: Multi-Lingual Emblems on a 17</w:t>
      </w:r>
      <w:r w:rsidRPr="00C10CB2">
        <w:rPr>
          <w:vertAlign w:val="superscript"/>
        </w:rPr>
        <w:t>th</w:t>
      </w:r>
      <w:r w:rsidRPr="00C10CB2">
        <w:t xml:space="preserve"> Century English Transi Tomb’, </w:t>
      </w:r>
      <w:r w:rsidRPr="00C10CB2">
        <w:rPr>
          <w:i/>
        </w:rPr>
        <w:t>European Iconography East and West: Selected Papers of the Szeged International Conference</w:t>
      </w:r>
      <w:r w:rsidRPr="00C10CB2">
        <w:t xml:space="preserve">, ed. G.E. Szónyi, no. 9-12 (New York: E.J. BRILL, 1996). </w:t>
      </w:r>
    </w:p>
    <w:p w:rsidR="00C10CB2" w:rsidRPr="00C10CB2" w:rsidRDefault="00C10CB2" w:rsidP="00C10CB2">
      <w:r w:rsidRPr="00C10CB2">
        <w:t xml:space="preserve">Walker-Bynum, C., ‘Material Continuity, Personal Survival, and the Resurrection of the body: A Scholastic Discussion in its Medieval and Modern Contexts’, </w:t>
      </w:r>
      <w:r w:rsidRPr="00C10CB2">
        <w:rPr>
          <w:i/>
        </w:rPr>
        <w:t>History of Religions</w:t>
      </w:r>
      <w:r w:rsidRPr="00C10CB2">
        <w:t xml:space="preserve">, vol.30, no.1 (1990), pp.51-85. </w:t>
      </w:r>
    </w:p>
    <w:p w:rsidR="00C10CB2" w:rsidRPr="00C10CB2" w:rsidRDefault="00C10CB2" w:rsidP="00C10CB2">
      <w:r w:rsidRPr="00C10CB2">
        <w:t xml:space="preserve">Zanchius, J., </w:t>
      </w:r>
      <w:r w:rsidRPr="00C10CB2">
        <w:rPr>
          <w:i/>
        </w:rPr>
        <w:t>Absolute Predestination</w:t>
      </w:r>
      <w:r w:rsidRPr="00C10CB2">
        <w:t xml:space="preserve"> (Lafayette: Sovereign Grace Publishers Inc., 2001). </w:t>
      </w:r>
    </w:p>
    <w:p w:rsidR="00C10CB2" w:rsidRDefault="00C10CB2">
      <w:bookmarkStart w:id="0" w:name="_GoBack"/>
      <w:bookmarkEnd w:id="0"/>
    </w:p>
    <w:sectPr w:rsidR="00C10C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157B" w:rsidRDefault="00A3157B" w:rsidP="00E57400">
      <w:pPr>
        <w:spacing w:after="0" w:line="240" w:lineRule="auto"/>
      </w:pPr>
      <w:r>
        <w:separator/>
      </w:r>
    </w:p>
  </w:endnote>
  <w:endnote w:type="continuationSeparator" w:id="0">
    <w:p w:rsidR="00A3157B" w:rsidRDefault="00A3157B" w:rsidP="00E57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157B" w:rsidRDefault="00A3157B" w:rsidP="00E57400">
      <w:pPr>
        <w:spacing w:after="0" w:line="240" w:lineRule="auto"/>
      </w:pPr>
      <w:r>
        <w:separator/>
      </w:r>
    </w:p>
  </w:footnote>
  <w:footnote w:type="continuationSeparator" w:id="0">
    <w:p w:rsidR="00A3157B" w:rsidRDefault="00A3157B" w:rsidP="00E57400">
      <w:pPr>
        <w:spacing w:after="0" w:line="240" w:lineRule="auto"/>
      </w:pPr>
      <w:r>
        <w:continuationSeparator/>
      </w:r>
    </w:p>
  </w:footnote>
  <w:footnote w:id="1">
    <w:p w:rsidR="00E57400" w:rsidRPr="00215B5B" w:rsidRDefault="00E57400" w:rsidP="00E57400">
      <w:pPr>
        <w:pStyle w:val="FootnoteText"/>
        <w:rPr>
          <w:sz w:val="18"/>
          <w:szCs w:val="18"/>
        </w:rPr>
      </w:pPr>
      <w:r w:rsidRPr="00215B5B">
        <w:rPr>
          <w:rStyle w:val="FootnoteReference"/>
          <w:sz w:val="18"/>
          <w:szCs w:val="18"/>
        </w:rPr>
        <w:footnoteRef/>
      </w:r>
      <w:r w:rsidRPr="00215B5B">
        <w:rPr>
          <w:sz w:val="18"/>
          <w:szCs w:val="18"/>
        </w:rPr>
        <w:t xml:space="preserve"> Luminarium: Encyclopedia Project, John FitzAlan, Luminarium.Org, available from http://www.luminarium.org/encyclopedia/arundel7.htm, accessed on [28/01/2018].</w:t>
      </w:r>
    </w:p>
  </w:footnote>
  <w:footnote w:id="2">
    <w:p w:rsidR="00E57400" w:rsidRPr="00215B5B" w:rsidRDefault="00E57400" w:rsidP="00E57400">
      <w:pPr>
        <w:pStyle w:val="FootnoteText"/>
        <w:rPr>
          <w:sz w:val="18"/>
          <w:szCs w:val="18"/>
        </w:rPr>
      </w:pPr>
      <w:r w:rsidRPr="00215B5B">
        <w:rPr>
          <w:rStyle w:val="FootnoteReference"/>
          <w:sz w:val="18"/>
          <w:szCs w:val="18"/>
        </w:rPr>
        <w:footnoteRef/>
      </w:r>
      <w:r w:rsidRPr="00215B5B">
        <w:rPr>
          <w:sz w:val="18"/>
          <w:szCs w:val="18"/>
        </w:rPr>
        <w:t xml:space="preserve"> </w:t>
      </w:r>
      <w:r w:rsidRPr="00215B5B">
        <w:rPr>
          <w:i/>
          <w:sz w:val="18"/>
          <w:szCs w:val="18"/>
        </w:rPr>
        <w:t>Ibid</w:t>
      </w:r>
      <w:r w:rsidRPr="00215B5B">
        <w:rPr>
          <w:sz w:val="18"/>
          <w:szCs w:val="18"/>
        </w:rPr>
        <w:t>.,</w:t>
      </w:r>
    </w:p>
  </w:footnote>
  <w:footnote w:id="3">
    <w:p w:rsidR="00E57400" w:rsidRPr="00F1630B" w:rsidRDefault="00E57400" w:rsidP="00E57400">
      <w:pPr>
        <w:pStyle w:val="FootnoteText"/>
        <w:rPr>
          <w:sz w:val="18"/>
        </w:rPr>
      </w:pPr>
      <w:r w:rsidRPr="00F1630B">
        <w:rPr>
          <w:rStyle w:val="FootnoteReference"/>
          <w:sz w:val="18"/>
        </w:rPr>
        <w:footnoteRef/>
      </w:r>
      <w:r w:rsidRPr="00F1630B">
        <w:rPr>
          <w:sz w:val="18"/>
        </w:rPr>
        <w:t xml:space="preserve"> ‘The Black Death…wiped out more than one in three Europeans from 1347 to 1351’</w:t>
      </w:r>
      <w:r>
        <w:rPr>
          <w:sz w:val="18"/>
        </w:rPr>
        <w:t xml:space="preserve">. Quotation from </w:t>
      </w:r>
      <w:r w:rsidRPr="00F1630B">
        <w:rPr>
          <w:sz w:val="18"/>
        </w:rPr>
        <w:t xml:space="preserve">B. Bower, ‘The Back Death Chose its Victims </w:t>
      </w:r>
      <w:proofErr w:type="gramStart"/>
      <w:r w:rsidRPr="00F1630B">
        <w:rPr>
          <w:sz w:val="18"/>
        </w:rPr>
        <w:t>Selectively</w:t>
      </w:r>
      <w:proofErr w:type="gramEnd"/>
      <w:r w:rsidRPr="00F1630B">
        <w:rPr>
          <w:sz w:val="18"/>
        </w:rPr>
        <w:t xml:space="preserve">’, </w:t>
      </w:r>
      <w:r w:rsidRPr="00F1630B">
        <w:rPr>
          <w:i/>
          <w:sz w:val="18"/>
        </w:rPr>
        <w:t>Science News</w:t>
      </w:r>
      <w:r w:rsidRPr="00F1630B">
        <w:rPr>
          <w:sz w:val="18"/>
        </w:rPr>
        <w:t>, vol.173, no.6 (Feb., 2008), p.94.</w:t>
      </w:r>
    </w:p>
  </w:footnote>
  <w:footnote w:id="4">
    <w:p w:rsidR="00E57400" w:rsidRPr="00215B5B" w:rsidRDefault="00E57400" w:rsidP="00E57400">
      <w:pPr>
        <w:pStyle w:val="FootnoteText"/>
        <w:rPr>
          <w:sz w:val="18"/>
          <w:szCs w:val="18"/>
        </w:rPr>
      </w:pPr>
      <w:r w:rsidRPr="00215B5B">
        <w:rPr>
          <w:rStyle w:val="FootnoteReference"/>
          <w:sz w:val="18"/>
          <w:szCs w:val="18"/>
        </w:rPr>
        <w:footnoteRef/>
      </w:r>
      <w:r w:rsidRPr="00215B5B">
        <w:rPr>
          <w:sz w:val="18"/>
          <w:szCs w:val="18"/>
        </w:rPr>
        <w:t xml:space="preserve"> I. Forrest, ‘The Politics of Burial in Late Medieval Hereford’, </w:t>
      </w:r>
      <w:r w:rsidRPr="00215B5B">
        <w:rPr>
          <w:i/>
          <w:sz w:val="18"/>
          <w:szCs w:val="18"/>
        </w:rPr>
        <w:t>The English Historical Review</w:t>
      </w:r>
      <w:r w:rsidRPr="00215B5B">
        <w:rPr>
          <w:sz w:val="18"/>
          <w:szCs w:val="18"/>
        </w:rPr>
        <w:t>, vol.125, no.516 (October 2010), pp. 1110-1138.</w:t>
      </w:r>
    </w:p>
  </w:footnote>
  <w:footnote w:id="5">
    <w:p w:rsidR="00E57400" w:rsidRPr="00860BC9" w:rsidRDefault="00E57400" w:rsidP="00E57400">
      <w:pPr>
        <w:pStyle w:val="FootnoteText"/>
        <w:rPr>
          <w:sz w:val="18"/>
        </w:rPr>
      </w:pPr>
      <w:r w:rsidRPr="00860BC9">
        <w:rPr>
          <w:rStyle w:val="FootnoteReference"/>
          <w:sz w:val="18"/>
        </w:rPr>
        <w:footnoteRef/>
      </w:r>
      <w:r w:rsidRPr="00860BC9">
        <w:rPr>
          <w:sz w:val="18"/>
        </w:rPr>
        <w:t xml:space="preserve"> </w:t>
      </w:r>
      <w:r>
        <w:rPr>
          <w:sz w:val="18"/>
        </w:rPr>
        <w:t>FitzAlan Parish was f</w:t>
      </w:r>
      <w:r w:rsidRPr="00860BC9">
        <w:rPr>
          <w:sz w:val="18"/>
        </w:rPr>
        <w:t>ounded in 1380 AD within the grounds of Arundel castle.</w:t>
      </w:r>
      <w:r>
        <w:rPr>
          <w:sz w:val="18"/>
        </w:rPr>
        <w:t xml:space="preserve"> For more information, visit</w:t>
      </w:r>
      <w:r w:rsidRPr="00860BC9">
        <w:rPr>
          <w:sz w:val="18"/>
          <w:szCs w:val="18"/>
        </w:rPr>
        <w:t xml:space="preserve"> </w:t>
      </w:r>
      <w:r w:rsidRPr="00860BC9">
        <w:rPr>
          <w:sz w:val="18"/>
        </w:rPr>
        <w:t xml:space="preserve">Arundel Castle, Explore, </w:t>
      </w:r>
      <w:proofErr w:type="gramStart"/>
      <w:r w:rsidRPr="00860BC9">
        <w:rPr>
          <w:sz w:val="18"/>
        </w:rPr>
        <w:t>Arundel</w:t>
      </w:r>
      <w:proofErr w:type="gramEnd"/>
      <w:r w:rsidRPr="00860BC9">
        <w:rPr>
          <w:sz w:val="18"/>
        </w:rPr>
        <w:t xml:space="preserve"> Castle Online, available from https://arundelcastle.org/plan-a-visit/explore.html, accessed on [28/01/2018].</w:t>
      </w:r>
    </w:p>
  </w:footnote>
  <w:footnote w:id="6">
    <w:p w:rsidR="00E57400" w:rsidRPr="00EB7CEB" w:rsidRDefault="00E57400" w:rsidP="00E57400">
      <w:pPr>
        <w:pStyle w:val="FootnoteText"/>
        <w:rPr>
          <w:sz w:val="18"/>
          <w:u w:val="single"/>
        </w:rPr>
      </w:pPr>
      <w:r w:rsidRPr="00EB7CEB">
        <w:rPr>
          <w:rStyle w:val="FootnoteReference"/>
          <w:sz w:val="18"/>
        </w:rPr>
        <w:footnoteRef/>
      </w:r>
      <w:r w:rsidRPr="00EB7CEB">
        <w:rPr>
          <w:sz w:val="18"/>
        </w:rPr>
        <w:t xml:space="preserve"> </w:t>
      </w:r>
      <w:r>
        <w:rPr>
          <w:sz w:val="18"/>
        </w:rPr>
        <w:t>[The sculpted cadaver is a] ‘</w:t>
      </w:r>
      <w:proofErr w:type="gramStart"/>
      <w:r w:rsidRPr="00EB7CEB">
        <w:rPr>
          <w:sz w:val="18"/>
        </w:rPr>
        <w:t>portrayal</w:t>
      </w:r>
      <w:proofErr w:type="gramEnd"/>
      <w:r w:rsidRPr="00EB7CEB">
        <w:rPr>
          <w:sz w:val="18"/>
        </w:rPr>
        <w:t xml:space="preserve"> of the tomb’s inhabitant as they would appear within their sealed coffin</w:t>
      </w:r>
      <w:r>
        <w:rPr>
          <w:sz w:val="18"/>
        </w:rPr>
        <w:t>’. Quotation from</w:t>
      </w:r>
      <w:r w:rsidRPr="00EB7CEB">
        <w:rPr>
          <w:sz w:val="18"/>
        </w:rPr>
        <w:t xml:space="preserve"> M. Lewis, </w:t>
      </w:r>
      <w:r w:rsidRPr="00EB7CEB">
        <w:rPr>
          <w:i/>
          <w:sz w:val="18"/>
        </w:rPr>
        <w:t>Medieval Britain in 100 Facts</w:t>
      </w:r>
      <w:r w:rsidRPr="00EB7CEB">
        <w:rPr>
          <w:sz w:val="18"/>
        </w:rPr>
        <w:t xml:space="preserve"> (Stroud: Amberley Publishing, 2015).</w:t>
      </w:r>
      <w:r w:rsidRPr="00EB7CEB">
        <w:rPr>
          <w:sz w:val="18"/>
          <w:u w:val="single"/>
        </w:rPr>
        <w:t xml:space="preserve"> </w:t>
      </w:r>
    </w:p>
  </w:footnote>
  <w:footnote w:id="7">
    <w:p w:rsidR="00E57400" w:rsidRDefault="00E57400" w:rsidP="00E57400">
      <w:pPr>
        <w:pStyle w:val="FootnoteText"/>
      </w:pPr>
      <w:r w:rsidRPr="00373CFA">
        <w:rPr>
          <w:rStyle w:val="FootnoteReference"/>
          <w:sz w:val="18"/>
        </w:rPr>
        <w:footnoteRef/>
      </w:r>
      <w:r w:rsidRPr="00373CFA">
        <w:rPr>
          <w:sz w:val="18"/>
        </w:rPr>
        <w:t xml:space="preserve"> </w:t>
      </w:r>
      <w:r>
        <w:rPr>
          <w:sz w:val="18"/>
        </w:rPr>
        <w:t xml:space="preserve">See Figure One </w:t>
      </w:r>
    </w:p>
  </w:footnote>
  <w:footnote w:id="8">
    <w:p w:rsidR="00E57400" w:rsidRPr="00EA691A" w:rsidRDefault="00E57400" w:rsidP="00E57400">
      <w:pPr>
        <w:pStyle w:val="FootnoteText"/>
      </w:pPr>
      <w:r w:rsidRPr="00EA691A">
        <w:rPr>
          <w:rStyle w:val="FootnoteReference"/>
          <w:sz w:val="18"/>
        </w:rPr>
        <w:footnoteRef/>
      </w:r>
      <w:r w:rsidRPr="00EA691A">
        <w:rPr>
          <w:sz w:val="18"/>
        </w:rPr>
        <w:t xml:space="preserve"> </w:t>
      </w:r>
      <w:r>
        <w:rPr>
          <w:sz w:val="18"/>
        </w:rPr>
        <w:t xml:space="preserve">Lewis, </w:t>
      </w:r>
      <w:r>
        <w:rPr>
          <w:i/>
          <w:sz w:val="18"/>
        </w:rPr>
        <w:t>100 Facts</w:t>
      </w:r>
      <w:r>
        <w:rPr>
          <w:sz w:val="18"/>
        </w:rPr>
        <w:t xml:space="preserve">. </w:t>
      </w:r>
    </w:p>
  </w:footnote>
  <w:footnote w:id="9">
    <w:p w:rsidR="00E57400" w:rsidRDefault="00E57400" w:rsidP="00E57400">
      <w:pPr>
        <w:pStyle w:val="FootnoteText"/>
      </w:pPr>
      <w:r w:rsidRPr="006406CD">
        <w:rPr>
          <w:rStyle w:val="FootnoteReference"/>
          <w:sz w:val="18"/>
        </w:rPr>
        <w:footnoteRef/>
      </w:r>
      <w:r w:rsidRPr="006406CD">
        <w:rPr>
          <w:sz w:val="18"/>
        </w:rPr>
        <w:t xml:space="preserve"> </w:t>
      </w:r>
      <w:r>
        <w:rPr>
          <w:sz w:val="18"/>
        </w:rPr>
        <w:t>Chichele’s tomb carries an inscription which states:</w:t>
      </w:r>
      <w:r w:rsidRPr="006406CD">
        <w:rPr>
          <w:sz w:val="18"/>
        </w:rPr>
        <w:t xml:space="preserve"> ‘…now I am cut down and served up for worms …I ask for your remembrance.’</w:t>
      </w:r>
      <w:r>
        <w:rPr>
          <w:sz w:val="18"/>
        </w:rPr>
        <w:t xml:space="preserve"> This is another example of how the tomb could not only prompt the thoughts of the visitors, but also those of the tomb’s inhabitant. Quotation from </w:t>
      </w:r>
      <w:r w:rsidRPr="006406CD">
        <w:rPr>
          <w:sz w:val="18"/>
        </w:rPr>
        <w:t>Canterbury Cathedral, The Tomb of Archbishop Henry Chichele, Canterbury Cathedral Online, available at https://www.canterbury-cathedral.org/whats-on/news/attraction/the-tomb-of-archbishop-henry-chichele/, accessed on [29/01/2019].</w:t>
      </w:r>
    </w:p>
  </w:footnote>
  <w:footnote w:id="10">
    <w:p w:rsidR="00E57400" w:rsidRPr="008A6BA8" w:rsidRDefault="00E57400" w:rsidP="00E57400">
      <w:pPr>
        <w:pStyle w:val="FootnoteText"/>
        <w:rPr>
          <w:sz w:val="18"/>
          <w:szCs w:val="18"/>
        </w:rPr>
      </w:pPr>
      <w:r w:rsidRPr="00C10800">
        <w:rPr>
          <w:rStyle w:val="FootnoteReference"/>
          <w:sz w:val="18"/>
        </w:rPr>
        <w:footnoteRef/>
      </w:r>
      <w:r w:rsidRPr="00C10800">
        <w:rPr>
          <w:sz w:val="18"/>
        </w:rPr>
        <w:t xml:space="preserve"> </w:t>
      </w:r>
      <w:r>
        <w:rPr>
          <w:sz w:val="18"/>
        </w:rPr>
        <w:t xml:space="preserve">Cambridge Dictionary, Resurrection, Cambridge Dictionary Online, available from </w:t>
      </w:r>
      <w:r w:rsidRPr="008A6BA8">
        <w:rPr>
          <w:sz w:val="18"/>
          <w:szCs w:val="18"/>
        </w:rPr>
        <w:t xml:space="preserve">https://dictionary.cambridge.org/dictionary/english/resurrection, accessed on [29/01/2019]. </w:t>
      </w:r>
    </w:p>
  </w:footnote>
  <w:footnote w:id="11">
    <w:p w:rsidR="00E57400" w:rsidRPr="00857E70" w:rsidRDefault="00E57400" w:rsidP="00E57400">
      <w:pPr>
        <w:pStyle w:val="FootnoteText"/>
        <w:rPr>
          <w:sz w:val="18"/>
          <w:szCs w:val="18"/>
        </w:rPr>
      </w:pPr>
      <w:r w:rsidRPr="00857E70">
        <w:rPr>
          <w:rStyle w:val="FootnoteReference"/>
          <w:sz w:val="18"/>
          <w:szCs w:val="18"/>
        </w:rPr>
        <w:footnoteRef/>
      </w:r>
      <w:r w:rsidRPr="00857E70">
        <w:rPr>
          <w:sz w:val="18"/>
          <w:szCs w:val="18"/>
        </w:rPr>
        <w:t xml:space="preserve"> See Figure One and Two.</w:t>
      </w:r>
    </w:p>
  </w:footnote>
  <w:footnote w:id="12">
    <w:p w:rsidR="00E57400" w:rsidRPr="00DB4669" w:rsidRDefault="00E57400" w:rsidP="00E57400">
      <w:pPr>
        <w:pStyle w:val="FootnoteText"/>
        <w:rPr>
          <w:sz w:val="18"/>
          <w:szCs w:val="18"/>
        </w:rPr>
      </w:pPr>
      <w:r w:rsidRPr="00DB4669">
        <w:rPr>
          <w:rStyle w:val="FootnoteReference"/>
          <w:sz w:val="18"/>
          <w:szCs w:val="18"/>
        </w:rPr>
        <w:footnoteRef/>
      </w:r>
      <w:r w:rsidRPr="00DB4669">
        <w:rPr>
          <w:sz w:val="18"/>
          <w:szCs w:val="18"/>
        </w:rPr>
        <w:t xml:space="preserve"> J.M. Feltman, ‘The </w:t>
      </w:r>
      <w:r w:rsidR="00F77755">
        <w:rPr>
          <w:sz w:val="18"/>
          <w:szCs w:val="18"/>
        </w:rPr>
        <w:t>Last Judgement</w:t>
      </w:r>
      <w:r w:rsidRPr="00DB4669">
        <w:rPr>
          <w:sz w:val="18"/>
          <w:szCs w:val="18"/>
        </w:rPr>
        <w:t xml:space="preserve"> Porch at Lincoln Cathedral over the </w:t>
      </w:r>
      <w:r w:rsidRPr="00DB4669">
        <w:rPr>
          <w:i/>
          <w:sz w:val="18"/>
          <w:szCs w:val="18"/>
        </w:rPr>
        <w:t>Longue Duree</w:t>
      </w:r>
      <w:r w:rsidRPr="00DB4669">
        <w:rPr>
          <w:sz w:val="18"/>
          <w:szCs w:val="18"/>
        </w:rPr>
        <w:t xml:space="preserve">: Iconography, Interaction, and Religious Thought’, in </w:t>
      </w:r>
      <w:r w:rsidRPr="00DB4669">
        <w:rPr>
          <w:i/>
          <w:sz w:val="18"/>
          <w:szCs w:val="18"/>
        </w:rPr>
        <w:t>Art and Material Culture in Medieval and Renaissance Europe</w:t>
      </w:r>
      <w:r w:rsidRPr="00DB4669">
        <w:rPr>
          <w:sz w:val="18"/>
          <w:szCs w:val="18"/>
        </w:rPr>
        <w:t xml:space="preserve">, ed. S. </w:t>
      </w:r>
      <w:proofErr w:type="spellStart"/>
      <w:r w:rsidRPr="00DB4669">
        <w:rPr>
          <w:sz w:val="18"/>
          <w:szCs w:val="18"/>
        </w:rPr>
        <w:t>Blick</w:t>
      </w:r>
      <w:proofErr w:type="spellEnd"/>
      <w:r w:rsidRPr="00DB4669">
        <w:rPr>
          <w:sz w:val="18"/>
          <w:szCs w:val="18"/>
        </w:rPr>
        <w:t xml:space="preserve"> and L.D. </w:t>
      </w:r>
      <w:proofErr w:type="spellStart"/>
      <w:r w:rsidRPr="00DB4669">
        <w:rPr>
          <w:sz w:val="18"/>
          <w:szCs w:val="18"/>
        </w:rPr>
        <w:t>Gelfand</w:t>
      </w:r>
      <w:proofErr w:type="spellEnd"/>
      <w:r w:rsidRPr="00DB4669">
        <w:rPr>
          <w:sz w:val="18"/>
          <w:szCs w:val="18"/>
        </w:rPr>
        <w:t>, vol.12 (Boston: BRILL, 2018), p.116.   (</w:t>
      </w:r>
      <w:proofErr w:type="gramStart"/>
      <w:r w:rsidRPr="00DB4669">
        <w:rPr>
          <w:sz w:val="18"/>
          <w:szCs w:val="18"/>
        </w:rPr>
        <w:t>pp.103-127</w:t>
      </w:r>
      <w:proofErr w:type="gramEnd"/>
      <w:r w:rsidRPr="00DB4669">
        <w:rPr>
          <w:sz w:val="18"/>
          <w:szCs w:val="18"/>
        </w:rPr>
        <w:t>).</w:t>
      </w:r>
    </w:p>
  </w:footnote>
  <w:footnote w:id="13">
    <w:p w:rsidR="00E57400" w:rsidRPr="00DB4669" w:rsidRDefault="00E57400" w:rsidP="00E57400">
      <w:pPr>
        <w:pStyle w:val="FootnoteText"/>
        <w:rPr>
          <w:sz w:val="18"/>
          <w:szCs w:val="18"/>
        </w:rPr>
      </w:pPr>
      <w:r w:rsidRPr="00DB4669">
        <w:rPr>
          <w:rStyle w:val="FootnoteReference"/>
          <w:sz w:val="18"/>
          <w:szCs w:val="18"/>
        </w:rPr>
        <w:footnoteRef/>
      </w:r>
      <w:r w:rsidRPr="00DB4669">
        <w:rPr>
          <w:sz w:val="18"/>
          <w:szCs w:val="18"/>
        </w:rPr>
        <w:t xml:space="preserve"> </w:t>
      </w:r>
      <w:r>
        <w:rPr>
          <w:sz w:val="18"/>
          <w:szCs w:val="18"/>
        </w:rPr>
        <w:t>See Figure Three.</w:t>
      </w:r>
    </w:p>
  </w:footnote>
  <w:footnote w:id="14">
    <w:p w:rsidR="00E57400" w:rsidRDefault="00E57400" w:rsidP="00E57400">
      <w:pPr>
        <w:pStyle w:val="FootnoteText"/>
      </w:pPr>
      <w:r w:rsidRPr="00DB4669">
        <w:rPr>
          <w:rStyle w:val="FootnoteReference"/>
          <w:sz w:val="18"/>
          <w:szCs w:val="18"/>
        </w:rPr>
        <w:footnoteRef/>
      </w:r>
      <w:r w:rsidRPr="00DB4669">
        <w:rPr>
          <w:sz w:val="18"/>
          <w:szCs w:val="18"/>
        </w:rPr>
        <w:t xml:space="preserve"> </w:t>
      </w:r>
      <w:r>
        <w:rPr>
          <w:sz w:val="18"/>
          <w:szCs w:val="18"/>
        </w:rPr>
        <w:t>See Figure Four.</w:t>
      </w:r>
    </w:p>
  </w:footnote>
  <w:footnote w:id="15">
    <w:p w:rsidR="00E57400" w:rsidRPr="009E407B" w:rsidRDefault="00E57400" w:rsidP="00E57400">
      <w:pPr>
        <w:pStyle w:val="FootnoteText"/>
        <w:rPr>
          <w:sz w:val="18"/>
          <w:szCs w:val="18"/>
        </w:rPr>
      </w:pPr>
      <w:r w:rsidRPr="009E407B">
        <w:rPr>
          <w:rStyle w:val="FootnoteReference"/>
          <w:sz w:val="18"/>
          <w:szCs w:val="18"/>
        </w:rPr>
        <w:footnoteRef/>
      </w:r>
      <w:r w:rsidRPr="009E407B">
        <w:rPr>
          <w:sz w:val="18"/>
          <w:szCs w:val="18"/>
        </w:rPr>
        <w:t xml:space="preserve"> IEP,</w:t>
      </w:r>
      <w:r>
        <w:rPr>
          <w:sz w:val="18"/>
          <w:szCs w:val="18"/>
        </w:rPr>
        <w:t xml:space="preserve"> Peter Lombard (1095-1160), Internet Encyclopedia of Philosophy Online, available from </w:t>
      </w:r>
      <w:r w:rsidRPr="009E407B">
        <w:rPr>
          <w:sz w:val="18"/>
          <w:szCs w:val="18"/>
        </w:rPr>
        <w:t>https://www.iep.utm.edu/lombard/</w:t>
      </w:r>
      <w:r>
        <w:rPr>
          <w:sz w:val="18"/>
          <w:szCs w:val="18"/>
        </w:rPr>
        <w:t xml:space="preserve">, accessed on [29/01/2019]. </w:t>
      </w:r>
    </w:p>
  </w:footnote>
  <w:footnote w:id="16">
    <w:p w:rsidR="00E57400" w:rsidRPr="00D562E2" w:rsidRDefault="00E57400" w:rsidP="00E57400">
      <w:pPr>
        <w:pStyle w:val="FootnoteText"/>
      </w:pPr>
      <w:r w:rsidRPr="00A350FC">
        <w:rPr>
          <w:rStyle w:val="FootnoteReference"/>
          <w:sz w:val="18"/>
        </w:rPr>
        <w:footnoteRef/>
      </w:r>
      <w:r w:rsidRPr="00A350FC">
        <w:rPr>
          <w:sz w:val="18"/>
        </w:rPr>
        <w:t xml:space="preserve"> </w:t>
      </w:r>
      <w:r>
        <w:rPr>
          <w:sz w:val="18"/>
        </w:rPr>
        <w:t xml:space="preserve">C. Walker-Bynum, ‘Material Continuity, Personal Survival, and the Resurrection of the body: A Scholastic Discussion in its Medieval and Modern Contexts’, </w:t>
      </w:r>
      <w:r>
        <w:rPr>
          <w:i/>
          <w:sz w:val="18"/>
        </w:rPr>
        <w:t>History of Religions</w:t>
      </w:r>
      <w:r>
        <w:rPr>
          <w:sz w:val="18"/>
        </w:rPr>
        <w:t>, vol.30, no.1 (1990), p.53.</w:t>
      </w:r>
    </w:p>
  </w:footnote>
  <w:footnote w:id="17">
    <w:p w:rsidR="00E57400" w:rsidRPr="00B5462D" w:rsidRDefault="00E57400" w:rsidP="00E57400">
      <w:pPr>
        <w:pStyle w:val="FootnoteText"/>
      </w:pPr>
      <w:r w:rsidRPr="00750128">
        <w:rPr>
          <w:rStyle w:val="FootnoteReference"/>
          <w:sz w:val="18"/>
        </w:rPr>
        <w:footnoteRef/>
      </w:r>
      <w:r w:rsidRPr="00750128">
        <w:rPr>
          <w:sz w:val="18"/>
        </w:rPr>
        <w:t xml:space="preserve"> Jacobus de </w:t>
      </w:r>
      <w:proofErr w:type="spellStart"/>
      <w:r w:rsidRPr="00750128">
        <w:rPr>
          <w:sz w:val="18"/>
        </w:rPr>
        <w:t>Voragine</w:t>
      </w:r>
      <w:proofErr w:type="spellEnd"/>
      <w:r w:rsidRPr="00750128">
        <w:rPr>
          <w:sz w:val="18"/>
        </w:rPr>
        <w:t xml:space="preserve">, </w:t>
      </w:r>
      <w:r w:rsidRPr="00750128">
        <w:rPr>
          <w:i/>
          <w:sz w:val="18"/>
        </w:rPr>
        <w:t>The Golden Legend: The Reading of Saints</w:t>
      </w:r>
      <w:r w:rsidRPr="00750128">
        <w:rPr>
          <w:sz w:val="18"/>
        </w:rPr>
        <w:t>, trans. W.G. Ryan, vol.2 (Princeton: Princeton University Press, 1993), p.346.</w:t>
      </w:r>
    </w:p>
  </w:footnote>
  <w:footnote w:id="18">
    <w:p w:rsidR="00E57400" w:rsidRPr="00F00E1A" w:rsidRDefault="00E57400" w:rsidP="00E57400">
      <w:pPr>
        <w:pStyle w:val="FootnoteText"/>
      </w:pPr>
      <w:r w:rsidRPr="00F00E1A">
        <w:rPr>
          <w:rStyle w:val="FootnoteReference"/>
          <w:sz w:val="18"/>
        </w:rPr>
        <w:footnoteRef/>
      </w:r>
      <w:r w:rsidRPr="00F00E1A">
        <w:rPr>
          <w:sz w:val="18"/>
        </w:rPr>
        <w:t xml:space="preserve"> </w:t>
      </w:r>
      <w:r>
        <w:rPr>
          <w:sz w:val="18"/>
        </w:rPr>
        <w:t xml:space="preserve">K. </w:t>
      </w:r>
      <w:proofErr w:type="spellStart"/>
      <w:r>
        <w:rPr>
          <w:sz w:val="18"/>
        </w:rPr>
        <w:t>Kanerva</w:t>
      </w:r>
      <w:proofErr w:type="spellEnd"/>
      <w:r>
        <w:rPr>
          <w:sz w:val="18"/>
        </w:rPr>
        <w:t xml:space="preserve">, ‘Restless Dead or Peaceful Cadavers? Preparations for Death and Afterlife in Medieval Iceland’, </w:t>
      </w:r>
      <w:r>
        <w:rPr>
          <w:i/>
          <w:sz w:val="18"/>
        </w:rPr>
        <w:t>The Northern World</w:t>
      </w:r>
      <w:r>
        <w:rPr>
          <w:sz w:val="18"/>
        </w:rPr>
        <w:t xml:space="preserve">, vol.82, no.2 (BRILL, 2018), p.27. </w:t>
      </w:r>
    </w:p>
  </w:footnote>
  <w:footnote w:id="19">
    <w:p w:rsidR="00E57400" w:rsidRDefault="00E57400" w:rsidP="00E57400">
      <w:pPr>
        <w:pStyle w:val="FootnoteText"/>
      </w:pPr>
      <w:r w:rsidRPr="00DF4BBB">
        <w:rPr>
          <w:rStyle w:val="FootnoteReference"/>
          <w:sz w:val="18"/>
        </w:rPr>
        <w:footnoteRef/>
      </w:r>
      <w:r w:rsidRPr="00DF4BBB">
        <w:rPr>
          <w:sz w:val="18"/>
        </w:rPr>
        <w:t xml:space="preserve"> </w:t>
      </w:r>
      <w:r>
        <w:rPr>
          <w:sz w:val="18"/>
        </w:rPr>
        <w:t>The fear of a ‘bad death’ influenced the concerns in all aspects in society; laity to clergy, ecclesiastical to secular.</w:t>
      </w:r>
    </w:p>
  </w:footnote>
  <w:footnote w:id="20">
    <w:p w:rsidR="00E57400" w:rsidRDefault="00E57400" w:rsidP="00E57400">
      <w:pPr>
        <w:pStyle w:val="FootnoteText"/>
      </w:pPr>
      <w:r w:rsidRPr="00427CED">
        <w:rPr>
          <w:rStyle w:val="FootnoteReference"/>
          <w:sz w:val="18"/>
        </w:rPr>
        <w:footnoteRef/>
      </w:r>
      <w:r w:rsidRPr="00427CED">
        <w:rPr>
          <w:sz w:val="18"/>
        </w:rPr>
        <w:t xml:space="preserve"> Orderic Vitalis, </w:t>
      </w:r>
      <w:proofErr w:type="gramStart"/>
      <w:r w:rsidRPr="00427CED">
        <w:rPr>
          <w:i/>
          <w:sz w:val="18"/>
        </w:rPr>
        <w:t>The</w:t>
      </w:r>
      <w:proofErr w:type="gramEnd"/>
      <w:r w:rsidRPr="00427CED">
        <w:rPr>
          <w:i/>
          <w:sz w:val="18"/>
        </w:rPr>
        <w:t xml:space="preserve"> Ecclesiastical History of </w:t>
      </w:r>
      <w:proofErr w:type="spellStart"/>
      <w:r w:rsidRPr="00427CED">
        <w:rPr>
          <w:i/>
          <w:sz w:val="18"/>
        </w:rPr>
        <w:t>Orderiic</w:t>
      </w:r>
      <w:proofErr w:type="spellEnd"/>
      <w:r w:rsidRPr="00427CED">
        <w:rPr>
          <w:i/>
          <w:sz w:val="18"/>
        </w:rPr>
        <w:t xml:space="preserve"> Vitalis</w:t>
      </w:r>
      <w:r w:rsidRPr="00427CED">
        <w:rPr>
          <w:sz w:val="18"/>
        </w:rPr>
        <w:t xml:space="preserve">, trans. M. Chibnall (Oxford: 1973). </w:t>
      </w:r>
    </w:p>
  </w:footnote>
  <w:footnote w:id="21">
    <w:p w:rsidR="00E57400" w:rsidRDefault="00E57400" w:rsidP="00E57400">
      <w:pPr>
        <w:pStyle w:val="FootnoteText"/>
      </w:pPr>
      <w:r w:rsidRPr="00CB122D">
        <w:rPr>
          <w:rStyle w:val="FootnoteReference"/>
          <w:sz w:val="18"/>
        </w:rPr>
        <w:footnoteRef/>
      </w:r>
      <w:r w:rsidRPr="00CB122D">
        <w:rPr>
          <w:sz w:val="18"/>
        </w:rPr>
        <w:t xml:space="preserve"> </w:t>
      </w:r>
      <w:r>
        <w:rPr>
          <w:sz w:val="18"/>
        </w:rPr>
        <w:t xml:space="preserve">Catholic Culture, </w:t>
      </w:r>
      <w:r w:rsidRPr="00CB122D">
        <w:rPr>
          <w:sz w:val="18"/>
        </w:rPr>
        <w:t>Catholic Activity: Fourteen Holy Helpers</w:t>
      </w:r>
      <w:r>
        <w:rPr>
          <w:sz w:val="18"/>
        </w:rPr>
        <w:t xml:space="preserve">, Catholic Culture Online, available from </w:t>
      </w:r>
      <w:r w:rsidRPr="00CB122D">
        <w:rPr>
          <w:sz w:val="18"/>
        </w:rPr>
        <w:t>https://www.catholicculture.org/culture/liturgicalyear/activities/view.cfm?id=886</w:t>
      </w:r>
      <w:r>
        <w:rPr>
          <w:sz w:val="18"/>
        </w:rPr>
        <w:t>, accessed on [30/01/2019].</w:t>
      </w:r>
    </w:p>
  </w:footnote>
  <w:footnote w:id="22">
    <w:p w:rsidR="00E57400" w:rsidRPr="005B7C8C" w:rsidRDefault="00E57400" w:rsidP="00E57400">
      <w:pPr>
        <w:pStyle w:val="FootnoteText"/>
      </w:pPr>
      <w:r w:rsidRPr="005B7C8C">
        <w:rPr>
          <w:rStyle w:val="FootnoteReference"/>
          <w:sz w:val="18"/>
        </w:rPr>
        <w:footnoteRef/>
      </w:r>
      <w:r w:rsidRPr="005B7C8C">
        <w:rPr>
          <w:sz w:val="18"/>
        </w:rPr>
        <w:t xml:space="preserve"> </w:t>
      </w:r>
      <w:r>
        <w:rPr>
          <w:i/>
          <w:sz w:val="18"/>
        </w:rPr>
        <w:t>Ibid.,</w:t>
      </w:r>
    </w:p>
  </w:footnote>
  <w:footnote w:id="23">
    <w:p w:rsidR="00E57400" w:rsidRPr="00D233FE" w:rsidRDefault="00E57400" w:rsidP="00E57400">
      <w:pPr>
        <w:pStyle w:val="FootnoteText"/>
      </w:pPr>
      <w:r w:rsidRPr="00D233FE">
        <w:rPr>
          <w:rStyle w:val="FootnoteReference"/>
          <w:sz w:val="18"/>
        </w:rPr>
        <w:footnoteRef/>
      </w:r>
      <w:r w:rsidRPr="00D233FE">
        <w:rPr>
          <w:sz w:val="18"/>
        </w:rPr>
        <w:t xml:space="preserve"> </w:t>
      </w:r>
      <w:r>
        <w:rPr>
          <w:sz w:val="18"/>
        </w:rPr>
        <w:t xml:space="preserve">A. Reinis, </w:t>
      </w:r>
      <w:r>
        <w:rPr>
          <w:i/>
          <w:sz w:val="18"/>
        </w:rPr>
        <w:t xml:space="preserve">Reforming the Art of Dying: The </w:t>
      </w:r>
      <w:proofErr w:type="spellStart"/>
      <w:r>
        <w:rPr>
          <w:i/>
          <w:sz w:val="18"/>
        </w:rPr>
        <w:t>ars</w:t>
      </w:r>
      <w:proofErr w:type="spellEnd"/>
      <w:r>
        <w:rPr>
          <w:i/>
          <w:sz w:val="18"/>
        </w:rPr>
        <w:t xml:space="preserve"> moriendi in the German Reformation (1519-1528)</w:t>
      </w:r>
      <w:r>
        <w:rPr>
          <w:sz w:val="18"/>
        </w:rPr>
        <w:t xml:space="preserve">, (Routledge, 2007). </w:t>
      </w:r>
    </w:p>
  </w:footnote>
  <w:footnote w:id="24">
    <w:p w:rsidR="00E57400" w:rsidRPr="005A5B6E" w:rsidRDefault="00E57400" w:rsidP="00E57400">
      <w:pPr>
        <w:pStyle w:val="FootnoteText"/>
        <w:rPr>
          <w:sz w:val="18"/>
          <w:szCs w:val="18"/>
        </w:rPr>
      </w:pPr>
      <w:r w:rsidRPr="005A5B6E">
        <w:rPr>
          <w:rStyle w:val="FootnoteReference"/>
          <w:sz w:val="18"/>
          <w:szCs w:val="18"/>
        </w:rPr>
        <w:footnoteRef/>
      </w:r>
      <w:r w:rsidRPr="005A5B6E">
        <w:rPr>
          <w:sz w:val="18"/>
          <w:szCs w:val="18"/>
        </w:rPr>
        <w:t xml:space="preserve"> See Figure One. </w:t>
      </w:r>
    </w:p>
  </w:footnote>
  <w:footnote w:id="25">
    <w:p w:rsidR="00E57400" w:rsidRPr="00427CED" w:rsidRDefault="00E57400" w:rsidP="00E57400">
      <w:pPr>
        <w:pStyle w:val="FootnoteText"/>
        <w:rPr>
          <w:sz w:val="16"/>
        </w:rPr>
      </w:pPr>
      <w:r w:rsidRPr="005A5B6E">
        <w:rPr>
          <w:rStyle w:val="FootnoteReference"/>
          <w:sz w:val="18"/>
          <w:szCs w:val="18"/>
        </w:rPr>
        <w:footnoteRef/>
      </w:r>
      <w:r>
        <w:t xml:space="preserve"> </w:t>
      </w:r>
      <w:r w:rsidRPr="00427CED">
        <w:rPr>
          <w:sz w:val="16"/>
        </w:rPr>
        <w:t xml:space="preserve">M. </w:t>
      </w:r>
      <w:proofErr w:type="spellStart"/>
      <w:r w:rsidRPr="00427CED">
        <w:rPr>
          <w:sz w:val="16"/>
        </w:rPr>
        <w:t>Haren</w:t>
      </w:r>
      <w:proofErr w:type="spellEnd"/>
      <w:r w:rsidRPr="00427CED">
        <w:rPr>
          <w:sz w:val="16"/>
        </w:rPr>
        <w:t xml:space="preserve">, ‘Confession, Social Ethics and Social Discipline in the </w:t>
      </w:r>
      <w:proofErr w:type="spellStart"/>
      <w:r w:rsidRPr="00427CED">
        <w:rPr>
          <w:i/>
          <w:sz w:val="16"/>
        </w:rPr>
        <w:t>Memoriale</w:t>
      </w:r>
      <w:proofErr w:type="spellEnd"/>
      <w:r w:rsidRPr="00427CED">
        <w:rPr>
          <w:i/>
          <w:sz w:val="16"/>
        </w:rPr>
        <w:t xml:space="preserve"> </w:t>
      </w:r>
      <w:proofErr w:type="spellStart"/>
      <w:r w:rsidRPr="00427CED">
        <w:rPr>
          <w:i/>
          <w:sz w:val="16"/>
        </w:rPr>
        <w:t>presbiterorum</w:t>
      </w:r>
      <w:proofErr w:type="spellEnd"/>
      <w:r w:rsidRPr="00427CED">
        <w:rPr>
          <w:sz w:val="16"/>
        </w:rPr>
        <w:t xml:space="preserve">’, </w:t>
      </w:r>
      <w:r w:rsidRPr="00427CED">
        <w:rPr>
          <w:i/>
          <w:sz w:val="16"/>
        </w:rPr>
        <w:t xml:space="preserve">Handling Sin: Confession in the </w:t>
      </w:r>
      <w:proofErr w:type="gramStart"/>
      <w:r w:rsidRPr="00427CED">
        <w:rPr>
          <w:i/>
          <w:sz w:val="16"/>
        </w:rPr>
        <w:t>Middle</w:t>
      </w:r>
      <w:proofErr w:type="gramEnd"/>
      <w:r w:rsidRPr="00427CED">
        <w:rPr>
          <w:i/>
          <w:sz w:val="16"/>
        </w:rPr>
        <w:t xml:space="preserve"> Ages</w:t>
      </w:r>
      <w:r w:rsidRPr="00427CED">
        <w:rPr>
          <w:sz w:val="16"/>
        </w:rPr>
        <w:t>, vol.2 (York Medieval Press, 1998), p.110.</w:t>
      </w:r>
    </w:p>
  </w:footnote>
  <w:footnote w:id="26">
    <w:p w:rsidR="00B46636" w:rsidRPr="009A3F2B" w:rsidRDefault="00B46636" w:rsidP="00B46636">
      <w:pPr>
        <w:pStyle w:val="FootnoteText"/>
        <w:rPr>
          <w:sz w:val="18"/>
          <w:szCs w:val="18"/>
        </w:rPr>
      </w:pPr>
      <w:r w:rsidRPr="001645B9">
        <w:rPr>
          <w:rStyle w:val="FootnoteReference"/>
          <w:sz w:val="18"/>
        </w:rPr>
        <w:footnoteRef/>
      </w:r>
      <w:r w:rsidRPr="001645B9">
        <w:rPr>
          <w:sz w:val="18"/>
        </w:rPr>
        <w:t xml:space="preserve"> </w:t>
      </w:r>
      <w:r w:rsidRPr="009A3F2B">
        <w:rPr>
          <w:sz w:val="18"/>
          <w:szCs w:val="18"/>
        </w:rPr>
        <w:t>Cambridge Dictionary, Purgatory, Cambridge Dictionary Online, available at https://dictionary.cambridge.org/dictionary/english/purgatory, accessed on [17/01/2019].</w:t>
      </w:r>
    </w:p>
  </w:footnote>
  <w:footnote w:id="27">
    <w:p w:rsidR="00B46636" w:rsidRPr="009A3F2B" w:rsidRDefault="00B46636" w:rsidP="00B46636">
      <w:pPr>
        <w:pStyle w:val="FootnoteText"/>
        <w:rPr>
          <w:sz w:val="18"/>
          <w:szCs w:val="18"/>
        </w:rPr>
      </w:pPr>
      <w:r w:rsidRPr="009A3F2B">
        <w:rPr>
          <w:rStyle w:val="FootnoteReference"/>
          <w:sz w:val="18"/>
          <w:szCs w:val="18"/>
        </w:rPr>
        <w:footnoteRef/>
      </w:r>
      <w:r w:rsidRPr="009A3F2B">
        <w:rPr>
          <w:sz w:val="18"/>
          <w:szCs w:val="18"/>
        </w:rPr>
        <w:t xml:space="preserve"> Bede, </w:t>
      </w:r>
      <w:r w:rsidRPr="009A3F2B">
        <w:rPr>
          <w:i/>
          <w:sz w:val="18"/>
          <w:szCs w:val="18"/>
        </w:rPr>
        <w:t>Ecclesiastical History of England</w:t>
      </w:r>
      <w:r w:rsidRPr="009A3F2B">
        <w:rPr>
          <w:sz w:val="18"/>
          <w:szCs w:val="18"/>
        </w:rPr>
        <w:t xml:space="preserve">, trans. A.M. Sellar (London: George Bell and Sons, 1907), p.330. </w:t>
      </w:r>
    </w:p>
  </w:footnote>
  <w:footnote w:id="28">
    <w:p w:rsidR="00B46636" w:rsidRPr="009A3F2B" w:rsidRDefault="00B46636" w:rsidP="00B46636">
      <w:pPr>
        <w:pStyle w:val="FootnoteText"/>
      </w:pPr>
      <w:r w:rsidRPr="009A3F2B">
        <w:rPr>
          <w:rStyle w:val="FootnoteReference"/>
          <w:sz w:val="18"/>
          <w:szCs w:val="18"/>
        </w:rPr>
        <w:footnoteRef/>
      </w:r>
      <w:r w:rsidRPr="009A3F2B">
        <w:rPr>
          <w:sz w:val="18"/>
          <w:szCs w:val="18"/>
        </w:rPr>
        <w:t xml:space="preserve"> J. Zanchius,</w:t>
      </w:r>
      <w:r>
        <w:rPr>
          <w:sz w:val="18"/>
          <w:szCs w:val="18"/>
        </w:rPr>
        <w:t xml:space="preserve"> </w:t>
      </w:r>
      <w:r>
        <w:rPr>
          <w:i/>
          <w:sz w:val="18"/>
          <w:szCs w:val="18"/>
        </w:rPr>
        <w:t>Absolute Predestination</w:t>
      </w:r>
      <w:r>
        <w:rPr>
          <w:sz w:val="18"/>
          <w:szCs w:val="18"/>
        </w:rPr>
        <w:t xml:space="preserve"> (Lafayette: Sovereign Grace Publishers Inc., 2001). </w:t>
      </w:r>
    </w:p>
  </w:footnote>
  <w:footnote w:id="29">
    <w:p w:rsidR="00B46636" w:rsidRDefault="00B46636" w:rsidP="00B46636">
      <w:pPr>
        <w:pStyle w:val="FootnoteText"/>
      </w:pPr>
      <w:r w:rsidRPr="00A20279">
        <w:rPr>
          <w:rStyle w:val="FootnoteReference"/>
          <w:sz w:val="18"/>
        </w:rPr>
        <w:footnoteRef/>
      </w:r>
      <w:r w:rsidRPr="00A20279">
        <w:rPr>
          <w:sz w:val="18"/>
        </w:rPr>
        <w:t xml:space="preserve"> </w:t>
      </w:r>
      <w:r>
        <w:rPr>
          <w:sz w:val="18"/>
        </w:rPr>
        <w:t xml:space="preserve">Cambridge Dictionary, Inspiration, Cambridge Dictionary Online, available at </w:t>
      </w:r>
      <w:r w:rsidRPr="00A20279">
        <w:rPr>
          <w:sz w:val="18"/>
        </w:rPr>
        <w:t>https://dictionary.cambridge.org/dictionary/english/inspiration</w:t>
      </w:r>
      <w:r>
        <w:rPr>
          <w:sz w:val="18"/>
        </w:rPr>
        <w:t>, accessed on [31/01/2019].</w:t>
      </w:r>
    </w:p>
  </w:footnote>
  <w:footnote w:id="30">
    <w:p w:rsidR="00B46636" w:rsidRDefault="00B46636" w:rsidP="00B46636">
      <w:pPr>
        <w:pStyle w:val="FootnoteText"/>
      </w:pPr>
      <w:r w:rsidRPr="00DF6F95">
        <w:rPr>
          <w:rStyle w:val="FootnoteReference"/>
          <w:sz w:val="18"/>
        </w:rPr>
        <w:footnoteRef/>
      </w:r>
      <w:r w:rsidRPr="00DF6F95">
        <w:rPr>
          <w:sz w:val="18"/>
        </w:rPr>
        <w:t xml:space="preserve"> J. Casey, </w:t>
      </w:r>
      <w:r w:rsidRPr="00DF6F95">
        <w:rPr>
          <w:i/>
          <w:sz w:val="18"/>
        </w:rPr>
        <w:t>After Lives: A Guide to Heaven, Hell, and Purgatory</w:t>
      </w:r>
      <w:r w:rsidRPr="00DF6F95">
        <w:rPr>
          <w:sz w:val="18"/>
        </w:rPr>
        <w:t xml:space="preserve"> (Oxford: Oxford University Press, 2009), ‘Rome’s Happiest Inspiration</w:t>
      </w:r>
      <w:r>
        <w:rPr>
          <w:sz w:val="18"/>
        </w:rPr>
        <w:t xml:space="preserve">’. </w:t>
      </w:r>
    </w:p>
  </w:footnote>
  <w:footnote w:id="31">
    <w:p w:rsidR="00B46636" w:rsidRPr="00C176CF" w:rsidRDefault="00B46636" w:rsidP="00B46636">
      <w:pPr>
        <w:pStyle w:val="FootnoteText"/>
        <w:rPr>
          <w:sz w:val="18"/>
          <w:szCs w:val="18"/>
        </w:rPr>
      </w:pPr>
      <w:r w:rsidRPr="00C176CF">
        <w:rPr>
          <w:rStyle w:val="FootnoteReference"/>
          <w:sz w:val="18"/>
          <w:szCs w:val="18"/>
        </w:rPr>
        <w:footnoteRef/>
      </w:r>
      <w:r w:rsidRPr="00C176CF">
        <w:rPr>
          <w:sz w:val="18"/>
          <w:szCs w:val="18"/>
        </w:rPr>
        <w:t xml:space="preserve"> See Figure One.</w:t>
      </w:r>
    </w:p>
  </w:footnote>
  <w:footnote w:id="32">
    <w:p w:rsidR="00B46636" w:rsidRPr="00466478" w:rsidRDefault="00B46636" w:rsidP="00B46636">
      <w:pPr>
        <w:pStyle w:val="FootnoteText"/>
        <w:rPr>
          <w:sz w:val="18"/>
          <w:szCs w:val="18"/>
        </w:rPr>
      </w:pPr>
      <w:r w:rsidRPr="00C176CF">
        <w:rPr>
          <w:rStyle w:val="FootnoteReference"/>
          <w:sz w:val="18"/>
          <w:szCs w:val="18"/>
        </w:rPr>
        <w:footnoteRef/>
      </w:r>
      <w:r w:rsidRPr="00C176CF">
        <w:rPr>
          <w:sz w:val="18"/>
          <w:szCs w:val="18"/>
        </w:rPr>
        <w:t xml:space="preserve"> Monk of Eynsham, </w:t>
      </w:r>
      <w:r w:rsidRPr="00C176CF">
        <w:rPr>
          <w:i/>
          <w:sz w:val="18"/>
          <w:szCs w:val="18"/>
        </w:rPr>
        <w:t>Revelation of the monk of Eynsham</w:t>
      </w:r>
      <w:r>
        <w:rPr>
          <w:sz w:val="18"/>
          <w:szCs w:val="18"/>
        </w:rPr>
        <w:t xml:space="preserve">, in the </w:t>
      </w:r>
      <w:r w:rsidRPr="00466478">
        <w:rPr>
          <w:sz w:val="18"/>
          <w:szCs w:val="18"/>
        </w:rPr>
        <w:t xml:space="preserve">Complete text of </w:t>
      </w:r>
      <w:r w:rsidRPr="00466478">
        <w:rPr>
          <w:i/>
          <w:sz w:val="18"/>
          <w:szCs w:val="18"/>
        </w:rPr>
        <w:t>The Revelation of the Monk of Eynsham</w:t>
      </w:r>
      <w:r>
        <w:rPr>
          <w:sz w:val="18"/>
          <w:szCs w:val="18"/>
        </w:rPr>
        <w:t xml:space="preserve">, ed. R. </w:t>
      </w:r>
      <w:r w:rsidRPr="00466478">
        <w:rPr>
          <w:sz w:val="18"/>
          <w:szCs w:val="18"/>
        </w:rPr>
        <w:t>Easting from manuscripts in the British Library and the Bodleian Library Oxford, available through the Early English Text Society (EETS)</w:t>
      </w:r>
      <w:r>
        <w:rPr>
          <w:sz w:val="18"/>
          <w:szCs w:val="18"/>
        </w:rPr>
        <w:t xml:space="preserve">. </w:t>
      </w:r>
    </w:p>
  </w:footnote>
  <w:footnote w:id="33">
    <w:p w:rsidR="00B46636" w:rsidRDefault="00B46636" w:rsidP="00B46636">
      <w:pPr>
        <w:pStyle w:val="FootnoteText"/>
      </w:pPr>
      <w:r w:rsidRPr="00C72850">
        <w:rPr>
          <w:rStyle w:val="FootnoteReference"/>
          <w:sz w:val="18"/>
        </w:rPr>
        <w:footnoteRef/>
      </w:r>
      <w:r w:rsidRPr="00C72850">
        <w:rPr>
          <w:sz w:val="18"/>
        </w:rPr>
        <w:t xml:space="preserve"> </w:t>
      </w:r>
      <w:r>
        <w:rPr>
          <w:sz w:val="18"/>
        </w:rPr>
        <w:t xml:space="preserve">See Figure Two. </w:t>
      </w:r>
    </w:p>
  </w:footnote>
  <w:footnote w:id="34">
    <w:p w:rsidR="00B46636" w:rsidRPr="00C176CF" w:rsidRDefault="00B46636" w:rsidP="00B46636">
      <w:pPr>
        <w:pStyle w:val="FootnoteText"/>
        <w:rPr>
          <w:sz w:val="18"/>
          <w:szCs w:val="18"/>
        </w:rPr>
      </w:pPr>
      <w:r w:rsidRPr="00C176CF">
        <w:rPr>
          <w:rStyle w:val="FootnoteReference"/>
          <w:sz w:val="18"/>
          <w:szCs w:val="18"/>
        </w:rPr>
        <w:footnoteRef/>
      </w:r>
      <w:r w:rsidRPr="00C176CF">
        <w:rPr>
          <w:sz w:val="18"/>
          <w:szCs w:val="18"/>
        </w:rPr>
        <w:t xml:space="preserve"> </w:t>
      </w:r>
      <w:r w:rsidRPr="00C176CF">
        <w:rPr>
          <w:i/>
          <w:sz w:val="18"/>
          <w:szCs w:val="18"/>
        </w:rPr>
        <w:t>Documents on the Papal Plenary Indulgences 1300-1517 Preached in the Regnum Teutonicum</w:t>
      </w:r>
      <w:r w:rsidRPr="00C176CF">
        <w:rPr>
          <w:sz w:val="18"/>
          <w:szCs w:val="18"/>
        </w:rPr>
        <w:t xml:space="preserve">, ed. S. Jenks (Boston: BRILL, 2018), pp. 13-14. </w:t>
      </w:r>
    </w:p>
  </w:footnote>
  <w:footnote w:id="35">
    <w:p w:rsidR="00B46636" w:rsidRPr="00C176CF" w:rsidRDefault="00B46636" w:rsidP="00B46636">
      <w:pPr>
        <w:pStyle w:val="FootnoteText"/>
        <w:rPr>
          <w:sz w:val="18"/>
        </w:rPr>
      </w:pPr>
      <w:r w:rsidRPr="00C176CF">
        <w:rPr>
          <w:rStyle w:val="FootnoteReference"/>
          <w:sz w:val="18"/>
        </w:rPr>
        <w:footnoteRef/>
      </w:r>
      <w:r w:rsidRPr="00C176CF">
        <w:rPr>
          <w:sz w:val="18"/>
        </w:rPr>
        <w:t xml:space="preserve"> C. Morris, </w:t>
      </w:r>
      <w:proofErr w:type="gramStart"/>
      <w:r w:rsidRPr="00C176CF">
        <w:rPr>
          <w:i/>
          <w:sz w:val="18"/>
        </w:rPr>
        <w:t>The</w:t>
      </w:r>
      <w:proofErr w:type="gramEnd"/>
      <w:r w:rsidRPr="00C176CF">
        <w:rPr>
          <w:i/>
          <w:sz w:val="18"/>
        </w:rPr>
        <w:t xml:space="preserve"> Papal Monarchy: The Western Church from 1050 to 1250</w:t>
      </w:r>
      <w:r w:rsidRPr="00C176CF">
        <w:rPr>
          <w:sz w:val="18"/>
        </w:rPr>
        <w:t xml:space="preserve"> (Oxford: Oxford University Press, 1991), pp. 79-108.</w:t>
      </w:r>
    </w:p>
  </w:footnote>
  <w:footnote w:id="36">
    <w:p w:rsidR="00B46636" w:rsidRPr="009F7E40" w:rsidRDefault="00B46636" w:rsidP="00B46636">
      <w:pPr>
        <w:pStyle w:val="FootnoteText"/>
        <w:rPr>
          <w:sz w:val="18"/>
        </w:rPr>
      </w:pPr>
      <w:r w:rsidRPr="009F7E40">
        <w:rPr>
          <w:rStyle w:val="FootnoteReference"/>
          <w:sz w:val="18"/>
        </w:rPr>
        <w:footnoteRef/>
      </w:r>
      <w:r w:rsidRPr="009F7E40">
        <w:rPr>
          <w:sz w:val="18"/>
        </w:rPr>
        <w:t xml:space="preserve">J. Casey, </w:t>
      </w:r>
      <w:r w:rsidRPr="009F7E40">
        <w:rPr>
          <w:i/>
          <w:sz w:val="18"/>
        </w:rPr>
        <w:t>After Lives: A Guide to Heaven, Hell, and Purgatory</w:t>
      </w:r>
      <w:r w:rsidRPr="009F7E40">
        <w:rPr>
          <w:sz w:val="18"/>
        </w:rPr>
        <w:t xml:space="preserve"> (Oxford: Oxford University Press, 2009), ‘Rome’s Happiest Inspiration’. </w:t>
      </w:r>
    </w:p>
    <w:p w:rsidR="00B46636" w:rsidRDefault="00B46636" w:rsidP="00B46636">
      <w:pPr>
        <w:pStyle w:val="FootnoteText"/>
      </w:pPr>
    </w:p>
  </w:footnote>
  <w:footnote w:id="37">
    <w:p w:rsidR="00B46636" w:rsidRPr="00095D8A" w:rsidRDefault="00B46636" w:rsidP="00B46636">
      <w:pPr>
        <w:pStyle w:val="FootnoteText"/>
      </w:pPr>
      <w:r w:rsidRPr="00662087">
        <w:rPr>
          <w:rStyle w:val="FootnoteReference"/>
          <w:sz w:val="18"/>
        </w:rPr>
        <w:footnoteRef/>
      </w:r>
      <w:r w:rsidRPr="00662087">
        <w:rPr>
          <w:sz w:val="18"/>
        </w:rPr>
        <w:t xml:space="preserve"> </w:t>
      </w:r>
      <w:r w:rsidRPr="002D7041">
        <w:rPr>
          <w:sz w:val="18"/>
          <w:szCs w:val="18"/>
        </w:rPr>
        <w:t xml:space="preserve">Martin Luther, </w:t>
      </w:r>
      <w:r w:rsidRPr="002D7041">
        <w:rPr>
          <w:i/>
          <w:sz w:val="18"/>
          <w:szCs w:val="18"/>
        </w:rPr>
        <w:t>Letter to the Archbishop of Mainz</w:t>
      </w:r>
      <w:r w:rsidRPr="002D7041">
        <w:rPr>
          <w:sz w:val="18"/>
          <w:szCs w:val="18"/>
        </w:rPr>
        <w:t xml:space="preserve"> from </w:t>
      </w:r>
      <w:r w:rsidRPr="002D7041">
        <w:rPr>
          <w:i/>
          <w:sz w:val="18"/>
          <w:szCs w:val="18"/>
        </w:rPr>
        <w:t>The Works of Martin Luther,</w:t>
      </w:r>
      <w:r w:rsidRPr="002D7041">
        <w:rPr>
          <w:sz w:val="18"/>
          <w:szCs w:val="18"/>
        </w:rPr>
        <w:t xml:space="preserve"> ed. and trans. A. </w:t>
      </w:r>
      <w:proofErr w:type="spellStart"/>
      <w:r w:rsidRPr="002D7041">
        <w:rPr>
          <w:sz w:val="18"/>
          <w:szCs w:val="18"/>
        </w:rPr>
        <w:t>Spaeth</w:t>
      </w:r>
      <w:proofErr w:type="spellEnd"/>
      <w:r w:rsidRPr="002D7041">
        <w:rPr>
          <w:sz w:val="18"/>
          <w:szCs w:val="18"/>
        </w:rPr>
        <w:t>, L.D. Reed, H.E. Jacobs, vol.1, (Philadelphia: A. J. Holman Company, 1915) pp.25-28.</w:t>
      </w:r>
    </w:p>
  </w:footnote>
  <w:footnote w:id="38">
    <w:p w:rsidR="00B46636" w:rsidRDefault="00B46636" w:rsidP="00B46636">
      <w:pPr>
        <w:pStyle w:val="FootnoteText"/>
      </w:pPr>
      <w:r w:rsidRPr="003C01C2">
        <w:rPr>
          <w:rStyle w:val="FootnoteReference"/>
          <w:sz w:val="18"/>
        </w:rPr>
        <w:footnoteRef/>
      </w:r>
      <w:r w:rsidRPr="003C01C2">
        <w:rPr>
          <w:sz w:val="18"/>
        </w:rPr>
        <w:t xml:space="preserve"> </w:t>
      </w:r>
      <w:r>
        <w:rPr>
          <w:sz w:val="18"/>
        </w:rPr>
        <w:t xml:space="preserve">J.L Goff, cited in </w:t>
      </w:r>
      <w:r w:rsidRPr="003C01C2">
        <w:rPr>
          <w:sz w:val="18"/>
        </w:rPr>
        <w:t>J. Casey, After Lives: A Guide to Heaven, Hell, and Purgatory (Oxford: Oxford University Press, 2009), ‘Rome’s Happiest Inspiration’.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400"/>
    <w:rsid w:val="000F7CBC"/>
    <w:rsid w:val="001B1272"/>
    <w:rsid w:val="002269EB"/>
    <w:rsid w:val="002C5F36"/>
    <w:rsid w:val="003B1196"/>
    <w:rsid w:val="003B249C"/>
    <w:rsid w:val="003F7EC8"/>
    <w:rsid w:val="00415252"/>
    <w:rsid w:val="004278A7"/>
    <w:rsid w:val="004B16EE"/>
    <w:rsid w:val="004F2ED1"/>
    <w:rsid w:val="00507381"/>
    <w:rsid w:val="005942F3"/>
    <w:rsid w:val="005B1EC8"/>
    <w:rsid w:val="005F4582"/>
    <w:rsid w:val="00603F86"/>
    <w:rsid w:val="006163EE"/>
    <w:rsid w:val="00644FA2"/>
    <w:rsid w:val="006543A8"/>
    <w:rsid w:val="006757D7"/>
    <w:rsid w:val="006E4F1A"/>
    <w:rsid w:val="00735CE7"/>
    <w:rsid w:val="007C3149"/>
    <w:rsid w:val="007E743D"/>
    <w:rsid w:val="007F1371"/>
    <w:rsid w:val="0082422F"/>
    <w:rsid w:val="00841B2B"/>
    <w:rsid w:val="00866B6F"/>
    <w:rsid w:val="008A3F2B"/>
    <w:rsid w:val="008A4148"/>
    <w:rsid w:val="008B6DB5"/>
    <w:rsid w:val="008E0302"/>
    <w:rsid w:val="00904C48"/>
    <w:rsid w:val="0091628E"/>
    <w:rsid w:val="00925382"/>
    <w:rsid w:val="00950048"/>
    <w:rsid w:val="00950B52"/>
    <w:rsid w:val="00962A3C"/>
    <w:rsid w:val="009663BF"/>
    <w:rsid w:val="009E4AFE"/>
    <w:rsid w:val="00A3157B"/>
    <w:rsid w:val="00A55C71"/>
    <w:rsid w:val="00A631DC"/>
    <w:rsid w:val="00A82961"/>
    <w:rsid w:val="00AC507C"/>
    <w:rsid w:val="00B2136A"/>
    <w:rsid w:val="00B46636"/>
    <w:rsid w:val="00C10CB2"/>
    <w:rsid w:val="00C24B1E"/>
    <w:rsid w:val="00C514B0"/>
    <w:rsid w:val="00CC6B86"/>
    <w:rsid w:val="00CF2D0B"/>
    <w:rsid w:val="00D56B82"/>
    <w:rsid w:val="00DE6DC3"/>
    <w:rsid w:val="00E57400"/>
    <w:rsid w:val="00F7617E"/>
    <w:rsid w:val="00F77755"/>
    <w:rsid w:val="00F77C7F"/>
    <w:rsid w:val="00FB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D3F46AB-5D56-4310-836D-D15AA94BF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574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7400"/>
    <w:rPr>
      <w:sz w:val="20"/>
      <w:szCs w:val="20"/>
    </w:rPr>
  </w:style>
  <w:style w:type="character" w:styleId="FootnoteReference">
    <w:name w:val="footnote reference"/>
    <w:basedOn w:val="DefaultParagraphFont"/>
    <w:uiPriority w:val="99"/>
    <w:semiHidden/>
    <w:unhideWhenUsed/>
    <w:rsid w:val="00E5740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javascript:popUp('ILLUMINBig.ASP?size=big&amp;IllID=1647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9.png"/><Relationship Id="rId1" Type="http://schemas.openxmlformats.org/officeDocument/2006/relationships/styles" Target="styles.xml"/><Relationship Id="rId6" Type="http://schemas.openxmlformats.org/officeDocument/2006/relationships/hyperlink" Target="http://www.google.co.uk/url?sa=i&amp;rct=j&amp;q=&amp;esrc=s&amp;source=images&amp;cd=&amp;ved=2ahUKEwinuOzsj5HgAhVvBGMBHbxCC9AQjRx6BAgBEAU&amp;url=http://www.u3a.co/photographs-of-history-2-visit-to-ewelme/05-tomb-of-alice-de-la-pole-duchess-of-suffolk-1404-1475/&amp;psig=AOvVaw1UGe09rBFPdrp_rkgjQwpc&amp;ust=1548787108868271"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15</Pages>
  <Words>5050</Words>
  <Characters>25351</Characters>
  <Application>Microsoft Office Word</Application>
  <DocSecurity>0</DocSecurity>
  <Lines>396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31</cp:revision>
  <dcterms:created xsi:type="dcterms:W3CDTF">2019-01-30T23:34:00Z</dcterms:created>
  <dcterms:modified xsi:type="dcterms:W3CDTF">2019-02-01T20:03:00Z</dcterms:modified>
</cp:coreProperties>
</file>