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AB3C87" w14:textId="3DE20837" w:rsidR="004B3E9C" w:rsidRPr="004B3E9C" w:rsidRDefault="004B3E9C" w:rsidP="004B3E9C">
      <w:pPr>
        <w:spacing w:before="100" w:beforeAutospacing="1" w:after="100" w:afterAutospacing="1" w:line="240" w:lineRule="auto"/>
        <w:jc w:val="center"/>
        <w:rPr>
          <w:rFonts w:ascii="Times New Roman" w:eastAsia="Times New Roman" w:hAnsi="Times New Roman" w:cs="Times New Roman"/>
          <w:kern w:val="0"/>
          <w:sz w:val="36"/>
          <w:szCs w:val="36"/>
          <w:lang w:eastAsia="en-GB"/>
          <w14:ligatures w14:val="none"/>
        </w:rPr>
      </w:pPr>
      <w:proofErr w:type="gramStart"/>
      <w:r w:rsidRPr="004B3E9C">
        <w:rPr>
          <w:rFonts w:ascii="Times New Roman" w:eastAsia="Times New Roman" w:hAnsi="Times New Roman" w:cs="Times New Roman"/>
          <w:kern w:val="0"/>
          <w:sz w:val="36"/>
          <w:szCs w:val="36"/>
          <w:lang w:eastAsia="en-GB"/>
          <w14:ligatures w14:val="none"/>
        </w:rPr>
        <w:t>Marian  Raducanu</w:t>
      </w:r>
      <w:proofErr w:type="gramEnd"/>
      <w:r w:rsidRPr="004B3E9C">
        <w:rPr>
          <w:rFonts w:ascii="Times New Roman" w:eastAsia="Times New Roman" w:hAnsi="Times New Roman" w:cs="Times New Roman"/>
          <w:kern w:val="0"/>
          <w:sz w:val="36"/>
          <w:szCs w:val="36"/>
          <w:lang w:eastAsia="en-GB"/>
          <w14:ligatures w14:val="none"/>
        </w:rPr>
        <w:t xml:space="preserve"> </w:t>
      </w:r>
    </w:p>
    <w:p w14:paraId="7FE540E0" w14:textId="29761E2F" w:rsidR="004B3E9C" w:rsidRPr="004B3E9C" w:rsidRDefault="004B3E9C" w:rsidP="004B3E9C">
      <w:pPr>
        <w:spacing w:before="100" w:beforeAutospacing="1" w:after="100" w:afterAutospacing="1" w:line="240" w:lineRule="auto"/>
        <w:jc w:val="center"/>
        <w:rPr>
          <w:rFonts w:ascii="Times New Roman" w:eastAsia="Times New Roman" w:hAnsi="Times New Roman" w:cs="Times New Roman"/>
          <w:kern w:val="0"/>
          <w:sz w:val="36"/>
          <w:szCs w:val="36"/>
          <w:lang w:eastAsia="en-GB"/>
          <w14:ligatures w14:val="none"/>
        </w:rPr>
      </w:pPr>
      <w:r w:rsidRPr="004B3E9C">
        <w:rPr>
          <w:rFonts w:ascii="Times New Roman" w:eastAsia="Times New Roman" w:hAnsi="Times New Roman" w:cs="Times New Roman"/>
          <w:kern w:val="0"/>
          <w:sz w:val="36"/>
          <w:szCs w:val="36"/>
          <w:lang w:eastAsia="en-GB"/>
          <w14:ligatures w14:val="none"/>
        </w:rPr>
        <w:t xml:space="preserve">Academic skills </w:t>
      </w:r>
    </w:p>
    <w:p w14:paraId="056AEF9F" w14:textId="5B743E0A" w:rsidR="004B3E9C" w:rsidRPr="004B3E9C" w:rsidRDefault="004B3E9C" w:rsidP="004B3E9C">
      <w:pPr>
        <w:spacing w:before="100" w:beforeAutospacing="1" w:after="100" w:afterAutospacing="1" w:line="240" w:lineRule="auto"/>
        <w:jc w:val="center"/>
        <w:rPr>
          <w:rFonts w:ascii="Times New Roman" w:eastAsia="Times New Roman" w:hAnsi="Times New Roman" w:cs="Times New Roman"/>
          <w:kern w:val="0"/>
          <w:sz w:val="36"/>
          <w:szCs w:val="36"/>
          <w:lang w:eastAsia="en-GB"/>
          <w14:ligatures w14:val="none"/>
        </w:rPr>
      </w:pPr>
      <w:r w:rsidRPr="004B3E9C">
        <w:rPr>
          <w:rFonts w:ascii="Times New Roman" w:eastAsia="Times New Roman" w:hAnsi="Times New Roman" w:cs="Times New Roman"/>
          <w:kern w:val="0"/>
          <w:sz w:val="36"/>
          <w:szCs w:val="36"/>
          <w:lang w:eastAsia="en-GB"/>
          <w14:ligatures w14:val="none"/>
        </w:rPr>
        <w:t>Assignment 2</w:t>
      </w:r>
    </w:p>
    <w:p w14:paraId="42ECF4B4" w14:textId="77777777" w:rsidR="004B3E9C" w:rsidRDefault="004B3E9C" w:rsidP="00A4354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B7633F0" w14:textId="77777777" w:rsidR="004B3E9C" w:rsidRDefault="004B3E9C" w:rsidP="00A4354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E7DD13F" w14:textId="77777777" w:rsidR="004B3E9C" w:rsidRDefault="004B3E9C" w:rsidP="00A4354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75329DC" w14:textId="77777777" w:rsidR="004B3E9C" w:rsidRDefault="004B3E9C" w:rsidP="00A4354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841FC06" w14:textId="77777777" w:rsidR="004B3E9C" w:rsidRDefault="004B3E9C" w:rsidP="00A4354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09AEB2A" w14:textId="77777777" w:rsidR="004B3E9C" w:rsidRDefault="004B3E9C" w:rsidP="00A4354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5AA00BB" w14:textId="766E4D5D" w:rsidR="00A43548" w:rsidRPr="00A43548" w:rsidRDefault="00A43548" w:rsidP="00A43548">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3548">
        <w:rPr>
          <w:rFonts w:ascii="Times New Roman" w:eastAsia="Times New Roman" w:hAnsi="Times New Roman" w:cs="Times New Roman"/>
          <w:kern w:val="0"/>
          <w:lang w:eastAsia="en-GB"/>
          <w14:ligatures w14:val="none"/>
        </w:rPr>
        <w:t xml:space="preserve">Using the provided bibliography on “The Doctrine of the Trinity,” I will select four works to </w:t>
      </w:r>
      <w:r w:rsidR="004B3E9C" w:rsidRPr="00A43548">
        <w:rPr>
          <w:rFonts w:ascii="Times New Roman" w:eastAsia="Times New Roman" w:hAnsi="Times New Roman" w:cs="Times New Roman"/>
          <w:kern w:val="0"/>
          <w:lang w:eastAsia="en-GB"/>
          <w14:ligatures w14:val="none"/>
        </w:rPr>
        <w:t>analyse</w:t>
      </w:r>
      <w:r w:rsidRPr="00A43548">
        <w:rPr>
          <w:rFonts w:ascii="Times New Roman" w:eastAsia="Times New Roman" w:hAnsi="Times New Roman" w:cs="Times New Roman"/>
          <w:kern w:val="0"/>
          <w:lang w:eastAsia="en-GB"/>
          <w14:ligatures w14:val="none"/>
        </w:rPr>
        <w:t>, focusing on their arguments, sources, and theoretical perspectives. Below are the selected works:</w:t>
      </w:r>
    </w:p>
    <w:p w14:paraId="75EAF50D" w14:textId="77777777" w:rsidR="00A43548" w:rsidRPr="00A43548" w:rsidRDefault="00A43548" w:rsidP="00A43548">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3548">
        <w:rPr>
          <w:rFonts w:ascii="Times New Roman" w:eastAsia="Times New Roman" w:hAnsi="Times New Roman" w:cs="Times New Roman"/>
          <w:kern w:val="0"/>
          <w:lang w:eastAsia="en-GB"/>
          <w14:ligatures w14:val="none"/>
        </w:rPr>
        <w:t xml:space="preserve">Augustine of Hippo, </w:t>
      </w:r>
      <w:r w:rsidRPr="00A43548">
        <w:rPr>
          <w:rFonts w:ascii="Times New Roman" w:eastAsia="Times New Roman" w:hAnsi="Times New Roman" w:cs="Times New Roman"/>
          <w:i/>
          <w:iCs/>
          <w:kern w:val="0"/>
          <w:lang w:eastAsia="en-GB"/>
          <w14:ligatures w14:val="none"/>
        </w:rPr>
        <w:t>On the Trinity</w:t>
      </w:r>
      <w:r w:rsidRPr="00A43548">
        <w:rPr>
          <w:rFonts w:ascii="Times New Roman" w:eastAsia="Times New Roman" w:hAnsi="Times New Roman" w:cs="Times New Roman"/>
          <w:kern w:val="0"/>
          <w:lang w:eastAsia="en-GB"/>
          <w14:ligatures w14:val="none"/>
        </w:rPr>
        <w:t xml:space="preserve"> (Cambridge: Cambridge University Press, 2003).</w:t>
      </w:r>
    </w:p>
    <w:p w14:paraId="51C7DBDF" w14:textId="77777777" w:rsidR="00A43548" w:rsidRPr="00A43548" w:rsidRDefault="00A43548" w:rsidP="00A43548">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3548">
        <w:rPr>
          <w:rFonts w:ascii="Times New Roman" w:eastAsia="Times New Roman" w:hAnsi="Times New Roman" w:cs="Times New Roman"/>
          <w:kern w:val="0"/>
          <w:lang w:eastAsia="en-GB"/>
          <w14:ligatures w14:val="none"/>
        </w:rPr>
        <w:t xml:space="preserve">Jürgen </w:t>
      </w:r>
      <w:proofErr w:type="spellStart"/>
      <w:r w:rsidRPr="00A43548">
        <w:rPr>
          <w:rFonts w:ascii="Times New Roman" w:eastAsia="Times New Roman" w:hAnsi="Times New Roman" w:cs="Times New Roman"/>
          <w:kern w:val="0"/>
          <w:lang w:eastAsia="en-GB"/>
          <w14:ligatures w14:val="none"/>
        </w:rPr>
        <w:t>Moltmann</w:t>
      </w:r>
      <w:proofErr w:type="spellEnd"/>
      <w:r w:rsidRPr="00A43548">
        <w:rPr>
          <w:rFonts w:ascii="Times New Roman" w:eastAsia="Times New Roman" w:hAnsi="Times New Roman" w:cs="Times New Roman"/>
          <w:kern w:val="0"/>
          <w:lang w:eastAsia="en-GB"/>
          <w14:ligatures w14:val="none"/>
        </w:rPr>
        <w:t xml:space="preserve">, </w:t>
      </w:r>
      <w:r w:rsidRPr="00A43548">
        <w:rPr>
          <w:rFonts w:ascii="Times New Roman" w:eastAsia="Times New Roman" w:hAnsi="Times New Roman" w:cs="Times New Roman"/>
          <w:i/>
          <w:iCs/>
          <w:kern w:val="0"/>
          <w:lang w:eastAsia="en-GB"/>
          <w14:ligatures w14:val="none"/>
        </w:rPr>
        <w:t>The Trinity and the Kingdom: The Doctrine of God</w:t>
      </w:r>
      <w:r w:rsidRPr="00A43548">
        <w:rPr>
          <w:rFonts w:ascii="Times New Roman" w:eastAsia="Times New Roman" w:hAnsi="Times New Roman" w:cs="Times New Roman"/>
          <w:kern w:val="0"/>
          <w:lang w:eastAsia="en-GB"/>
          <w14:ligatures w14:val="none"/>
        </w:rPr>
        <w:t xml:space="preserve"> (Minneapolis: Fortress Press, 1993).</w:t>
      </w:r>
    </w:p>
    <w:p w14:paraId="7B4AE66E" w14:textId="77777777" w:rsidR="00A43548" w:rsidRPr="00A43548" w:rsidRDefault="00A43548" w:rsidP="00A43548">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3548">
        <w:rPr>
          <w:rFonts w:ascii="Times New Roman" w:eastAsia="Times New Roman" w:hAnsi="Times New Roman" w:cs="Times New Roman"/>
          <w:kern w:val="0"/>
          <w:lang w:eastAsia="en-GB"/>
          <w14:ligatures w14:val="none"/>
        </w:rPr>
        <w:t xml:space="preserve">John </w:t>
      </w:r>
      <w:proofErr w:type="spellStart"/>
      <w:r w:rsidRPr="00A43548">
        <w:rPr>
          <w:rFonts w:ascii="Times New Roman" w:eastAsia="Times New Roman" w:hAnsi="Times New Roman" w:cs="Times New Roman"/>
          <w:kern w:val="0"/>
          <w:lang w:eastAsia="en-GB"/>
          <w14:ligatures w14:val="none"/>
        </w:rPr>
        <w:t>Zizioulas</w:t>
      </w:r>
      <w:proofErr w:type="spellEnd"/>
      <w:r w:rsidRPr="00A43548">
        <w:rPr>
          <w:rFonts w:ascii="Times New Roman" w:eastAsia="Times New Roman" w:hAnsi="Times New Roman" w:cs="Times New Roman"/>
          <w:kern w:val="0"/>
          <w:lang w:eastAsia="en-GB"/>
          <w14:ligatures w14:val="none"/>
        </w:rPr>
        <w:t xml:space="preserve">, </w:t>
      </w:r>
      <w:r w:rsidRPr="00A43548">
        <w:rPr>
          <w:rFonts w:ascii="Times New Roman" w:eastAsia="Times New Roman" w:hAnsi="Times New Roman" w:cs="Times New Roman"/>
          <w:i/>
          <w:iCs/>
          <w:kern w:val="0"/>
          <w:lang w:eastAsia="en-GB"/>
          <w14:ligatures w14:val="none"/>
        </w:rPr>
        <w:t>Being as Communion: Studies in Personhood and the Church</w:t>
      </w:r>
      <w:r w:rsidRPr="00A43548">
        <w:rPr>
          <w:rFonts w:ascii="Times New Roman" w:eastAsia="Times New Roman" w:hAnsi="Times New Roman" w:cs="Times New Roman"/>
          <w:kern w:val="0"/>
          <w:lang w:eastAsia="en-GB"/>
          <w14:ligatures w14:val="none"/>
        </w:rPr>
        <w:t xml:space="preserve"> (Crestwood, NY: St. Vladimir’s Seminary Press, 1985).</w:t>
      </w:r>
    </w:p>
    <w:p w14:paraId="621FC56E" w14:textId="0531F517" w:rsidR="00A43548" w:rsidRDefault="00A43548" w:rsidP="00A43548">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43548">
        <w:rPr>
          <w:rFonts w:ascii="Times New Roman" w:eastAsia="Times New Roman" w:hAnsi="Times New Roman" w:cs="Times New Roman"/>
          <w:kern w:val="0"/>
          <w:lang w:eastAsia="en-GB"/>
          <w14:ligatures w14:val="none"/>
        </w:rPr>
        <w:t xml:space="preserve">Richard </w:t>
      </w:r>
      <w:proofErr w:type="spellStart"/>
      <w:r w:rsidRPr="00A43548">
        <w:rPr>
          <w:rFonts w:ascii="Times New Roman" w:eastAsia="Times New Roman" w:hAnsi="Times New Roman" w:cs="Times New Roman"/>
          <w:kern w:val="0"/>
          <w:lang w:eastAsia="en-GB"/>
          <w14:ligatures w14:val="none"/>
        </w:rPr>
        <w:t>Bauckham</w:t>
      </w:r>
      <w:proofErr w:type="spellEnd"/>
      <w:r w:rsidRPr="00A43548">
        <w:rPr>
          <w:rFonts w:ascii="Times New Roman" w:eastAsia="Times New Roman" w:hAnsi="Times New Roman" w:cs="Times New Roman"/>
          <w:kern w:val="0"/>
          <w:lang w:eastAsia="en-GB"/>
          <w14:ligatures w14:val="none"/>
        </w:rPr>
        <w:t xml:space="preserve">, </w:t>
      </w:r>
      <w:r w:rsidRPr="00A43548">
        <w:rPr>
          <w:rFonts w:ascii="Times New Roman" w:eastAsia="Times New Roman" w:hAnsi="Times New Roman" w:cs="Times New Roman"/>
          <w:i/>
          <w:iCs/>
          <w:kern w:val="0"/>
          <w:lang w:eastAsia="en-GB"/>
          <w14:ligatures w14:val="none"/>
        </w:rPr>
        <w:t>God Crucified: Monotheism and Christology in the New Testament</w:t>
      </w:r>
      <w:r w:rsidRPr="00A43548">
        <w:rPr>
          <w:rFonts w:ascii="Times New Roman" w:eastAsia="Times New Roman" w:hAnsi="Times New Roman" w:cs="Times New Roman"/>
          <w:kern w:val="0"/>
          <w:lang w:eastAsia="en-GB"/>
          <w14:ligatures w14:val="none"/>
        </w:rPr>
        <w:t xml:space="preserve"> (Grand Rapids: Eerdmans, 1998</w:t>
      </w:r>
    </w:p>
    <w:p w14:paraId="15BC9566" w14:textId="77777777" w:rsidR="00A43548" w:rsidRDefault="00A43548" w:rsidP="00A43548">
      <w:pPr>
        <w:spacing w:before="100" w:beforeAutospacing="1" w:after="100" w:afterAutospacing="1" w:line="240" w:lineRule="auto"/>
        <w:ind w:left="360"/>
        <w:rPr>
          <w:rFonts w:ascii="Times New Roman" w:eastAsia="Times New Roman" w:hAnsi="Times New Roman" w:cs="Times New Roman"/>
          <w:kern w:val="0"/>
          <w:lang w:eastAsia="en-GB"/>
          <w14:ligatures w14:val="none"/>
        </w:rPr>
      </w:pPr>
    </w:p>
    <w:p w14:paraId="151E558B" w14:textId="68B6FB2F" w:rsidR="00A43548" w:rsidRDefault="00A43548" w:rsidP="00A43548">
      <w:pPr>
        <w:spacing w:before="100" w:beforeAutospacing="1" w:after="100" w:afterAutospacing="1" w:line="240" w:lineRule="auto"/>
        <w:ind w:left="360"/>
        <w:rPr>
          <w:rFonts w:ascii="Times New Roman" w:eastAsia="Times New Roman" w:hAnsi="Times New Roman" w:cs="Times New Roman"/>
          <w:kern w:val="0"/>
          <w:lang w:eastAsia="en-GB"/>
          <w14:ligatures w14:val="none"/>
        </w:rPr>
      </w:pPr>
      <w:r>
        <w:t xml:space="preserve">1. Augustine of Hippo, </w:t>
      </w:r>
      <w:r>
        <w:rPr>
          <w:rStyle w:val="Emphasis"/>
        </w:rPr>
        <w:t>On the Trinity</w:t>
      </w:r>
    </w:p>
    <w:p w14:paraId="54D96BAE" w14:textId="77777777" w:rsidR="00A43548" w:rsidRDefault="00A43548" w:rsidP="00A43548">
      <w:pPr>
        <w:spacing w:before="100" w:beforeAutospacing="1" w:after="100" w:afterAutospacing="1" w:line="240" w:lineRule="auto"/>
        <w:ind w:left="360"/>
        <w:rPr>
          <w:rFonts w:ascii="Times New Roman" w:eastAsia="Times New Roman" w:hAnsi="Times New Roman" w:cs="Times New Roman"/>
          <w:kern w:val="0"/>
          <w:lang w:eastAsia="en-GB"/>
          <w14:ligatures w14:val="none"/>
        </w:rPr>
      </w:pPr>
    </w:p>
    <w:p w14:paraId="24811349" w14:textId="77777777" w:rsidR="00A43548" w:rsidRDefault="00A43548" w:rsidP="00A43548">
      <w:pPr>
        <w:pStyle w:val="NormalWeb"/>
      </w:pPr>
      <w:r>
        <w:t>This landmark piece of theology delves into the notion of the Trinity as a foundational Christian teaching and an expression of Divine Unity and Diversity. Fifth century Augustine built on scripture and church tradition and set out to prove the equal divinity and eternal nature of the Father, the Son, and the Holy Spirit. He blends a technique of philological precision with philosophical analysis, specifically through word pictures of human memory, intellect, and will, in developing the doctrine of the Trinity.</w:t>
      </w:r>
    </w:p>
    <w:p w14:paraId="06CD8F7F" w14:textId="77777777" w:rsidR="00A43548" w:rsidRDefault="00A43548" w:rsidP="00A43548">
      <w:pPr>
        <w:pStyle w:val="NormalWeb"/>
      </w:pPr>
      <w:r>
        <w:t xml:space="preserve">One is in the distinct Platonism of Augustine, obviously heavily </w:t>
      </w:r>
      <w:proofErr w:type="spellStart"/>
      <w:r>
        <w:t>colored</w:t>
      </w:r>
      <w:proofErr w:type="spellEnd"/>
      <w:r>
        <w:t xml:space="preserve"> by Neo-Platonism (the deliberate interplay with non-Christian ideas) yet always remaining </w:t>
      </w:r>
      <w:proofErr w:type="spellStart"/>
      <w:r>
        <w:t>orthodoxively</w:t>
      </w:r>
      <w:proofErr w:type="spellEnd"/>
      <w:r>
        <w:t xml:space="preserve"> Christian; Bearing this in mind of being firm on biblical texts, John 1:1-14; and Matthew 28:19, all interpreted against the background theologians were concerned with such as Arianism.</w:t>
      </w:r>
    </w:p>
    <w:p w14:paraId="1706A28D" w14:textId="77777777" w:rsidR="00A43548" w:rsidRDefault="00A43548" w:rsidP="00A43548">
      <w:pPr>
        <w:pStyle w:val="NormalWeb"/>
      </w:pPr>
      <w:r>
        <w:lastRenderedPageBreak/>
        <w:t>Some aspects of Augustine’s strong writing include his systematic writing and its lasting impact on Western theology and philosophy. However, his emphasis on divine character features over personal identity is cited by its critics, and this balance was taken up in theological developments by the Cappadocians. Intriguingly, the work continues to be central for comprehending Western theological traditions and has provoked a range of interpretations.</w:t>
      </w:r>
    </w:p>
    <w:p w14:paraId="7496C387" w14:textId="77777777" w:rsidR="00A43548" w:rsidRDefault="00A43548" w:rsidP="00A43548">
      <w:pPr>
        <w:pStyle w:val="NormalWeb"/>
      </w:pPr>
      <w:r>
        <w:t>The historical backdrop against which early Christian thought existed and the philosophical foundations over which those thoughts were formed means that any research on the Trinity will benefit from this text. It builds theological structures that complement later works.</w:t>
      </w:r>
    </w:p>
    <w:p w14:paraId="07F2C241" w14:textId="77777777" w:rsidR="004B3E9C" w:rsidRDefault="004B3E9C" w:rsidP="00A43548">
      <w:pPr>
        <w:pStyle w:val="NormalWeb"/>
      </w:pPr>
    </w:p>
    <w:p w14:paraId="0AFE688F" w14:textId="0362FF8F" w:rsidR="004B3E9C" w:rsidRDefault="00A43548" w:rsidP="00A43548">
      <w:pPr>
        <w:pStyle w:val="NormalWeb"/>
      </w:pPr>
      <w:r>
        <w:t xml:space="preserve">2. </w:t>
      </w:r>
      <w:r w:rsidR="004B3E9C">
        <w:t xml:space="preserve">Jürgen </w:t>
      </w:r>
      <w:proofErr w:type="spellStart"/>
      <w:r w:rsidR="004B3E9C">
        <w:t>Moltmann</w:t>
      </w:r>
      <w:proofErr w:type="spellEnd"/>
      <w:r w:rsidR="004B3E9C">
        <w:t xml:space="preserve">, </w:t>
      </w:r>
      <w:r w:rsidR="004B3E9C">
        <w:rPr>
          <w:rStyle w:val="Emphasis"/>
          <w:rFonts w:eastAsiaTheme="majorEastAsia"/>
        </w:rPr>
        <w:t>The Trinity and the Kingdom: The Doctrine of God</w:t>
      </w:r>
    </w:p>
    <w:p w14:paraId="04C4995F" w14:textId="2BC6F6FF" w:rsidR="00A43548" w:rsidRDefault="00A43548" w:rsidP="00A43548">
      <w:pPr>
        <w:pStyle w:val="NormalWeb"/>
      </w:pPr>
      <w:r>
        <w:t xml:space="preserve">Jürgen </w:t>
      </w:r>
      <w:proofErr w:type="spellStart"/>
      <w:r>
        <w:t>Moltmann</w:t>
      </w:r>
      <w:proofErr w:type="spellEnd"/>
      <w:r>
        <w:t>, The Trinity and the Kingdom: The Doctrine of God</w:t>
      </w:r>
    </w:p>
    <w:p w14:paraId="053C94CD" w14:textId="77777777" w:rsidR="00A43548" w:rsidRDefault="00A43548" w:rsidP="00A43548">
      <w:pPr>
        <w:pStyle w:val="NormalWeb"/>
      </w:pPr>
      <w:r>
        <w:t xml:space="preserve">The Trinity and the Kingdom by Jürgen </w:t>
      </w:r>
      <w:proofErr w:type="spellStart"/>
      <w:r>
        <w:t>Moltmann</w:t>
      </w:r>
      <w:proofErr w:type="spellEnd"/>
      <w:r>
        <w:t xml:space="preserve"> rethinks </w:t>
      </w:r>
      <w:proofErr w:type="spellStart"/>
      <w:r>
        <w:t>أصطلاح</w:t>
      </w:r>
      <w:proofErr w:type="spellEnd"/>
      <w:r>
        <w:t xml:space="preserve"> trinity from a relational, participatory perspective. </w:t>
      </w:r>
      <w:proofErr w:type="spellStart"/>
      <w:r>
        <w:t>Moltmann</w:t>
      </w:r>
      <w:proofErr w:type="spellEnd"/>
      <w:r>
        <w:t>, writing in the late 20th century, addressed the Western theological obsessions of God’s oneness and offered a social model of the Trinity that accentuates divine mutual interdependence as well as perichoresis. He states that Trinity is the dynamic movement of love between the Father, Son, and Spirit and has great implications for the human community and political theology.</w:t>
      </w:r>
    </w:p>
    <w:p w14:paraId="0025344C" w14:textId="77777777" w:rsidR="00A43548" w:rsidRDefault="00A43548" w:rsidP="00A43548">
      <w:pPr>
        <w:pStyle w:val="NormalWeb"/>
      </w:pPr>
      <w:proofErr w:type="spellStart"/>
      <w:r>
        <w:t>Moltmann</w:t>
      </w:r>
      <w:proofErr w:type="spellEnd"/>
      <w:r>
        <w:t xml:space="preserve"> draws from a wealth of sources, such as Scripture and patristic writings, while also paying attention to modern philosophy and the broad scope of post-Holocaust theology or liberation theology. Among them are his meditations on suffering and how God stands with humanity, especially where he locates the Trinitarian revelation on the cross.</w:t>
      </w:r>
    </w:p>
    <w:p w14:paraId="2E540773" w14:textId="77777777" w:rsidR="00A43548" w:rsidRDefault="00A43548" w:rsidP="00A43548">
      <w:pPr>
        <w:pStyle w:val="NormalWeb"/>
      </w:pPr>
      <w:r>
        <w:t xml:space="preserve">The strength of the book is its fresh idea of how the Trinity gives an example of equality and community, overturning hierarchical notions both among the Godhead and in society. However, other critics argue that </w:t>
      </w:r>
      <w:proofErr w:type="spellStart"/>
      <w:r>
        <w:t>Moltmann’s</w:t>
      </w:r>
      <w:proofErr w:type="spellEnd"/>
      <w:r>
        <w:t xml:space="preserve"> approach threatens the traditional understanding of transcendence. In addition, his speculative style can be considered a less action-oriented exegetical approach.</w:t>
      </w:r>
    </w:p>
    <w:p w14:paraId="68AE9753" w14:textId="77777777" w:rsidR="00A43548" w:rsidRDefault="00A43548" w:rsidP="00A43548">
      <w:pPr>
        <w:pStyle w:val="NormalWeb"/>
      </w:pPr>
      <w:r>
        <w:t>These notions of relationality, as the authors alphabetically present Augustinian theology and rely on sociologists, enable an earlier integration of difficult theological themes by moving beyond metaphysical unity to yoke together divisions in theological and social discourse. This approach can be especially helpful at intersections of theology, ethics, and community life.</w:t>
      </w:r>
    </w:p>
    <w:p w14:paraId="3E09E057" w14:textId="77777777" w:rsidR="00A43548" w:rsidRDefault="00A43548" w:rsidP="00A43548">
      <w:pPr>
        <w:pStyle w:val="NormalWeb"/>
      </w:pPr>
    </w:p>
    <w:p w14:paraId="7ECE40A0" w14:textId="3CF239C6" w:rsidR="004B3E9C" w:rsidRDefault="00A43548" w:rsidP="00A43548">
      <w:pPr>
        <w:pStyle w:val="NormalWeb"/>
      </w:pPr>
      <w:r>
        <w:t>3.</w:t>
      </w:r>
      <w:r w:rsidR="004B3E9C" w:rsidRPr="004B3E9C">
        <w:t xml:space="preserve"> </w:t>
      </w:r>
      <w:r w:rsidR="004B3E9C">
        <w:t xml:space="preserve">John </w:t>
      </w:r>
      <w:proofErr w:type="spellStart"/>
      <w:r w:rsidR="004B3E9C">
        <w:t>Zizioulas</w:t>
      </w:r>
      <w:proofErr w:type="spellEnd"/>
      <w:r w:rsidR="004B3E9C">
        <w:t xml:space="preserve">, </w:t>
      </w:r>
      <w:r w:rsidR="004B3E9C">
        <w:rPr>
          <w:rStyle w:val="Emphasis"/>
          <w:rFonts w:eastAsiaTheme="majorEastAsia"/>
        </w:rPr>
        <w:t>Being as Communion: Studies in Personhood and the Church</w:t>
      </w:r>
    </w:p>
    <w:p w14:paraId="0CF03D7F" w14:textId="0712FF06" w:rsidR="00A43548" w:rsidRDefault="00A43548" w:rsidP="00A43548">
      <w:pPr>
        <w:pStyle w:val="NormalWeb"/>
      </w:pPr>
      <w:r>
        <w:t xml:space="preserve">John </w:t>
      </w:r>
      <w:proofErr w:type="spellStart"/>
      <w:r>
        <w:t>Zizioulas</w:t>
      </w:r>
      <w:proofErr w:type="spellEnd"/>
      <w:r>
        <w:t>, ‘Being as Communion: Studies in Personhood and the Church’</w:t>
      </w:r>
    </w:p>
    <w:p w14:paraId="7773EBA7" w14:textId="77777777" w:rsidR="00A43548" w:rsidRDefault="00A43548" w:rsidP="00A43548">
      <w:pPr>
        <w:pStyle w:val="NormalWeb"/>
      </w:pPr>
      <w:r>
        <w:t xml:space="preserve">In essence, John </w:t>
      </w:r>
      <w:proofErr w:type="spellStart"/>
      <w:r>
        <w:t>Zizioulas’s</w:t>
      </w:r>
      <w:proofErr w:type="spellEnd"/>
      <w:r>
        <w:t xml:space="preserve"> Being as Communion shows us the Trinity as the existential basis of both being and community. </w:t>
      </w:r>
      <w:proofErr w:type="spellStart"/>
      <w:r>
        <w:t>Zizioulas</w:t>
      </w:r>
      <w:proofErr w:type="spellEnd"/>
      <w:r>
        <w:t xml:space="preserve"> synthesized modern existential and philosophical thought with Eastern Orthodox theology to argue, writing in the mid-1980s, that relationality is an essential element of personhood. This is a response to the modern strife of existential crises and theological individualism—communion as the heart of both divine and human life.</w:t>
      </w:r>
    </w:p>
    <w:p w14:paraId="3524608D" w14:textId="77777777" w:rsidR="00A43548" w:rsidRDefault="00A43548" w:rsidP="00A43548">
      <w:pPr>
        <w:pStyle w:val="NormalWeb"/>
      </w:pPr>
      <w:r>
        <w:t xml:space="preserve">Robert C. Fuller: </w:t>
      </w:r>
      <w:proofErr w:type="spellStart"/>
      <w:r>
        <w:t>Zizioulas</w:t>
      </w:r>
      <w:proofErr w:type="spellEnd"/>
      <w:r>
        <w:t xml:space="preserve"> goes beyond patristic theology, particularly in its relationship with philosophers such as Heidegger and Levinas regarding being and existence, which </w:t>
      </w:r>
      <w:proofErr w:type="spellStart"/>
      <w:r>
        <w:t>deiXes</w:t>
      </w:r>
      <w:proofErr w:type="spellEnd"/>
      <w:r>
        <w:t xml:space="preserve"> dramatic changes made to historical views on the essence of God and how it informs salvation history. Most of his arguments come from the Trinity and his use of this doctrine to overturn Western substance ontology with a proper view of relationality.</w:t>
      </w:r>
    </w:p>
    <w:p w14:paraId="4F98D6DD" w14:textId="77777777" w:rsidR="00A43548" w:rsidRDefault="00A43548" w:rsidP="00A43548">
      <w:pPr>
        <w:pStyle w:val="NormalWeb"/>
      </w:pPr>
      <w:r>
        <w:t xml:space="preserve">One of the main strengths of </w:t>
      </w:r>
      <w:proofErr w:type="spellStart"/>
      <w:r>
        <w:t>Zizioulas’s</w:t>
      </w:r>
      <w:proofErr w:type="spellEnd"/>
      <w:r>
        <w:t xml:space="preserve"> work is its depth in crossing boundaries between theology and philosophy to provide a rich relational account of ecclesiology. However, critics have suggested there is vagueness in his distinction between personhood and essence, with others arguing that he tends to overstate the relational at the expense of the individual.</w:t>
      </w:r>
    </w:p>
    <w:p w14:paraId="3577CDBA" w14:textId="77777777" w:rsidR="00A43548" w:rsidRDefault="00A43548" w:rsidP="00A43548">
      <w:pPr>
        <w:pStyle w:val="NormalWeb"/>
      </w:pPr>
      <w:r>
        <w:t>This book balances Western theological traditions and contributes to a richer understanding of the Trinity through an Eastern lens. It is also useful for research on ecclesial studies and the effects of trinitarian theology on the human community.</w:t>
      </w:r>
    </w:p>
    <w:p w14:paraId="045C14CE" w14:textId="1C48FBD1" w:rsidR="004B3E9C" w:rsidRDefault="004B3E9C" w:rsidP="00A43548">
      <w:pPr>
        <w:pStyle w:val="NormalWeb"/>
      </w:pPr>
      <w:r>
        <w:t>4.</w:t>
      </w:r>
      <w:r w:rsidRPr="004B3E9C">
        <w:t xml:space="preserve"> </w:t>
      </w:r>
      <w:r>
        <w:t xml:space="preserve">Richard </w:t>
      </w:r>
      <w:proofErr w:type="spellStart"/>
      <w:r>
        <w:t>Bauckham</w:t>
      </w:r>
      <w:proofErr w:type="spellEnd"/>
      <w:r>
        <w:t xml:space="preserve">, </w:t>
      </w:r>
      <w:r>
        <w:rPr>
          <w:rStyle w:val="Emphasis"/>
          <w:rFonts w:eastAsiaTheme="majorEastAsia"/>
        </w:rPr>
        <w:t>God Crucified: Monotheism and Christology in the New Testament</w:t>
      </w:r>
    </w:p>
    <w:p w14:paraId="501C328F" w14:textId="321FADD2" w:rsidR="00A43548" w:rsidRDefault="00A43548" w:rsidP="00A43548">
      <w:pPr>
        <w:pStyle w:val="NormalWeb"/>
      </w:pPr>
      <w:r>
        <w:t xml:space="preserve">Monotheism and Christology in the New Testament, God Crucified (Richard </w:t>
      </w:r>
      <w:proofErr w:type="spellStart"/>
      <w:r>
        <w:t>Bauckham</w:t>
      </w:r>
      <w:proofErr w:type="spellEnd"/>
      <w:r>
        <w:t>)</w:t>
      </w:r>
    </w:p>
    <w:p w14:paraId="64CC778E" w14:textId="77777777" w:rsidR="00A43548" w:rsidRDefault="00A43548" w:rsidP="00A43548">
      <w:pPr>
        <w:pStyle w:val="NormalWeb"/>
      </w:pPr>
      <w:r>
        <w:t xml:space="preserve">In God Crucified, </w:t>
      </w:r>
      <w:proofErr w:type="spellStart"/>
      <w:r>
        <w:t>Bauckham</w:t>
      </w:r>
      <w:proofErr w:type="spellEnd"/>
      <w:r>
        <w:t xml:space="preserve"> examines New Testament Christianity in the context of Jewish monotheism. </w:t>
      </w:r>
      <w:proofErr w:type="spellStart"/>
      <w:r>
        <w:t>Bauckham</w:t>
      </w:r>
      <w:proofErr w:type="spellEnd"/>
      <w:r>
        <w:t xml:space="preserve"> first disputed this claim in the late 20th century. He claims that the identity of Jesus is, in some sense, included into the distinct one divine identity of God, and specifically into the very character of God and his personality as a crucified and exalted Christ.</w:t>
      </w:r>
    </w:p>
    <w:p w14:paraId="13137A1A" w14:textId="77777777" w:rsidR="00A43548" w:rsidRDefault="00A43548" w:rsidP="00A43548">
      <w:pPr>
        <w:pStyle w:val="NormalWeb"/>
      </w:pPr>
      <w:r>
        <w:t xml:space="preserve">The corpus is grounded in a deep biblical hyperspace, largely the Pauline epistles and Johannine gospel, along with the Second Temple Jewish milieu. Using historical, critical, and exegetical methods, </w:t>
      </w:r>
      <w:proofErr w:type="spellStart"/>
      <w:r>
        <w:t>Bauckham</w:t>
      </w:r>
      <w:proofErr w:type="spellEnd"/>
      <w:r>
        <w:t xml:space="preserve"> interacts with ancient Jewish sources and ancient and modern biblical scholarship.</w:t>
      </w:r>
    </w:p>
    <w:p w14:paraId="6D3FE00E" w14:textId="77777777" w:rsidR="00A43548" w:rsidRDefault="00A43548" w:rsidP="00A43548">
      <w:pPr>
        <w:pStyle w:val="NormalWeb"/>
      </w:pPr>
      <w:r>
        <w:t xml:space="preserve">Among the strengths of </w:t>
      </w:r>
      <w:proofErr w:type="spellStart"/>
      <w:r>
        <w:t>Bauckham’s</w:t>
      </w:r>
      <w:proofErr w:type="spellEnd"/>
      <w:r>
        <w:t xml:space="preserve"> work are its careful treatment of both historical and theological matters with respect to the New Testament, as well as its refreshing contextualization of Christology in terms of Jewish monotheism. However, other scholars question his achingly selective use of sources to arrive at conclusions that may overlook the diversity among early Christians.</w:t>
      </w:r>
    </w:p>
    <w:p w14:paraId="46836429" w14:textId="77777777" w:rsidR="00A43548" w:rsidRDefault="00A43548" w:rsidP="00A43548">
      <w:pPr>
        <w:pStyle w:val="NormalWeb"/>
      </w:pPr>
      <w:r>
        <w:t xml:space="preserve">It is important to appreciate the impact of this as it defines a line of distinction between the doctrine of Trinity and biblical Christology. The biblical text first, in a way </w:t>
      </w:r>
      <w:proofErr w:type="gramStart"/>
      <w:r>
        <w:t>similar to</w:t>
      </w:r>
      <w:proofErr w:type="gramEnd"/>
      <w:r>
        <w:t xml:space="preserve"> Augustine, traces Trinitarian theology through Scripture while also engaging contemporary conversations about monotheism and Christ’s deity.</w:t>
      </w:r>
    </w:p>
    <w:p w14:paraId="24455767" w14:textId="77777777" w:rsidR="00A43548" w:rsidRDefault="00A43548" w:rsidP="00A43548">
      <w:pPr>
        <w:pStyle w:val="NormalWeb"/>
      </w:pPr>
    </w:p>
    <w:p w14:paraId="38AD0E08" w14:textId="77777777" w:rsidR="00A43548" w:rsidRPr="00A43548" w:rsidRDefault="00A43548" w:rsidP="00A43548">
      <w:pPr>
        <w:spacing w:before="100" w:beforeAutospacing="1" w:after="100" w:afterAutospacing="1" w:line="240" w:lineRule="auto"/>
        <w:ind w:left="360"/>
        <w:rPr>
          <w:rFonts w:ascii="Times New Roman" w:eastAsia="Times New Roman" w:hAnsi="Times New Roman" w:cs="Times New Roman"/>
          <w:kern w:val="0"/>
          <w:lang w:eastAsia="en-GB"/>
          <w14:ligatures w14:val="none"/>
        </w:rPr>
      </w:pPr>
    </w:p>
    <w:p w14:paraId="448FDCF7" w14:textId="77777777" w:rsidR="0082410E" w:rsidRDefault="0082410E"/>
    <w:sectPr w:rsidR="0082410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22F375" w14:textId="77777777" w:rsidR="00DE078D" w:rsidRDefault="00DE078D" w:rsidP="00DE078D">
      <w:pPr>
        <w:spacing w:after="0" w:line="240" w:lineRule="auto"/>
      </w:pPr>
      <w:r>
        <w:separator/>
      </w:r>
    </w:p>
  </w:endnote>
  <w:endnote w:type="continuationSeparator" w:id="0">
    <w:p w14:paraId="707D4F25" w14:textId="77777777" w:rsidR="00DE078D" w:rsidRDefault="00DE078D" w:rsidP="00DE07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0A786E" w14:textId="77777777" w:rsidR="00DE078D" w:rsidRDefault="00DE078D" w:rsidP="00DE078D">
      <w:pPr>
        <w:spacing w:after="0" w:line="240" w:lineRule="auto"/>
      </w:pPr>
      <w:r>
        <w:separator/>
      </w:r>
    </w:p>
  </w:footnote>
  <w:footnote w:type="continuationSeparator" w:id="0">
    <w:p w14:paraId="3B8EBFB8" w14:textId="77777777" w:rsidR="00DE078D" w:rsidRDefault="00DE078D" w:rsidP="00DE07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8D7BDE"/>
    <w:multiLevelType w:val="multilevel"/>
    <w:tmpl w:val="C668F83E"/>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i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90053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548"/>
    <w:rsid w:val="00075565"/>
    <w:rsid w:val="004B3E9C"/>
    <w:rsid w:val="0082410E"/>
    <w:rsid w:val="00A43548"/>
    <w:rsid w:val="00DE07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B9570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35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35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35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35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35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35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35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35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35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35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35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35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35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35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35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35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35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3548"/>
    <w:rPr>
      <w:rFonts w:eastAsiaTheme="majorEastAsia" w:cstheme="majorBidi"/>
      <w:color w:val="272727" w:themeColor="text1" w:themeTint="D8"/>
    </w:rPr>
  </w:style>
  <w:style w:type="paragraph" w:styleId="Title">
    <w:name w:val="Title"/>
    <w:basedOn w:val="Normal"/>
    <w:next w:val="Normal"/>
    <w:link w:val="TitleChar"/>
    <w:uiPriority w:val="10"/>
    <w:qFormat/>
    <w:rsid w:val="00A435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35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35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35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3548"/>
    <w:pPr>
      <w:spacing w:before="160"/>
      <w:jc w:val="center"/>
    </w:pPr>
    <w:rPr>
      <w:i/>
      <w:iCs/>
      <w:color w:val="404040" w:themeColor="text1" w:themeTint="BF"/>
    </w:rPr>
  </w:style>
  <w:style w:type="character" w:customStyle="1" w:styleId="QuoteChar">
    <w:name w:val="Quote Char"/>
    <w:basedOn w:val="DefaultParagraphFont"/>
    <w:link w:val="Quote"/>
    <w:uiPriority w:val="29"/>
    <w:rsid w:val="00A43548"/>
    <w:rPr>
      <w:i/>
      <w:iCs/>
      <w:color w:val="404040" w:themeColor="text1" w:themeTint="BF"/>
    </w:rPr>
  </w:style>
  <w:style w:type="paragraph" w:styleId="ListParagraph">
    <w:name w:val="List Paragraph"/>
    <w:basedOn w:val="Normal"/>
    <w:uiPriority w:val="34"/>
    <w:qFormat/>
    <w:rsid w:val="00A43548"/>
    <w:pPr>
      <w:ind w:left="720"/>
      <w:contextualSpacing/>
    </w:pPr>
  </w:style>
  <w:style w:type="character" w:styleId="IntenseEmphasis">
    <w:name w:val="Intense Emphasis"/>
    <w:basedOn w:val="DefaultParagraphFont"/>
    <w:uiPriority w:val="21"/>
    <w:qFormat/>
    <w:rsid w:val="00A43548"/>
    <w:rPr>
      <w:i/>
      <w:iCs/>
      <w:color w:val="0F4761" w:themeColor="accent1" w:themeShade="BF"/>
    </w:rPr>
  </w:style>
  <w:style w:type="paragraph" w:styleId="IntenseQuote">
    <w:name w:val="Intense Quote"/>
    <w:basedOn w:val="Normal"/>
    <w:next w:val="Normal"/>
    <w:link w:val="IntenseQuoteChar"/>
    <w:uiPriority w:val="30"/>
    <w:qFormat/>
    <w:rsid w:val="00A435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3548"/>
    <w:rPr>
      <w:i/>
      <w:iCs/>
      <w:color w:val="0F4761" w:themeColor="accent1" w:themeShade="BF"/>
    </w:rPr>
  </w:style>
  <w:style w:type="character" w:styleId="IntenseReference">
    <w:name w:val="Intense Reference"/>
    <w:basedOn w:val="DefaultParagraphFont"/>
    <w:uiPriority w:val="32"/>
    <w:qFormat/>
    <w:rsid w:val="00A43548"/>
    <w:rPr>
      <w:b/>
      <w:bCs/>
      <w:smallCaps/>
      <w:color w:val="0F4761" w:themeColor="accent1" w:themeShade="BF"/>
      <w:spacing w:val="5"/>
    </w:rPr>
  </w:style>
  <w:style w:type="character" w:styleId="Emphasis">
    <w:name w:val="Emphasis"/>
    <w:basedOn w:val="DefaultParagraphFont"/>
    <w:uiPriority w:val="20"/>
    <w:qFormat/>
    <w:rsid w:val="00A43548"/>
    <w:rPr>
      <w:i/>
      <w:iCs/>
    </w:rPr>
  </w:style>
  <w:style w:type="paragraph" w:styleId="NormalWeb">
    <w:name w:val="Normal (Web)"/>
    <w:basedOn w:val="Normal"/>
    <w:uiPriority w:val="99"/>
    <w:semiHidden/>
    <w:unhideWhenUsed/>
    <w:rsid w:val="00A4354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DE07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078D"/>
  </w:style>
  <w:style w:type="paragraph" w:styleId="Footer">
    <w:name w:val="footer"/>
    <w:basedOn w:val="Normal"/>
    <w:link w:val="FooterChar"/>
    <w:uiPriority w:val="99"/>
    <w:unhideWhenUsed/>
    <w:rsid w:val="00DE07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07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9730159">
      <w:bodyDiv w:val="1"/>
      <w:marLeft w:val="0"/>
      <w:marRight w:val="0"/>
      <w:marTop w:val="0"/>
      <w:marBottom w:val="0"/>
      <w:divBdr>
        <w:top w:val="none" w:sz="0" w:space="0" w:color="auto"/>
        <w:left w:val="none" w:sz="0" w:space="0" w:color="auto"/>
        <w:bottom w:val="none" w:sz="0" w:space="0" w:color="auto"/>
        <w:right w:val="none" w:sz="0" w:space="0" w:color="auto"/>
      </w:divBdr>
    </w:div>
    <w:div w:id="1689678984">
      <w:bodyDiv w:val="1"/>
      <w:marLeft w:val="0"/>
      <w:marRight w:val="0"/>
      <w:marTop w:val="0"/>
      <w:marBottom w:val="0"/>
      <w:divBdr>
        <w:top w:val="none" w:sz="0" w:space="0" w:color="auto"/>
        <w:left w:val="none" w:sz="0" w:space="0" w:color="auto"/>
        <w:bottom w:val="none" w:sz="0" w:space="0" w:color="auto"/>
        <w:right w:val="none" w:sz="0" w:space="0" w:color="auto"/>
      </w:divBdr>
    </w:div>
    <w:div w:id="1940795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1087</Words>
  <Characters>6202</Characters>
  <Application>Microsoft Office Word</Application>
  <DocSecurity>0</DocSecurity>
  <Lines>51</Lines>
  <Paragraphs>14</Paragraphs>
  <ScaleCrop>false</ScaleCrop>
  <Company/>
  <LinksUpToDate>false</LinksUpToDate>
  <CharactersWithSpaces>7275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2024-11-20T19:41:00Z</dcterms:created>
  <dcterms:modified xsi:type="dcterms:W3CDTF">2024-11-20T19:41:00Z</dcterms:modified>
</cp:coreProperties>
</file>