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D2FA9" w14:textId="77777777" w:rsidR="003B0561" w:rsidRDefault="003B0561">
      <w:pPr>
        <w:spacing w:after="200" w:line="360" w:lineRule="auto"/>
        <w:jc w:val="both"/>
        <w:rPr>
          <w:b/>
          <w:sz w:val="24"/>
          <w:szCs w:val="24"/>
        </w:rPr>
      </w:pPr>
    </w:p>
    <w:p w14:paraId="255A4FF8" w14:textId="77777777" w:rsidR="003B0561" w:rsidRDefault="003B0561">
      <w:pPr>
        <w:spacing w:after="200" w:line="360" w:lineRule="auto"/>
        <w:jc w:val="both"/>
        <w:rPr>
          <w:b/>
          <w:sz w:val="24"/>
          <w:szCs w:val="24"/>
        </w:rPr>
      </w:pPr>
    </w:p>
    <w:p w14:paraId="14BAB463" w14:textId="77777777" w:rsidR="003B0561" w:rsidRDefault="00AB1B62">
      <w:pPr>
        <w:spacing w:after="200"/>
        <w:jc w:val="center"/>
        <w:rPr>
          <w:b/>
          <w:sz w:val="24"/>
          <w:szCs w:val="24"/>
        </w:rPr>
      </w:pPr>
      <w:r>
        <w:rPr>
          <w:b/>
          <w:sz w:val="24"/>
          <w:szCs w:val="24"/>
        </w:rPr>
        <w:t>Assessment component 1: Marketing Environment Analysis</w:t>
      </w:r>
    </w:p>
    <w:p w14:paraId="59A704E4" w14:textId="77777777" w:rsidR="003B0561" w:rsidRDefault="003B0561">
      <w:pPr>
        <w:spacing w:after="200"/>
        <w:jc w:val="center"/>
        <w:rPr>
          <w:sz w:val="24"/>
          <w:szCs w:val="24"/>
        </w:rPr>
      </w:pPr>
    </w:p>
    <w:p w14:paraId="7773913E" w14:textId="00AD9204" w:rsidR="003B0561" w:rsidRDefault="00AB1B62">
      <w:pPr>
        <w:spacing w:after="200"/>
        <w:jc w:val="center"/>
        <w:rPr>
          <w:b/>
          <w:sz w:val="24"/>
          <w:szCs w:val="24"/>
        </w:rPr>
      </w:pPr>
      <w:r>
        <w:rPr>
          <w:b/>
          <w:sz w:val="24"/>
          <w:szCs w:val="24"/>
        </w:rPr>
        <w:t xml:space="preserve">Student </w:t>
      </w:r>
      <w:proofErr w:type="gramStart"/>
      <w:r>
        <w:rPr>
          <w:b/>
          <w:sz w:val="24"/>
          <w:szCs w:val="24"/>
        </w:rPr>
        <w:t>Name :</w:t>
      </w:r>
      <w:proofErr w:type="gramEnd"/>
      <w:r>
        <w:rPr>
          <w:b/>
          <w:sz w:val="24"/>
          <w:szCs w:val="24"/>
        </w:rPr>
        <w:t xml:space="preserve"> </w:t>
      </w:r>
      <w:r>
        <w:rPr>
          <w:sz w:val="24"/>
          <w:szCs w:val="24"/>
        </w:rPr>
        <w:t xml:space="preserve">Dipak </w:t>
      </w:r>
      <w:r w:rsidR="00B454DA">
        <w:rPr>
          <w:sz w:val="24"/>
          <w:szCs w:val="24"/>
        </w:rPr>
        <w:t>Modhavadiya</w:t>
      </w:r>
    </w:p>
    <w:p w14:paraId="056CC279" w14:textId="77777777" w:rsidR="00B454DA" w:rsidRDefault="00AB1B62">
      <w:pPr>
        <w:spacing w:after="200"/>
        <w:jc w:val="center"/>
        <w:rPr>
          <w:sz w:val="24"/>
          <w:szCs w:val="24"/>
        </w:rPr>
      </w:pPr>
      <w:r>
        <w:rPr>
          <w:b/>
          <w:sz w:val="24"/>
          <w:szCs w:val="24"/>
        </w:rPr>
        <w:t xml:space="preserve">Student </w:t>
      </w:r>
      <w:proofErr w:type="gramStart"/>
      <w:r>
        <w:rPr>
          <w:b/>
          <w:sz w:val="24"/>
          <w:szCs w:val="24"/>
        </w:rPr>
        <w:t>ID :</w:t>
      </w:r>
      <w:proofErr w:type="gramEnd"/>
      <w:r>
        <w:rPr>
          <w:b/>
          <w:sz w:val="24"/>
          <w:szCs w:val="24"/>
        </w:rPr>
        <w:t xml:space="preserve"> </w:t>
      </w:r>
      <w:r>
        <w:rPr>
          <w:sz w:val="24"/>
          <w:szCs w:val="24"/>
        </w:rPr>
        <w:t>2506701</w:t>
      </w:r>
    </w:p>
    <w:p w14:paraId="2797DF60" w14:textId="386D413C" w:rsidR="003B0561" w:rsidRDefault="00AB1B62">
      <w:pPr>
        <w:spacing w:after="200"/>
        <w:jc w:val="center"/>
        <w:rPr>
          <w:b/>
          <w:sz w:val="24"/>
          <w:szCs w:val="24"/>
        </w:rPr>
      </w:pPr>
      <w:r>
        <w:rPr>
          <w:b/>
          <w:sz w:val="24"/>
          <w:szCs w:val="24"/>
        </w:rPr>
        <w:t>Module Name:</w:t>
      </w:r>
      <w:r>
        <w:rPr>
          <w:sz w:val="24"/>
          <w:szCs w:val="24"/>
        </w:rPr>
        <w:t xml:space="preserve"> Marketing Management</w:t>
      </w:r>
    </w:p>
    <w:p w14:paraId="0861366D" w14:textId="77777777" w:rsidR="003B0561" w:rsidRDefault="00AB1B62">
      <w:pPr>
        <w:spacing w:after="200"/>
        <w:jc w:val="center"/>
        <w:rPr>
          <w:b/>
          <w:sz w:val="24"/>
          <w:szCs w:val="24"/>
        </w:rPr>
      </w:pPr>
      <w:r>
        <w:rPr>
          <w:b/>
          <w:sz w:val="24"/>
          <w:szCs w:val="24"/>
        </w:rPr>
        <w:t xml:space="preserve">Module Code: </w:t>
      </w:r>
      <w:r>
        <w:rPr>
          <w:sz w:val="24"/>
          <w:szCs w:val="24"/>
        </w:rPr>
        <w:t>LCMB7024</w:t>
      </w:r>
    </w:p>
    <w:p w14:paraId="1471B131" w14:textId="5517ECFF" w:rsidR="003B0561" w:rsidRDefault="00AB1B62">
      <w:pPr>
        <w:spacing w:after="200"/>
        <w:jc w:val="center"/>
      </w:pPr>
      <w:proofErr w:type="spellStart"/>
      <w:r>
        <w:rPr>
          <w:b/>
          <w:sz w:val="24"/>
          <w:szCs w:val="24"/>
        </w:rPr>
        <w:t>Lecturere’s</w:t>
      </w:r>
      <w:proofErr w:type="spellEnd"/>
      <w:r>
        <w:rPr>
          <w:b/>
          <w:sz w:val="24"/>
          <w:szCs w:val="24"/>
        </w:rPr>
        <w:t xml:space="preserve"> Name:</w:t>
      </w:r>
      <w:r>
        <w:t xml:space="preserve"> </w:t>
      </w:r>
      <w:r w:rsidR="00402A7A">
        <w:t xml:space="preserve">Jayalakshmi </w:t>
      </w:r>
      <w:r w:rsidR="003D0030">
        <w:t>Gopalkrishnan</w:t>
      </w:r>
    </w:p>
    <w:p w14:paraId="68A7641D" w14:textId="77777777" w:rsidR="003B0561" w:rsidRDefault="00AB1B62">
      <w:pPr>
        <w:spacing w:after="200"/>
        <w:jc w:val="center"/>
      </w:pPr>
      <w:r>
        <w:rPr>
          <w:b/>
          <w:sz w:val="24"/>
          <w:szCs w:val="24"/>
        </w:rPr>
        <w:t xml:space="preserve">Word </w:t>
      </w:r>
      <w:proofErr w:type="gramStart"/>
      <w:r>
        <w:rPr>
          <w:b/>
          <w:sz w:val="24"/>
          <w:szCs w:val="24"/>
        </w:rPr>
        <w:t>Count :</w:t>
      </w:r>
      <w:proofErr w:type="gramEnd"/>
      <w:r>
        <w:rPr>
          <w:b/>
          <w:sz w:val="24"/>
          <w:szCs w:val="24"/>
        </w:rPr>
        <w:t xml:space="preserve"> </w:t>
      </w:r>
      <w:r>
        <w:t xml:space="preserve">2,500 words (± 10%) </w:t>
      </w:r>
    </w:p>
    <w:p w14:paraId="78B89907" w14:textId="77777777" w:rsidR="003B0561" w:rsidRDefault="00AB1B62">
      <w:pPr>
        <w:spacing w:after="200"/>
        <w:jc w:val="center"/>
        <w:rPr>
          <w:sz w:val="24"/>
          <w:szCs w:val="24"/>
        </w:rPr>
      </w:pPr>
      <w:r>
        <w:rPr>
          <w:sz w:val="24"/>
          <w:szCs w:val="24"/>
        </w:rPr>
        <w:t>Term 1</w:t>
      </w:r>
    </w:p>
    <w:p w14:paraId="5CD3A258" w14:textId="77777777" w:rsidR="003B0561" w:rsidRDefault="003B0561">
      <w:pPr>
        <w:spacing w:after="200" w:line="360" w:lineRule="auto"/>
        <w:jc w:val="both"/>
        <w:rPr>
          <w:b/>
          <w:sz w:val="24"/>
          <w:szCs w:val="24"/>
        </w:rPr>
      </w:pPr>
    </w:p>
    <w:p w14:paraId="3E07ED19" w14:textId="77777777" w:rsidR="003B0561" w:rsidRDefault="00AB1B62">
      <w:pPr>
        <w:spacing w:after="200" w:line="360" w:lineRule="auto"/>
        <w:jc w:val="both"/>
        <w:rPr>
          <w:b/>
          <w:sz w:val="24"/>
          <w:szCs w:val="24"/>
        </w:rPr>
      </w:pPr>
      <w:r>
        <w:br w:type="page"/>
      </w:r>
    </w:p>
    <w:p w14:paraId="511FBDD5" w14:textId="77777777" w:rsidR="003B0561" w:rsidRDefault="00AB1B62">
      <w:pPr>
        <w:spacing w:after="200" w:line="360" w:lineRule="auto"/>
        <w:jc w:val="center"/>
      </w:pPr>
      <w:r>
        <w:rPr>
          <w:b/>
          <w:sz w:val="24"/>
          <w:szCs w:val="24"/>
        </w:rPr>
        <w:lastRenderedPageBreak/>
        <w:t>Table of contents</w:t>
      </w:r>
    </w:p>
    <w:sdt>
      <w:sdtPr>
        <w:id w:val="50587795"/>
        <w:docPartObj>
          <w:docPartGallery w:val="Table of Contents"/>
          <w:docPartUnique/>
        </w:docPartObj>
      </w:sdtPr>
      <w:sdtEndPr/>
      <w:sdtContent>
        <w:p w14:paraId="46E23FC9" w14:textId="5FA5EEA3" w:rsidR="003B0561" w:rsidRPr="003E3788" w:rsidRDefault="00AB1B62">
          <w:pPr>
            <w:widowControl w:val="0"/>
            <w:tabs>
              <w:tab w:val="right" w:pos="12000"/>
            </w:tabs>
            <w:spacing w:before="60" w:line="240" w:lineRule="auto"/>
          </w:pPr>
          <w:r>
            <w:fldChar w:fldCharType="begin"/>
          </w:r>
          <w:r>
            <w:instrText xml:space="preserve"> TOC \h \u \z \t "Heading 1,1,Heading 2,2,Heading 3,3,Heading 4,4,Heading 5,5,Heading 6,6,"</w:instrText>
          </w:r>
          <w:r>
            <w:fldChar w:fldCharType="separate"/>
          </w:r>
          <w:hyperlink w:anchor="_d5m4rg9g3ch1">
            <w:r>
              <w:rPr>
                <w:color w:val="000000"/>
                <w:sz w:val="24"/>
                <w:szCs w:val="24"/>
              </w:rPr>
              <w:t>1.</w:t>
            </w:r>
          </w:hyperlink>
          <w:r>
            <w:rPr>
              <w:color w:val="000000"/>
              <w:sz w:val="24"/>
              <w:szCs w:val="24"/>
            </w:rPr>
            <w:t>0. Introduction</w:t>
          </w:r>
          <w:hyperlink w:anchor="_d5m4rg9g3ch1"/>
          <w:r>
            <w:rPr>
              <w:sz w:val="24"/>
              <w:szCs w:val="24"/>
            </w:rPr>
            <w:tab/>
            <w:t>6</w:t>
          </w:r>
        </w:p>
        <w:p w14:paraId="70B5E572" w14:textId="2803B141" w:rsidR="003B0561" w:rsidRDefault="003E3788">
          <w:pPr>
            <w:widowControl w:val="0"/>
            <w:tabs>
              <w:tab w:val="right" w:pos="12000"/>
            </w:tabs>
            <w:spacing w:before="60" w:line="240" w:lineRule="auto"/>
          </w:pPr>
          <w:r>
            <w:rPr>
              <w:sz w:val="24"/>
              <w:szCs w:val="24"/>
            </w:rPr>
            <w:t>2</w:t>
          </w:r>
          <w:hyperlink w:anchor="_3ktdqsvh3ck1">
            <w:r w:rsidR="003003F6">
              <w:rPr>
                <w:color w:val="000000"/>
                <w:sz w:val="24"/>
                <w:szCs w:val="24"/>
              </w:rPr>
              <w:t>.0.</w:t>
            </w:r>
            <w:r w:rsidR="00AB1B62">
              <w:rPr>
                <w:color w:val="000000"/>
                <w:sz w:val="24"/>
                <w:szCs w:val="24"/>
              </w:rPr>
              <w:t xml:space="preserve"> Macro-Environmental Analysis</w:t>
            </w:r>
            <w:r w:rsidR="00AB1B62">
              <w:rPr>
                <w:color w:val="000000"/>
                <w:sz w:val="24"/>
                <w:szCs w:val="24"/>
              </w:rPr>
              <w:tab/>
              <w:t>7</w:t>
            </w:r>
          </w:hyperlink>
        </w:p>
        <w:p w14:paraId="0D30480B" w14:textId="56B15FAA" w:rsidR="003B0561" w:rsidRDefault="003003F6">
          <w:pPr>
            <w:widowControl w:val="0"/>
            <w:tabs>
              <w:tab w:val="right" w:pos="12000"/>
            </w:tabs>
            <w:spacing w:before="60" w:line="240" w:lineRule="auto"/>
            <w:ind w:left="360"/>
          </w:pPr>
          <w:r>
            <w:rPr>
              <w:color w:val="000000"/>
              <w:sz w:val="24"/>
              <w:szCs w:val="24"/>
            </w:rPr>
            <w:t>2</w:t>
          </w:r>
          <w:hyperlink w:anchor="_mc7vfv89drqj">
            <w:r w:rsidR="00AB1B62">
              <w:rPr>
                <w:color w:val="000000"/>
                <w:sz w:val="24"/>
                <w:szCs w:val="24"/>
              </w:rPr>
              <w:t xml:space="preserve">.1 </w:t>
            </w:r>
            <w:r>
              <w:rPr>
                <w:color w:val="000000"/>
                <w:sz w:val="24"/>
                <w:szCs w:val="24"/>
              </w:rPr>
              <w:t>M</w:t>
            </w:r>
            <w:r w:rsidR="00044687">
              <w:rPr>
                <w:color w:val="000000"/>
                <w:sz w:val="24"/>
                <w:szCs w:val="24"/>
              </w:rPr>
              <w:t>acro environmental analysis</w:t>
            </w:r>
            <w:r w:rsidR="00A424A6">
              <w:rPr>
                <w:color w:val="000000"/>
                <w:sz w:val="24"/>
                <w:szCs w:val="24"/>
              </w:rPr>
              <w:t xml:space="preserve"> using Pestle</w:t>
            </w:r>
            <w:r w:rsidR="00AB1B62">
              <w:rPr>
                <w:color w:val="000000"/>
                <w:sz w:val="24"/>
                <w:szCs w:val="24"/>
              </w:rPr>
              <w:tab/>
            </w:r>
            <w:r w:rsidR="00044687">
              <w:rPr>
                <w:color w:val="000000"/>
                <w:sz w:val="24"/>
                <w:szCs w:val="24"/>
              </w:rPr>
              <w:t xml:space="preserve"> </w:t>
            </w:r>
            <w:r w:rsidR="00AB1B62">
              <w:rPr>
                <w:color w:val="000000"/>
                <w:sz w:val="24"/>
                <w:szCs w:val="24"/>
              </w:rPr>
              <w:t>7</w:t>
            </w:r>
          </w:hyperlink>
        </w:p>
        <w:p w14:paraId="10488AC4" w14:textId="636FA50E" w:rsidR="003B0561" w:rsidRDefault="00A424A6">
          <w:pPr>
            <w:widowControl w:val="0"/>
            <w:tabs>
              <w:tab w:val="right" w:pos="12000"/>
            </w:tabs>
            <w:spacing w:before="60" w:line="240" w:lineRule="auto"/>
            <w:ind w:left="360"/>
          </w:pPr>
          <w:r>
            <w:rPr>
              <w:color w:val="000000"/>
              <w:sz w:val="24"/>
              <w:szCs w:val="24"/>
            </w:rPr>
            <w:t>2.2 Selection of factors and impact on AI</w:t>
          </w:r>
          <w:hyperlink w:anchor="_kurzkdx711rl">
            <w:r w:rsidR="00AB1B62">
              <w:rPr>
                <w:color w:val="000000"/>
                <w:sz w:val="24"/>
                <w:szCs w:val="24"/>
              </w:rPr>
              <w:tab/>
              <w:t>8</w:t>
            </w:r>
          </w:hyperlink>
        </w:p>
        <w:p w14:paraId="4A004098" w14:textId="232B00D5" w:rsidR="003B0561" w:rsidRDefault="00A424A6">
          <w:pPr>
            <w:widowControl w:val="0"/>
            <w:tabs>
              <w:tab w:val="right" w:pos="12000"/>
            </w:tabs>
            <w:spacing w:before="60" w:line="240" w:lineRule="auto"/>
          </w:pPr>
          <w:r>
            <w:rPr>
              <w:sz w:val="24"/>
              <w:szCs w:val="24"/>
            </w:rPr>
            <w:t>3</w:t>
          </w:r>
          <w:hyperlink w:anchor="_nmo54v3xfa7l">
            <w:r w:rsidR="00AB1B62">
              <w:rPr>
                <w:color w:val="000000"/>
                <w:sz w:val="24"/>
                <w:szCs w:val="24"/>
              </w:rPr>
              <w:t xml:space="preserve">.0. </w:t>
            </w:r>
            <w:r w:rsidR="003E10D4">
              <w:rPr>
                <w:color w:val="000000"/>
                <w:sz w:val="24"/>
                <w:szCs w:val="24"/>
              </w:rPr>
              <w:t>Critical analysis of each factor</w:t>
            </w:r>
            <w:r w:rsidR="00AB1B62">
              <w:rPr>
                <w:color w:val="000000"/>
                <w:sz w:val="24"/>
                <w:szCs w:val="24"/>
              </w:rPr>
              <w:tab/>
              <w:t>9</w:t>
            </w:r>
          </w:hyperlink>
        </w:p>
        <w:p w14:paraId="06BAD453" w14:textId="105562DD" w:rsidR="003B0561" w:rsidRDefault="00931B5C">
          <w:pPr>
            <w:widowControl w:val="0"/>
            <w:tabs>
              <w:tab w:val="right" w:pos="12000"/>
            </w:tabs>
            <w:spacing w:before="60" w:line="240" w:lineRule="auto"/>
            <w:ind w:left="360"/>
          </w:pPr>
          <w:r>
            <w:rPr>
              <w:color w:val="000000"/>
              <w:sz w:val="24"/>
              <w:szCs w:val="24"/>
            </w:rPr>
            <w:t>3</w:t>
          </w:r>
          <w:hyperlink w:anchor="_smxbdgp8e3bu">
            <w:r w:rsidR="00AB1B62">
              <w:rPr>
                <w:color w:val="000000"/>
                <w:sz w:val="24"/>
                <w:szCs w:val="24"/>
              </w:rPr>
              <w:t>.1 Huawei’s response (Pioneer)</w:t>
            </w:r>
            <w:r w:rsidR="00AB1B62">
              <w:rPr>
                <w:color w:val="000000"/>
                <w:sz w:val="24"/>
                <w:szCs w:val="24"/>
              </w:rPr>
              <w:tab/>
              <w:t>9</w:t>
            </w:r>
          </w:hyperlink>
        </w:p>
        <w:p w14:paraId="4870241B" w14:textId="455245D1" w:rsidR="003B0561" w:rsidRDefault="00931B5C">
          <w:pPr>
            <w:widowControl w:val="0"/>
            <w:tabs>
              <w:tab w:val="right" w:pos="12000"/>
            </w:tabs>
            <w:spacing w:before="60" w:line="240" w:lineRule="auto"/>
            <w:ind w:left="360"/>
          </w:pPr>
          <w:r>
            <w:rPr>
              <w:color w:val="000000"/>
              <w:sz w:val="24"/>
              <w:szCs w:val="24"/>
            </w:rPr>
            <w:t>3</w:t>
          </w:r>
          <w:hyperlink w:anchor="_r4qr6me5y5tn">
            <w:r w:rsidR="00AB1B62">
              <w:rPr>
                <w:color w:val="000000"/>
                <w:sz w:val="24"/>
                <w:szCs w:val="24"/>
              </w:rPr>
              <w:t>.2 Nokia’s response (Follower)</w:t>
            </w:r>
            <w:r w:rsidR="00AB1B62">
              <w:rPr>
                <w:color w:val="000000"/>
                <w:sz w:val="24"/>
                <w:szCs w:val="24"/>
              </w:rPr>
              <w:tab/>
              <w:t>12</w:t>
            </w:r>
          </w:hyperlink>
        </w:p>
        <w:p w14:paraId="1126033E" w14:textId="023C1640" w:rsidR="003B0561" w:rsidRDefault="000133E9">
          <w:pPr>
            <w:widowControl w:val="0"/>
            <w:tabs>
              <w:tab w:val="right" w:pos="12000"/>
            </w:tabs>
            <w:spacing w:before="60" w:line="240" w:lineRule="auto"/>
            <w:ind w:left="360"/>
          </w:pPr>
          <w:r>
            <w:rPr>
              <w:color w:val="000000"/>
              <w:sz w:val="24"/>
              <w:szCs w:val="24"/>
            </w:rPr>
            <w:t xml:space="preserve">4.0. Strategic </w:t>
          </w:r>
          <w:proofErr w:type="gramStart"/>
          <w:r>
            <w:rPr>
              <w:color w:val="000000"/>
              <w:sz w:val="24"/>
              <w:szCs w:val="24"/>
            </w:rPr>
            <w:t>responses  from</w:t>
          </w:r>
          <w:proofErr w:type="gramEnd"/>
          <w:r>
            <w:rPr>
              <w:color w:val="000000"/>
              <w:sz w:val="24"/>
              <w:szCs w:val="24"/>
            </w:rPr>
            <w:t xml:space="preserve"> </w:t>
          </w:r>
          <w:r w:rsidR="00B27420">
            <w:rPr>
              <w:color w:val="000000"/>
              <w:sz w:val="24"/>
              <w:szCs w:val="24"/>
            </w:rPr>
            <w:t>Pioneers and Follo</w:t>
          </w:r>
          <w:r w:rsidR="000D508E">
            <w:rPr>
              <w:color w:val="000000"/>
              <w:sz w:val="24"/>
              <w:szCs w:val="24"/>
            </w:rPr>
            <w:t>wers</w:t>
          </w:r>
          <w:hyperlink w:anchor="_nmo54v3xfa7l">
            <w:r w:rsidR="00AB1B62">
              <w:rPr>
                <w:color w:val="000000"/>
                <w:sz w:val="24"/>
                <w:szCs w:val="24"/>
              </w:rPr>
              <w:tab/>
              <w:t>9</w:t>
            </w:r>
          </w:hyperlink>
        </w:p>
        <w:p w14:paraId="7A041036" w14:textId="22DBE36A" w:rsidR="003B0561" w:rsidRDefault="00AB1B62">
          <w:pPr>
            <w:widowControl w:val="0"/>
            <w:tabs>
              <w:tab w:val="right" w:pos="12000"/>
            </w:tabs>
            <w:spacing w:before="60" w:line="240" w:lineRule="auto"/>
          </w:pPr>
          <w:r>
            <w:rPr>
              <w:sz w:val="24"/>
              <w:szCs w:val="24"/>
            </w:rPr>
            <w:t>5</w:t>
          </w:r>
          <w:r>
            <w:rPr>
              <w:color w:val="000000"/>
              <w:sz w:val="24"/>
              <w:szCs w:val="24"/>
            </w:rPr>
            <w:t>.0 Conclusion &amp; Recommendations</w:t>
          </w:r>
          <w:hyperlink w:anchor="_rmzcq4xlkz8i">
            <w:r>
              <w:rPr>
                <w:color w:val="000000"/>
                <w:sz w:val="24"/>
                <w:szCs w:val="24"/>
              </w:rPr>
              <w:tab/>
              <w:t>15</w:t>
            </w:r>
          </w:hyperlink>
        </w:p>
        <w:p w14:paraId="08EEE5E0" w14:textId="4A3BB42D" w:rsidR="003B0561" w:rsidRDefault="00ED505B">
          <w:pPr>
            <w:widowControl w:val="0"/>
            <w:tabs>
              <w:tab w:val="right" w:pos="12000"/>
            </w:tabs>
            <w:spacing w:before="60" w:line="240" w:lineRule="auto"/>
          </w:pPr>
          <w:r>
            <w:rPr>
              <w:color w:val="000000"/>
              <w:sz w:val="24"/>
              <w:szCs w:val="24"/>
            </w:rPr>
            <w:t>6</w:t>
          </w:r>
          <w:r w:rsidR="00AB1B62">
            <w:rPr>
              <w:color w:val="000000"/>
              <w:sz w:val="24"/>
              <w:szCs w:val="24"/>
            </w:rPr>
            <w:t xml:space="preserve">.0 </w:t>
          </w:r>
          <w:hyperlink w:anchor="_no50h4jl11qk">
            <w:r w:rsidR="00AB1B62">
              <w:rPr>
                <w:color w:val="000000"/>
                <w:sz w:val="24"/>
                <w:szCs w:val="24"/>
              </w:rPr>
              <w:t>References</w:t>
            </w:r>
            <w:r w:rsidR="00AB1B62">
              <w:rPr>
                <w:color w:val="000000"/>
                <w:sz w:val="24"/>
                <w:szCs w:val="24"/>
              </w:rPr>
              <w:tab/>
              <w:t>16</w:t>
            </w:r>
          </w:hyperlink>
          <w:r w:rsidR="00AB1B62">
            <w:fldChar w:fldCharType="end"/>
          </w:r>
        </w:p>
      </w:sdtContent>
    </w:sdt>
    <w:p w14:paraId="4FF57866" w14:textId="77777777" w:rsidR="003B0561" w:rsidRDefault="003B0561">
      <w:pPr>
        <w:spacing w:after="200" w:line="360" w:lineRule="auto"/>
        <w:jc w:val="center"/>
        <w:rPr>
          <w:b/>
          <w:sz w:val="24"/>
          <w:szCs w:val="24"/>
        </w:rPr>
      </w:pPr>
    </w:p>
    <w:p w14:paraId="1718B979" w14:textId="77777777" w:rsidR="003B0561" w:rsidRDefault="003B0561">
      <w:pPr>
        <w:pStyle w:val="Heading1"/>
        <w:rPr>
          <w:rFonts w:ascii="Arial" w:eastAsia="Arial" w:hAnsi="Arial" w:cs="Arial"/>
        </w:rPr>
      </w:pPr>
    </w:p>
    <w:p w14:paraId="2A901752" w14:textId="77777777" w:rsidR="003B0561" w:rsidRDefault="003B0561">
      <w:pPr>
        <w:spacing w:after="200" w:line="360" w:lineRule="auto"/>
        <w:jc w:val="both"/>
      </w:pPr>
    </w:p>
    <w:p w14:paraId="74DB7FC0" w14:textId="77777777" w:rsidR="003B0561" w:rsidRDefault="003B0561">
      <w:pPr>
        <w:spacing w:after="200" w:line="360" w:lineRule="auto"/>
        <w:jc w:val="both"/>
      </w:pPr>
    </w:p>
    <w:p w14:paraId="23C0D639" w14:textId="77777777" w:rsidR="003B0561" w:rsidRDefault="003B0561">
      <w:pPr>
        <w:spacing w:after="200" w:line="360" w:lineRule="auto"/>
        <w:jc w:val="both"/>
      </w:pPr>
    </w:p>
    <w:p w14:paraId="37E70AB8" w14:textId="77777777" w:rsidR="003B0561" w:rsidRDefault="003B0561">
      <w:pPr>
        <w:spacing w:after="200" w:line="360" w:lineRule="auto"/>
        <w:jc w:val="both"/>
      </w:pPr>
    </w:p>
    <w:p w14:paraId="35930FA8" w14:textId="77777777" w:rsidR="003B0561" w:rsidRDefault="003B0561">
      <w:pPr>
        <w:spacing w:after="200" w:line="360" w:lineRule="auto"/>
        <w:jc w:val="both"/>
      </w:pPr>
    </w:p>
    <w:p w14:paraId="65CC7F90" w14:textId="77777777" w:rsidR="003B0561" w:rsidRDefault="003B0561">
      <w:pPr>
        <w:spacing w:after="200" w:line="360" w:lineRule="auto"/>
        <w:jc w:val="both"/>
      </w:pPr>
    </w:p>
    <w:p w14:paraId="7146A7DA" w14:textId="77777777" w:rsidR="003B0561" w:rsidRDefault="003B0561">
      <w:pPr>
        <w:spacing w:after="200" w:line="360" w:lineRule="auto"/>
        <w:jc w:val="both"/>
      </w:pPr>
    </w:p>
    <w:p w14:paraId="3EA24FA8" w14:textId="77777777" w:rsidR="003B0561" w:rsidRDefault="003B0561">
      <w:pPr>
        <w:spacing w:after="200" w:line="360" w:lineRule="auto"/>
        <w:jc w:val="both"/>
      </w:pPr>
    </w:p>
    <w:p w14:paraId="73D6A470" w14:textId="77777777" w:rsidR="003B0561" w:rsidRDefault="003B0561">
      <w:pPr>
        <w:spacing w:after="200" w:line="360" w:lineRule="auto"/>
        <w:jc w:val="both"/>
      </w:pPr>
    </w:p>
    <w:p w14:paraId="0C6F56AD" w14:textId="77777777" w:rsidR="003B0561" w:rsidRDefault="003B0561">
      <w:pPr>
        <w:spacing w:after="200" w:line="360" w:lineRule="auto"/>
        <w:jc w:val="both"/>
      </w:pPr>
    </w:p>
    <w:p w14:paraId="265CD33C" w14:textId="77777777" w:rsidR="003B0561" w:rsidRDefault="003B0561">
      <w:pPr>
        <w:spacing w:after="200" w:line="360" w:lineRule="auto"/>
        <w:jc w:val="both"/>
      </w:pPr>
    </w:p>
    <w:p w14:paraId="52207AF7" w14:textId="77777777" w:rsidR="003B0561" w:rsidRDefault="003B0561">
      <w:pPr>
        <w:spacing w:after="200" w:line="360" w:lineRule="auto"/>
        <w:jc w:val="both"/>
      </w:pPr>
    </w:p>
    <w:p w14:paraId="431A2B39" w14:textId="77777777" w:rsidR="003B0561" w:rsidRDefault="003B0561">
      <w:pPr>
        <w:pStyle w:val="Title"/>
        <w:jc w:val="center"/>
      </w:pPr>
    </w:p>
    <w:p w14:paraId="5DF90D36" w14:textId="77777777" w:rsidR="003B0561" w:rsidRDefault="003B0561">
      <w:pPr>
        <w:pStyle w:val="Title"/>
        <w:jc w:val="center"/>
      </w:pPr>
    </w:p>
    <w:p w14:paraId="367CB2D9" w14:textId="77777777" w:rsidR="003B0561" w:rsidRDefault="003B0561">
      <w:pPr>
        <w:pStyle w:val="Title"/>
        <w:jc w:val="center"/>
      </w:pPr>
    </w:p>
    <w:p w14:paraId="68E60DB0" w14:textId="77777777" w:rsidR="003B0561" w:rsidRDefault="003B0561">
      <w:pPr>
        <w:pStyle w:val="Title"/>
        <w:jc w:val="center"/>
      </w:pPr>
    </w:p>
    <w:p w14:paraId="5CA8177D" w14:textId="77777777" w:rsidR="003B0561" w:rsidRDefault="003B0561">
      <w:pPr>
        <w:pStyle w:val="Title"/>
        <w:jc w:val="center"/>
      </w:pPr>
    </w:p>
    <w:p w14:paraId="379A0E99" w14:textId="77777777" w:rsidR="003B0561" w:rsidRDefault="00AB1B62">
      <w:pPr>
        <w:pStyle w:val="Title"/>
        <w:jc w:val="center"/>
      </w:pPr>
      <w:bookmarkStart w:id="0" w:name="_1tn3n7acepwm" w:colFirst="0" w:colLast="0"/>
      <w:bookmarkEnd w:id="0"/>
      <w:proofErr w:type="gramStart"/>
      <w:r>
        <w:t>How</w:t>
      </w:r>
      <w:proofErr w:type="gramEnd"/>
      <w:r>
        <w:t xml:space="preserve"> Technological Innovation and Regulatory Pressures Shape </w:t>
      </w:r>
      <w:proofErr w:type="gramStart"/>
      <w:r>
        <w:t>The</w:t>
      </w:r>
      <w:proofErr w:type="gramEnd"/>
      <w:r>
        <w:t xml:space="preserve"> Competitive Marketing Strategies of Pioneer and Follower </w:t>
      </w:r>
      <w:proofErr w:type="gramStart"/>
      <w:r>
        <w:t>Firms :</w:t>
      </w:r>
      <w:proofErr w:type="gramEnd"/>
      <w:r>
        <w:t xml:space="preserve"> </w:t>
      </w:r>
    </w:p>
    <w:p w14:paraId="2C2EC48C" w14:textId="77777777" w:rsidR="003B0561" w:rsidRDefault="00AB1B62">
      <w:pPr>
        <w:pStyle w:val="Title"/>
        <w:jc w:val="center"/>
      </w:pPr>
      <w:r>
        <w:t>A Competitive Analysis of Huawei and Nokia</w:t>
      </w:r>
      <w:r>
        <w:br w:type="page"/>
      </w:r>
    </w:p>
    <w:p w14:paraId="1936F4D8" w14:textId="77777777" w:rsidR="003B0561" w:rsidRDefault="00AB1B62">
      <w:pPr>
        <w:pStyle w:val="Heading1"/>
        <w:rPr>
          <w:rFonts w:ascii="Arial" w:eastAsia="Arial" w:hAnsi="Arial" w:cs="Arial"/>
        </w:rPr>
      </w:pPr>
      <w:r>
        <w:rPr>
          <w:rFonts w:ascii="Arial" w:eastAsia="Arial" w:hAnsi="Arial" w:cs="Arial"/>
        </w:rPr>
        <w:lastRenderedPageBreak/>
        <w:t>1.0. Introduction</w:t>
      </w:r>
    </w:p>
    <w:p w14:paraId="6C5BCEF8" w14:textId="77777777" w:rsidR="003B0561" w:rsidRDefault="00AB1B62">
      <w:pPr>
        <w:pBdr>
          <w:top w:val="nil"/>
          <w:left w:val="nil"/>
          <w:bottom w:val="nil"/>
          <w:right w:val="nil"/>
          <w:between w:val="nil"/>
        </w:pBdr>
        <w:spacing w:after="200" w:line="360" w:lineRule="auto"/>
        <w:jc w:val="both"/>
        <w:rPr>
          <w:color w:val="000000"/>
        </w:rPr>
      </w:pPr>
      <w:r>
        <w:rPr>
          <w:color w:val="000000"/>
        </w:rPr>
        <w:t xml:space="preserve">The report critically analyses the impact of technological and legal factors on the markets, purchase patterns and </w:t>
      </w:r>
      <w:proofErr w:type="spellStart"/>
      <w:r>
        <w:rPr>
          <w:color w:val="000000"/>
        </w:rPr>
        <w:t>ogranisational</w:t>
      </w:r>
      <w:proofErr w:type="spellEnd"/>
      <w:r>
        <w:rPr>
          <w:color w:val="000000"/>
        </w:rPr>
        <w:t xml:space="preserve"> strategies. How these factors affect the first movers and late entrants differently.</w:t>
      </w:r>
    </w:p>
    <w:p w14:paraId="191FEB65" w14:textId="77777777" w:rsidR="003B0561" w:rsidRDefault="00AB1B62">
      <w:pPr>
        <w:pBdr>
          <w:top w:val="nil"/>
          <w:left w:val="nil"/>
          <w:bottom w:val="nil"/>
          <w:right w:val="nil"/>
          <w:between w:val="nil"/>
        </w:pBdr>
        <w:spacing w:line="331" w:lineRule="auto"/>
        <w:jc w:val="both"/>
      </w:pPr>
      <w:r>
        <w:t xml:space="preserve">Strategic Marketing requires observations of external movements to predict risk and take long term strategic steps to reduce it. PESTLE framework allows Organizations has to evaluate political, </w:t>
      </w:r>
      <w:proofErr w:type="spellStart"/>
      <w:r>
        <w:t>economical</w:t>
      </w:r>
      <w:proofErr w:type="spellEnd"/>
      <w:r>
        <w:t xml:space="preserve">, social, </w:t>
      </w:r>
      <w:proofErr w:type="spellStart"/>
      <w:r>
        <w:t>technologica</w:t>
      </w:r>
      <w:proofErr w:type="spellEnd"/>
      <w:r>
        <w:t xml:space="preserve">, </w:t>
      </w:r>
      <w:proofErr w:type="spellStart"/>
      <w:r>
        <w:t>envronmental</w:t>
      </w:r>
      <w:proofErr w:type="spellEnd"/>
      <w:r>
        <w:t xml:space="preserve"> and legal challenges that are external and not in control.</w:t>
      </w:r>
    </w:p>
    <w:p w14:paraId="7896395C" w14:textId="77777777" w:rsidR="003B0561" w:rsidRDefault="003B0561">
      <w:pPr>
        <w:pBdr>
          <w:top w:val="nil"/>
          <w:left w:val="nil"/>
          <w:bottom w:val="nil"/>
          <w:right w:val="nil"/>
          <w:between w:val="nil"/>
        </w:pBdr>
        <w:spacing w:line="331" w:lineRule="auto"/>
        <w:jc w:val="both"/>
      </w:pPr>
    </w:p>
    <w:p w14:paraId="36237D0D" w14:textId="77777777" w:rsidR="003B0561" w:rsidRDefault="00AB1B62">
      <w:pPr>
        <w:pBdr>
          <w:top w:val="nil"/>
          <w:left w:val="nil"/>
          <w:bottom w:val="nil"/>
          <w:right w:val="nil"/>
          <w:between w:val="nil"/>
        </w:pBdr>
        <w:spacing w:line="331" w:lineRule="auto"/>
        <w:jc w:val="both"/>
      </w:pPr>
      <w:r>
        <w:t xml:space="preserve">The report firstly provides the summary of macro marketing environment and </w:t>
      </w:r>
      <w:proofErr w:type="spellStart"/>
      <w:proofErr w:type="gramStart"/>
      <w:r>
        <w:t>it's</w:t>
      </w:r>
      <w:proofErr w:type="spellEnd"/>
      <w:proofErr w:type="gramEnd"/>
      <w:r>
        <w:t xml:space="preserve"> importance. Tas 1 critically analyses the effects of Technological and Legal factors on both pioneers and followers. Task 2 uses Ansoff’s Growth Matrix and Porter’s Generic strategies to analyse strategic responses of each </w:t>
      </w:r>
      <w:proofErr w:type="gramStart"/>
      <w:r>
        <w:t>organisations</w:t>
      </w:r>
      <w:proofErr w:type="gramEnd"/>
      <w:r>
        <w:t>. The report concludes that critical understanding of external environment ensures competitiveness.</w:t>
      </w:r>
    </w:p>
    <w:p w14:paraId="0A8134AB" w14:textId="77777777" w:rsidR="003B0561" w:rsidRDefault="003B0561">
      <w:pPr>
        <w:pStyle w:val="Heading1"/>
        <w:rPr>
          <w:rFonts w:ascii="Arial" w:eastAsia="Arial" w:hAnsi="Arial" w:cs="Arial"/>
        </w:rPr>
      </w:pPr>
    </w:p>
    <w:p w14:paraId="19CE288A" w14:textId="77777777" w:rsidR="003B0561" w:rsidRDefault="00AB1B62">
      <w:pPr>
        <w:pStyle w:val="Heading1"/>
        <w:rPr>
          <w:rFonts w:ascii="Arial" w:eastAsia="Arial" w:hAnsi="Arial" w:cs="Arial"/>
        </w:rPr>
      </w:pPr>
      <w:r>
        <w:rPr>
          <w:rFonts w:ascii="Arial" w:eastAsia="Arial" w:hAnsi="Arial" w:cs="Arial"/>
        </w:rPr>
        <w:t xml:space="preserve">2.0. </w:t>
      </w:r>
      <w:r>
        <w:rPr>
          <w:rFonts w:ascii="Arial" w:eastAsia="Arial" w:hAnsi="Arial" w:cs="Arial"/>
        </w:rPr>
        <w:t>Macro Environmental Analysis</w:t>
      </w:r>
    </w:p>
    <w:p w14:paraId="14F5F440" w14:textId="77777777" w:rsidR="003B0561" w:rsidRDefault="00AB1B62">
      <w:pPr>
        <w:pStyle w:val="Heading2"/>
        <w:rPr>
          <w:rFonts w:ascii="Arial" w:eastAsia="Arial" w:hAnsi="Arial" w:cs="Arial"/>
        </w:rPr>
      </w:pPr>
      <w:proofErr w:type="gramStart"/>
      <w:r>
        <w:rPr>
          <w:rFonts w:ascii="Arial" w:eastAsia="Arial" w:hAnsi="Arial" w:cs="Arial"/>
        </w:rPr>
        <w:t xml:space="preserve">2.1  </w:t>
      </w:r>
      <w:r>
        <w:rPr>
          <w:rFonts w:ascii="Arial" w:eastAsia="Arial" w:hAnsi="Arial" w:cs="Arial"/>
          <w:color w:val="000000"/>
        </w:rPr>
        <w:t>Overview</w:t>
      </w:r>
      <w:proofErr w:type="gramEnd"/>
      <w:r>
        <w:rPr>
          <w:rFonts w:ascii="Arial" w:eastAsia="Arial" w:hAnsi="Arial" w:cs="Arial"/>
          <w:color w:val="000000"/>
        </w:rPr>
        <w:t xml:space="preserve"> of the Marketing environment and it’s important in Marketing</w:t>
      </w:r>
    </w:p>
    <w:p w14:paraId="3AA804FB" w14:textId="77777777" w:rsidR="003B0561" w:rsidRDefault="00AB1B62">
      <w:pPr>
        <w:spacing w:after="200" w:line="360" w:lineRule="auto"/>
        <w:jc w:val="both"/>
      </w:pPr>
      <w:r>
        <w:rPr>
          <w:sz w:val="24"/>
          <w:szCs w:val="24"/>
        </w:rPr>
        <w:t xml:space="preserve">Macro marketing environment consists of </w:t>
      </w:r>
      <w:proofErr w:type="spellStart"/>
      <w:r>
        <w:rPr>
          <w:sz w:val="24"/>
          <w:szCs w:val="24"/>
        </w:rPr>
        <w:t>uncontrolable</w:t>
      </w:r>
      <w:proofErr w:type="spellEnd"/>
      <w:r>
        <w:rPr>
          <w:sz w:val="24"/>
          <w:szCs w:val="24"/>
        </w:rPr>
        <w:t xml:space="preserve"> external factors such as politics, economic, social, technological, environment and legal forces. All these factors shape the marketing environment by altering market </w:t>
      </w:r>
      <w:proofErr w:type="gramStart"/>
      <w:r>
        <w:rPr>
          <w:sz w:val="24"/>
          <w:szCs w:val="24"/>
        </w:rPr>
        <w:t>boundaries(</w:t>
      </w:r>
      <w:proofErr w:type="gramEnd"/>
      <w:r>
        <w:rPr>
          <w:sz w:val="24"/>
          <w:szCs w:val="24"/>
        </w:rPr>
        <w:t xml:space="preserve">political or legal), purchase patterns (economical) or by creating new </w:t>
      </w:r>
      <w:proofErr w:type="spellStart"/>
      <w:r>
        <w:rPr>
          <w:sz w:val="24"/>
          <w:szCs w:val="24"/>
        </w:rPr>
        <w:t>opportunies</w:t>
      </w:r>
      <w:proofErr w:type="spellEnd"/>
      <w:r>
        <w:rPr>
          <w:sz w:val="24"/>
          <w:szCs w:val="24"/>
        </w:rPr>
        <w:t xml:space="preserve"> through technological breakthroughs. These factors need to be taken into consideration before making strategic marketing decisions. It acts as an early warning system for organisations to identify strategic asymmetries. PESTEL analysis e</w:t>
      </w:r>
      <w:r>
        <w:rPr>
          <w:sz w:val="24"/>
          <w:szCs w:val="24"/>
        </w:rPr>
        <w:t xml:space="preserve">nsures that </w:t>
      </w:r>
      <w:proofErr w:type="spellStart"/>
      <w:r>
        <w:rPr>
          <w:sz w:val="24"/>
          <w:szCs w:val="24"/>
        </w:rPr>
        <w:t>marketin</w:t>
      </w:r>
      <w:proofErr w:type="spellEnd"/>
      <w:r>
        <w:rPr>
          <w:sz w:val="24"/>
          <w:szCs w:val="24"/>
        </w:rPr>
        <w:t xml:space="preserve"> strategies are aligned with these external forces to achieve the goals.</w:t>
      </w:r>
    </w:p>
    <w:p w14:paraId="5AD3E0D5" w14:textId="77777777" w:rsidR="003B0561" w:rsidRDefault="00AB1B62">
      <w:pPr>
        <w:spacing w:after="200" w:line="360" w:lineRule="auto"/>
        <w:jc w:val="both"/>
      </w:pPr>
      <w:r>
        <w:rPr>
          <w:sz w:val="24"/>
          <w:szCs w:val="24"/>
        </w:rPr>
        <w:lastRenderedPageBreak/>
        <w:t xml:space="preserve"> </w:t>
      </w:r>
    </w:p>
    <w:p w14:paraId="0D652871" w14:textId="77777777" w:rsidR="003B0561" w:rsidRDefault="00AB1B62">
      <w:pPr>
        <w:spacing w:after="200" w:line="360" w:lineRule="auto"/>
        <w:jc w:val="both"/>
      </w:pPr>
      <w:r>
        <w:rPr>
          <w:b/>
          <w:sz w:val="24"/>
          <w:szCs w:val="24"/>
        </w:rPr>
        <w:t xml:space="preserve">2.2 Selection of Factors and </w:t>
      </w:r>
      <w:proofErr w:type="spellStart"/>
      <w:proofErr w:type="gramStart"/>
      <w:r>
        <w:rPr>
          <w:b/>
          <w:sz w:val="24"/>
          <w:szCs w:val="24"/>
        </w:rPr>
        <w:t>It’s</w:t>
      </w:r>
      <w:proofErr w:type="spellEnd"/>
      <w:proofErr w:type="gramEnd"/>
      <w:r>
        <w:rPr>
          <w:b/>
          <w:sz w:val="24"/>
          <w:szCs w:val="24"/>
        </w:rPr>
        <w:t xml:space="preserve"> Impact on chosen </w:t>
      </w:r>
      <w:proofErr w:type="gramStart"/>
      <w:r>
        <w:rPr>
          <w:b/>
          <w:sz w:val="24"/>
          <w:szCs w:val="24"/>
        </w:rPr>
        <w:t>Industry :</w:t>
      </w:r>
      <w:proofErr w:type="gramEnd"/>
    </w:p>
    <w:p w14:paraId="7CCD4174" w14:textId="77777777" w:rsidR="003B0561" w:rsidRDefault="00AB1B62">
      <w:pPr>
        <w:spacing w:after="200" w:line="360" w:lineRule="auto"/>
        <w:jc w:val="both"/>
      </w:pPr>
      <w:r>
        <w:rPr>
          <w:sz w:val="24"/>
          <w:szCs w:val="24"/>
        </w:rPr>
        <w:t xml:space="preserve">While Economic factors shape the consumer behaviour, </w:t>
      </w:r>
      <w:proofErr w:type="gramStart"/>
      <w:r>
        <w:rPr>
          <w:sz w:val="24"/>
          <w:szCs w:val="24"/>
        </w:rPr>
        <w:t>Social</w:t>
      </w:r>
      <w:proofErr w:type="gramEnd"/>
      <w:r>
        <w:rPr>
          <w:sz w:val="24"/>
          <w:szCs w:val="24"/>
        </w:rPr>
        <w:t xml:space="preserve"> factors affect the acceptance and trust in AI and Environmental factors </w:t>
      </w:r>
      <w:proofErr w:type="spellStart"/>
      <w:r>
        <w:rPr>
          <w:sz w:val="24"/>
          <w:szCs w:val="24"/>
        </w:rPr>
        <w:t>compell</w:t>
      </w:r>
      <w:proofErr w:type="spellEnd"/>
      <w:r>
        <w:rPr>
          <w:sz w:val="24"/>
          <w:szCs w:val="24"/>
        </w:rPr>
        <w:t xml:space="preserve"> brands to maintain an </w:t>
      </w:r>
      <w:proofErr w:type="gramStart"/>
      <w:r>
        <w:rPr>
          <w:sz w:val="24"/>
          <w:szCs w:val="24"/>
        </w:rPr>
        <w:t>environmental</w:t>
      </w:r>
      <w:proofErr w:type="gramEnd"/>
      <w:r>
        <w:rPr>
          <w:sz w:val="24"/>
          <w:szCs w:val="24"/>
        </w:rPr>
        <w:t xml:space="preserve"> friendly image because of energy and water usage; It is Technological and Legal forces that really dictate the rules of the global AI landscape.</w:t>
      </w:r>
    </w:p>
    <w:p w14:paraId="6954E724" w14:textId="77777777" w:rsidR="003B0561" w:rsidRDefault="00AB1B62">
      <w:pPr>
        <w:spacing w:after="200" w:line="360" w:lineRule="auto"/>
        <w:jc w:val="both"/>
      </w:pPr>
      <w:proofErr w:type="gramStart"/>
      <w:r>
        <w:rPr>
          <w:b/>
          <w:sz w:val="24"/>
          <w:szCs w:val="24"/>
        </w:rPr>
        <w:t>Technological :</w:t>
      </w:r>
      <w:proofErr w:type="gramEnd"/>
    </w:p>
    <w:p w14:paraId="79342E69" w14:textId="77777777" w:rsidR="003B0561" w:rsidRDefault="00AB1B62">
      <w:pPr>
        <w:spacing w:after="200" w:line="360" w:lineRule="auto"/>
        <w:jc w:val="both"/>
        <w:rPr>
          <w:sz w:val="24"/>
          <w:szCs w:val="24"/>
        </w:rPr>
      </w:pPr>
      <w:r>
        <w:rPr>
          <w:sz w:val="24"/>
          <w:szCs w:val="24"/>
        </w:rPr>
        <w:t xml:space="preserve">Innovation is AI technology is happening at exponential pace, ‘Cutting Edge’ technology becomes obsolete very quickly, usually within months. Market expectations are changing </w:t>
      </w:r>
      <w:proofErr w:type="gramStart"/>
      <w:r>
        <w:rPr>
          <w:sz w:val="24"/>
          <w:szCs w:val="24"/>
        </w:rPr>
        <w:t>quickly,</w:t>
      </w:r>
      <w:proofErr w:type="gramEnd"/>
      <w:r>
        <w:rPr>
          <w:sz w:val="24"/>
          <w:szCs w:val="24"/>
        </w:rPr>
        <w:t xml:space="preserve"> AI systems are expected to handle not just text but multiple types of inputs like videos and images as well. This requires efficient models, complex R&amp;D and enormous computational resources to train such models, not to mention the billions of dollars to train them.</w:t>
      </w:r>
    </w:p>
    <w:p w14:paraId="61E56648" w14:textId="77777777" w:rsidR="003B0561" w:rsidRDefault="00AB1B62">
      <w:pPr>
        <w:spacing w:after="200" w:line="360" w:lineRule="auto"/>
        <w:jc w:val="both"/>
      </w:pPr>
      <w:proofErr w:type="gramStart"/>
      <w:r>
        <w:rPr>
          <w:b/>
          <w:sz w:val="24"/>
          <w:szCs w:val="24"/>
        </w:rPr>
        <w:t>Legal :</w:t>
      </w:r>
      <w:proofErr w:type="gramEnd"/>
    </w:p>
    <w:p w14:paraId="3891C6FA" w14:textId="77777777" w:rsidR="003B0561" w:rsidRDefault="00AB1B62">
      <w:pPr>
        <w:spacing w:after="200" w:line="360" w:lineRule="auto"/>
        <w:jc w:val="both"/>
      </w:pPr>
      <w:r>
        <w:rPr>
          <w:sz w:val="24"/>
          <w:szCs w:val="24"/>
        </w:rPr>
        <w:t xml:space="preserve">As the AI adoption is increasing and the industry is moving towards maturity, the governments are enforcing stricter rules and boundaries that creates compliance challenges. It creates issues such as liability, data protection, </w:t>
      </w:r>
      <w:proofErr w:type="spellStart"/>
      <w:r>
        <w:rPr>
          <w:sz w:val="24"/>
          <w:szCs w:val="24"/>
        </w:rPr>
        <w:t>Intelectual</w:t>
      </w:r>
      <w:proofErr w:type="spellEnd"/>
      <w:r>
        <w:rPr>
          <w:sz w:val="24"/>
          <w:szCs w:val="24"/>
        </w:rPr>
        <w:t xml:space="preserve"> property and regulatory uncertainties.  Legal factors decide what kind of AI technologies can be developed, deployed and who bears the </w:t>
      </w:r>
      <w:proofErr w:type="spellStart"/>
      <w:r>
        <w:rPr>
          <w:sz w:val="24"/>
          <w:szCs w:val="24"/>
        </w:rPr>
        <w:t>the</w:t>
      </w:r>
      <w:proofErr w:type="spellEnd"/>
      <w:r>
        <w:rPr>
          <w:sz w:val="24"/>
          <w:szCs w:val="24"/>
        </w:rPr>
        <w:t xml:space="preserve"> responsibilities. Data protection and IP laws not only affect the companies but also the users.</w:t>
      </w:r>
    </w:p>
    <w:p w14:paraId="4B8B3119" w14:textId="77777777" w:rsidR="003B0561" w:rsidRDefault="00AB1B62">
      <w:pPr>
        <w:pStyle w:val="Heading2"/>
        <w:rPr>
          <w:rFonts w:ascii="Arial" w:eastAsia="Arial" w:hAnsi="Arial" w:cs="Arial"/>
        </w:rPr>
      </w:pPr>
      <w:proofErr w:type="gramStart"/>
      <w:r>
        <w:rPr>
          <w:rFonts w:ascii="Arial" w:eastAsia="Arial" w:hAnsi="Arial" w:cs="Arial"/>
        </w:rPr>
        <w:t xml:space="preserve">2.3  </w:t>
      </w:r>
      <w:r>
        <w:rPr>
          <w:rFonts w:ascii="Arial" w:eastAsia="Arial" w:hAnsi="Arial" w:cs="Arial"/>
          <w:color w:val="000000"/>
        </w:rPr>
        <w:t>Relevance</w:t>
      </w:r>
      <w:proofErr w:type="gramEnd"/>
      <w:r>
        <w:rPr>
          <w:rFonts w:ascii="Arial" w:eastAsia="Arial" w:hAnsi="Arial" w:cs="Arial"/>
          <w:color w:val="000000"/>
        </w:rPr>
        <w:t xml:space="preserve"> in AI </w:t>
      </w:r>
      <w:proofErr w:type="spellStart"/>
      <w:r>
        <w:rPr>
          <w:rFonts w:ascii="Arial" w:eastAsia="Arial" w:hAnsi="Arial" w:cs="Arial"/>
          <w:color w:val="000000"/>
        </w:rPr>
        <w:t>Indusry</w:t>
      </w:r>
      <w:proofErr w:type="spellEnd"/>
    </w:p>
    <w:p w14:paraId="35E7627A" w14:textId="77777777" w:rsidR="003B0561" w:rsidRDefault="00AB1B62">
      <w:pPr>
        <w:spacing w:after="200" w:line="360" w:lineRule="auto"/>
        <w:jc w:val="both"/>
      </w:pPr>
      <w:proofErr w:type="gramStart"/>
      <w:r>
        <w:rPr>
          <w:b/>
          <w:sz w:val="24"/>
          <w:szCs w:val="24"/>
        </w:rPr>
        <w:t>Technological :</w:t>
      </w:r>
      <w:proofErr w:type="gramEnd"/>
      <w:r>
        <w:rPr>
          <w:sz w:val="24"/>
          <w:szCs w:val="24"/>
        </w:rPr>
        <w:br/>
      </w:r>
      <w:r>
        <w:rPr>
          <w:sz w:val="24"/>
          <w:szCs w:val="24"/>
        </w:rPr>
        <w:br/>
      </w:r>
      <w:r>
        <w:rPr>
          <w:sz w:val="24"/>
          <w:szCs w:val="24"/>
        </w:rPr>
        <w:lastRenderedPageBreak/>
        <w:t xml:space="preserve">AI firms have spent $82 Billion on AI compute and storage hardware infrastructure in the second quarter of 2025 alone, which is 166% increase in year-over-year </w:t>
      </w:r>
      <w:proofErr w:type="gramStart"/>
      <w:r>
        <w:rPr>
          <w:sz w:val="24"/>
          <w:szCs w:val="24"/>
        </w:rPr>
        <w:t>growth(</w:t>
      </w:r>
      <w:proofErr w:type="gramEnd"/>
      <w:r>
        <w:rPr>
          <w:sz w:val="24"/>
          <w:szCs w:val="24"/>
        </w:rPr>
        <w:t>IDC, 2025</w:t>
      </w:r>
      <w:proofErr w:type="gramStart"/>
      <w:r>
        <w:rPr>
          <w:sz w:val="24"/>
          <w:szCs w:val="24"/>
        </w:rPr>
        <w:t>).The</w:t>
      </w:r>
      <w:proofErr w:type="gramEnd"/>
      <w:r>
        <w:rPr>
          <w:sz w:val="24"/>
          <w:szCs w:val="24"/>
        </w:rPr>
        <w:t xml:space="preserve"> computational performance of AI supercomputers is doubling every nine months, while hardware acquisition cost and power needs are doubling every year (</w:t>
      </w:r>
      <w:proofErr w:type="spellStart"/>
      <w:r>
        <w:rPr>
          <w:sz w:val="24"/>
          <w:szCs w:val="24"/>
        </w:rPr>
        <w:t>arXiv</w:t>
      </w:r>
      <w:proofErr w:type="spellEnd"/>
      <w:r>
        <w:rPr>
          <w:sz w:val="24"/>
          <w:szCs w:val="24"/>
        </w:rPr>
        <w:t xml:space="preserve">, 2025). 23% of global enterprises are scaling agentic systems that can plan and act </w:t>
      </w:r>
      <w:proofErr w:type="spellStart"/>
      <w:r>
        <w:rPr>
          <w:sz w:val="24"/>
          <w:szCs w:val="24"/>
        </w:rPr>
        <w:t>indipendently</w:t>
      </w:r>
      <w:proofErr w:type="spellEnd"/>
      <w:r>
        <w:rPr>
          <w:sz w:val="24"/>
          <w:szCs w:val="24"/>
        </w:rPr>
        <w:t>, which is very advance than simple text generation (McKinsey, 2025). Spendi</w:t>
      </w:r>
      <w:r>
        <w:rPr>
          <w:sz w:val="24"/>
          <w:szCs w:val="24"/>
        </w:rPr>
        <w:t>ng on AI infrastructure is estimated to reach $758 Billion by 2029 (IDC, 2025).</w:t>
      </w:r>
    </w:p>
    <w:p w14:paraId="08B9A65C" w14:textId="77777777" w:rsidR="003B0561" w:rsidRDefault="00AB1B62">
      <w:pPr>
        <w:spacing w:after="200" w:line="360" w:lineRule="auto"/>
        <w:jc w:val="both"/>
      </w:pPr>
      <w:r>
        <w:rPr>
          <w:noProof/>
        </w:rPr>
        <w:drawing>
          <wp:anchor distT="0" distB="0" distL="0" distR="0" simplePos="0" relativeHeight="251658240" behindDoc="0" locked="0" layoutInCell="1" hidden="0" allowOverlap="1" wp14:anchorId="713E5088" wp14:editId="7EA46EAF">
            <wp:simplePos x="0" y="0"/>
            <wp:positionH relativeFrom="column">
              <wp:posOffset>227964</wp:posOffset>
            </wp:positionH>
            <wp:positionV relativeFrom="paragraph">
              <wp:posOffset>635</wp:posOffset>
            </wp:positionV>
            <wp:extent cx="5275580" cy="2585085"/>
            <wp:effectExtent l="0" t="0" r="0" b="0"/>
            <wp:wrapTopAndBottom distT="0" dist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275580" cy="2585085"/>
                    </a:xfrm>
                    <a:prstGeom prst="rect">
                      <a:avLst/>
                    </a:prstGeom>
                    <a:ln/>
                  </pic:spPr>
                </pic:pic>
              </a:graphicData>
            </a:graphic>
          </wp:anchor>
        </w:drawing>
      </w:r>
    </w:p>
    <w:p w14:paraId="552FC833" w14:textId="77777777" w:rsidR="003B0561" w:rsidRDefault="00AB1B62">
      <w:pPr>
        <w:spacing w:after="200" w:line="360" w:lineRule="auto"/>
        <w:jc w:val="both"/>
      </w:pPr>
      <w:proofErr w:type="gramStart"/>
      <w:r>
        <w:rPr>
          <w:b/>
          <w:sz w:val="24"/>
          <w:szCs w:val="24"/>
        </w:rPr>
        <w:t>Legal :</w:t>
      </w:r>
      <w:proofErr w:type="gramEnd"/>
      <w:r>
        <w:rPr>
          <w:sz w:val="24"/>
          <w:szCs w:val="24"/>
        </w:rPr>
        <w:br/>
      </w:r>
      <w:r>
        <w:rPr>
          <w:sz w:val="24"/>
          <w:szCs w:val="24"/>
        </w:rPr>
        <w:br/>
        <w:t xml:space="preserve">Copyright and IP laws could complicate the AI training process, stricter data privacy and sovereignty rules limit the movement of data; forcing the industry to adopt new models or reduce the R&amp;D investment in that geography (Kretschmer et al., 2023; Balas &amp; </w:t>
      </w:r>
      <w:proofErr w:type="spellStart"/>
      <w:r>
        <w:rPr>
          <w:sz w:val="24"/>
          <w:szCs w:val="24"/>
        </w:rPr>
        <w:t>Shatnawi</w:t>
      </w:r>
      <w:proofErr w:type="spellEnd"/>
      <w:r>
        <w:rPr>
          <w:sz w:val="24"/>
          <w:szCs w:val="24"/>
        </w:rPr>
        <w:t xml:space="preserve">, 2024). The </w:t>
      </w:r>
      <w:proofErr w:type="spellStart"/>
      <w:r>
        <w:rPr>
          <w:sz w:val="24"/>
          <w:szCs w:val="24"/>
        </w:rPr>
        <w:t>american</w:t>
      </w:r>
      <w:proofErr w:type="spellEnd"/>
      <w:r>
        <w:rPr>
          <w:sz w:val="24"/>
          <w:szCs w:val="24"/>
        </w:rPr>
        <w:t xml:space="preserve"> facial recognition company ‘Clearview AI’ was forced to delete the data on residents of certain </w:t>
      </w:r>
      <w:proofErr w:type="spellStart"/>
      <w:r>
        <w:rPr>
          <w:sz w:val="24"/>
          <w:szCs w:val="24"/>
        </w:rPr>
        <w:t>coutries</w:t>
      </w:r>
      <w:proofErr w:type="spellEnd"/>
      <w:r>
        <w:rPr>
          <w:sz w:val="24"/>
          <w:szCs w:val="24"/>
        </w:rPr>
        <w:t xml:space="preserve"> and it was fined €30.5 million by the Dutch Data Protection Authority for violating biometric data rules under GDPR (</w:t>
      </w:r>
      <w:r>
        <w:rPr>
          <w:sz w:val="24"/>
          <w:szCs w:val="24"/>
        </w:rPr>
        <w:t>The Verge). Moreover, the misuse of AI raises potential legal claims for fraud, defamati</w:t>
      </w:r>
      <w:r>
        <w:rPr>
          <w:sz w:val="24"/>
          <w:szCs w:val="24"/>
        </w:rPr>
        <w:lastRenderedPageBreak/>
        <w:t>on lawsuits, enforcing the need for strong compliance frameworks.</w:t>
      </w:r>
      <w:r>
        <w:rPr>
          <w:sz w:val="24"/>
          <w:szCs w:val="24"/>
        </w:rPr>
        <w:br/>
      </w:r>
    </w:p>
    <w:p w14:paraId="25202FE2" w14:textId="77777777" w:rsidR="003B0561" w:rsidRDefault="00AB1B62">
      <w:pPr>
        <w:pStyle w:val="Heading2"/>
        <w:rPr>
          <w:rFonts w:ascii="Arial" w:eastAsia="Arial" w:hAnsi="Arial" w:cs="Arial"/>
        </w:rPr>
      </w:pPr>
      <w:proofErr w:type="gramStart"/>
      <w:r>
        <w:rPr>
          <w:rFonts w:ascii="Arial" w:eastAsia="Arial" w:hAnsi="Arial" w:cs="Arial"/>
        </w:rPr>
        <w:t>3.3  Critical</w:t>
      </w:r>
      <w:proofErr w:type="gramEnd"/>
      <w:r>
        <w:rPr>
          <w:rFonts w:ascii="Arial" w:eastAsia="Arial" w:hAnsi="Arial" w:cs="Arial"/>
        </w:rPr>
        <w:t xml:space="preserve"> Analysis</w:t>
      </w:r>
      <w:r>
        <w:rPr>
          <w:rFonts w:ascii="Arial" w:eastAsia="Arial" w:hAnsi="Arial" w:cs="Arial"/>
          <w:color w:val="000000"/>
        </w:rPr>
        <w:t xml:space="preserve"> in AI </w:t>
      </w:r>
      <w:proofErr w:type="spellStart"/>
      <w:r>
        <w:rPr>
          <w:rFonts w:ascii="Arial" w:eastAsia="Arial" w:hAnsi="Arial" w:cs="Arial"/>
          <w:color w:val="000000"/>
        </w:rPr>
        <w:t>Indusry</w:t>
      </w:r>
      <w:proofErr w:type="spellEnd"/>
    </w:p>
    <w:p w14:paraId="5ED9C565" w14:textId="77777777" w:rsidR="003B0561" w:rsidRDefault="00AB1B62">
      <w:pPr>
        <w:spacing w:after="200" w:line="360" w:lineRule="auto"/>
        <w:jc w:val="both"/>
      </w:pPr>
      <w:r>
        <w:rPr>
          <w:b/>
          <w:sz w:val="24"/>
          <w:szCs w:val="24"/>
        </w:rPr>
        <w:t xml:space="preserve">How Technological factors influence pioneers and </w:t>
      </w:r>
      <w:proofErr w:type="gramStart"/>
      <w:r>
        <w:rPr>
          <w:b/>
          <w:sz w:val="24"/>
          <w:szCs w:val="24"/>
        </w:rPr>
        <w:t>followers :</w:t>
      </w:r>
      <w:proofErr w:type="gramEnd"/>
      <w:r>
        <w:rPr>
          <w:sz w:val="24"/>
          <w:szCs w:val="24"/>
        </w:rPr>
        <w:br/>
      </w:r>
      <w:r>
        <w:rPr>
          <w:sz w:val="24"/>
          <w:szCs w:val="24"/>
        </w:rPr>
        <w:t xml:space="preserve">AI firms rely heavily on high-performance, energy hungry computing chips. Control over infrastructure directly influences innovation capabilities, </w:t>
      </w:r>
      <w:proofErr w:type="spellStart"/>
      <w:r>
        <w:rPr>
          <w:sz w:val="24"/>
          <w:szCs w:val="24"/>
        </w:rPr>
        <w:t>costeffectiveness</w:t>
      </w:r>
      <w:proofErr w:type="spellEnd"/>
      <w:r>
        <w:rPr>
          <w:sz w:val="24"/>
          <w:szCs w:val="24"/>
        </w:rPr>
        <w:t xml:space="preserve"> and ultimately </w:t>
      </w:r>
      <w:proofErr w:type="spellStart"/>
      <w:r>
        <w:rPr>
          <w:sz w:val="24"/>
          <w:szCs w:val="24"/>
        </w:rPr>
        <w:t>copetetitive</w:t>
      </w:r>
      <w:proofErr w:type="spellEnd"/>
      <w:r>
        <w:rPr>
          <w:sz w:val="24"/>
          <w:szCs w:val="24"/>
        </w:rPr>
        <w:t xml:space="preserve"> advantage. These technological advancements present both threats and opportunities to both actors. Pioneering companied that invest Billions into development and </w:t>
      </w:r>
      <w:proofErr w:type="spellStart"/>
      <w:r>
        <w:rPr>
          <w:sz w:val="24"/>
          <w:szCs w:val="24"/>
        </w:rPr>
        <w:t>traning</w:t>
      </w:r>
      <w:proofErr w:type="spellEnd"/>
      <w:r>
        <w:rPr>
          <w:sz w:val="24"/>
          <w:szCs w:val="24"/>
        </w:rPr>
        <w:t xml:space="preserve"> of massive AI models enjoy technological supremacy, first mover advantage and data feedback loop that acts as a barrier to entry for followers. Such </w:t>
      </w:r>
      <w:r>
        <w:rPr>
          <w:sz w:val="24"/>
          <w:szCs w:val="24"/>
        </w:rPr>
        <w:t>investments allowed OpenAI’s to capture 62.5% of the consumer AI market and establish market dominance by early 2025 (</w:t>
      </w:r>
      <w:proofErr w:type="spellStart"/>
      <w:r>
        <w:rPr>
          <w:sz w:val="24"/>
          <w:szCs w:val="24"/>
        </w:rPr>
        <w:t>Backlinko</w:t>
      </w:r>
      <w:proofErr w:type="spellEnd"/>
      <w:r>
        <w:rPr>
          <w:sz w:val="24"/>
          <w:szCs w:val="24"/>
        </w:rPr>
        <w:t xml:space="preserve">, 2025). These leaps </w:t>
      </w:r>
      <w:proofErr w:type="spellStart"/>
      <w:r>
        <w:rPr>
          <w:sz w:val="24"/>
          <w:szCs w:val="24"/>
        </w:rPr>
        <w:t>alllow</w:t>
      </w:r>
      <w:proofErr w:type="spellEnd"/>
      <w:r>
        <w:rPr>
          <w:sz w:val="24"/>
          <w:szCs w:val="24"/>
        </w:rPr>
        <w:t xml:space="preserve"> pioneers to set the industry standards and lock in the enterprise ecosystems. </w:t>
      </w:r>
      <w:proofErr w:type="spellStart"/>
      <w:proofErr w:type="gramStart"/>
      <w:r>
        <w:rPr>
          <w:sz w:val="24"/>
          <w:szCs w:val="24"/>
        </w:rPr>
        <w:t>However,the</w:t>
      </w:r>
      <w:proofErr w:type="spellEnd"/>
      <w:proofErr w:type="gramEnd"/>
      <w:r>
        <w:rPr>
          <w:sz w:val="24"/>
          <w:szCs w:val="24"/>
        </w:rPr>
        <w:t xml:space="preserve"> rapid pace of hardware improvements </w:t>
      </w:r>
      <w:proofErr w:type="gramStart"/>
      <w:r>
        <w:rPr>
          <w:sz w:val="24"/>
          <w:szCs w:val="24"/>
        </w:rPr>
        <w:t>create</w:t>
      </w:r>
      <w:proofErr w:type="gramEnd"/>
      <w:r>
        <w:rPr>
          <w:sz w:val="24"/>
          <w:szCs w:val="24"/>
        </w:rPr>
        <w:t xml:space="preserve"> massive risk as current most advance chips become obsolete within few months. For example, Pioneers risking billions on current H100 GPU clusters face "stranded assets" as newer and 30x more efficient NVIDIA Blackwell chips </w:t>
      </w:r>
      <w:r>
        <w:rPr>
          <w:sz w:val="24"/>
          <w:szCs w:val="24"/>
        </w:rPr>
        <w:t>render previous infrastructure inefficient (</w:t>
      </w:r>
      <w:proofErr w:type="spellStart"/>
      <w:r>
        <w:rPr>
          <w:sz w:val="24"/>
          <w:szCs w:val="24"/>
        </w:rPr>
        <w:t>NVDIa</w:t>
      </w:r>
      <w:proofErr w:type="spellEnd"/>
      <w:r>
        <w:rPr>
          <w:sz w:val="24"/>
          <w:szCs w:val="24"/>
        </w:rPr>
        <w:t xml:space="preserve">, 2024). </w:t>
      </w:r>
      <w:proofErr w:type="spellStart"/>
      <w:proofErr w:type="gramStart"/>
      <w:r>
        <w:rPr>
          <w:sz w:val="24"/>
          <w:szCs w:val="24"/>
        </w:rPr>
        <w:t>Conversely,the</w:t>
      </w:r>
      <w:proofErr w:type="spellEnd"/>
      <w:proofErr w:type="gramEnd"/>
      <w:r>
        <w:rPr>
          <w:sz w:val="24"/>
          <w:szCs w:val="24"/>
        </w:rPr>
        <w:t xml:space="preserve"> democratisation of AI technology significantly lowers barriers for follower companies. </w:t>
      </w:r>
      <w:proofErr w:type="spellStart"/>
      <w:r>
        <w:rPr>
          <w:sz w:val="24"/>
          <w:szCs w:val="24"/>
        </w:rPr>
        <w:t>Currrently</w:t>
      </w:r>
      <w:proofErr w:type="spellEnd"/>
      <w:r>
        <w:rPr>
          <w:sz w:val="24"/>
          <w:szCs w:val="24"/>
        </w:rPr>
        <w:t xml:space="preserve">, open-source </w:t>
      </w:r>
      <w:proofErr w:type="gramStart"/>
      <w:r>
        <w:rPr>
          <w:sz w:val="24"/>
          <w:szCs w:val="24"/>
        </w:rPr>
        <w:t>models  have</w:t>
      </w:r>
      <w:proofErr w:type="gramEnd"/>
      <w:r>
        <w:rPr>
          <w:sz w:val="24"/>
          <w:szCs w:val="24"/>
        </w:rPr>
        <w:t xml:space="preserve"> reached cost-performance parity with proprietary systems, enabling followers to capitalise on pioneers’ R&amp;D without massive capital investments on training base models (IBM, 2025).</w:t>
      </w:r>
      <w:r>
        <w:rPr>
          <w:sz w:val="24"/>
          <w:szCs w:val="24"/>
        </w:rPr>
        <w:br/>
      </w:r>
    </w:p>
    <w:p w14:paraId="63769ACA" w14:textId="77777777" w:rsidR="003B0561" w:rsidRDefault="00AB1B62">
      <w:pPr>
        <w:spacing w:after="200" w:line="360" w:lineRule="auto"/>
        <w:jc w:val="both"/>
      </w:pPr>
      <w:r>
        <w:rPr>
          <w:b/>
          <w:sz w:val="24"/>
          <w:szCs w:val="24"/>
        </w:rPr>
        <w:t xml:space="preserve">Implications for </w:t>
      </w:r>
      <w:proofErr w:type="gramStart"/>
      <w:r>
        <w:rPr>
          <w:b/>
          <w:sz w:val="24"/>
          <w:szCs w:val="24"/>
        </w:rPr>
        <w:t>Pioneers :</w:t>
      </w:r>
      <w:proofErr w:type="gramEnd"/>
      <w:r>
        <w:rPr>
          <w:sz w:val="24"/>
          <w:szCs w:val="24"/>
        </w:rPr>
        <w:t xml:space="preserve"> Pioneer organisations must spend billions on R&amp;D to stay ahead. They set the benchmarks and new norms for reasoning, multimodality and "Agentic AI workflows” that lock customers into their proprie</w:t>
      </w:r>
      <w:r>
        <w:rPr>
          <w:sz w:val="24"/>
          <w:szCs w:val="24"/>
        </w:rPr>
        <w:lastRenderedPageBreak/>
        <w:t>tary stack. They can effectively define the operating system for all future AI by leveraging their superior foundation models (e.g., GPT-4/5) to create the first robust frameworks. High-performing organizations are already redesigning workflows around these agentic systems, creating a dependency that all</w:t>
      </w:r>
      <w:r>
        <w:rPr>
          <w:sz w:val="24"/>
          <w:szCs w:val="24"/>
        </w:rPr>
        <w:t>ows Pioneers to dictate API standards and capture long-term value. (</w:t>
      </w:r>
      <w:proofErr w:type="spellStart"/>
      <w:r>
        <w:rPr>
          <w:sz w:val="24"/>
          <w:szCs w:val="24"/>
        </w:rPr>
        <w:t>Mckinsey</w:t>
      </w:r>
      <w:proofErr w:type="spellEnd"/>
      <w:r>
        <w:rPr>
          <w:sz w:val="24"/>
          <w:szCs w:val="24"/>
        </w:rPr>
        <w:t>, 2025).</w:t>
      </w:r>
    </w:p>
    <w:p w14:paraId="581D3530" w14:textId="77777777" w:rsidR="003B0561" w:rsidRDefault="00AB1B62">
      <w:pPr>
        <w:spacing w:after="200" w:line="360" w:lineRule="auto"/>
        <w:jc w:val="both"/>
      </w:pPr>
      <w:r>
        <w:rPr>
          <w:b/>
          <w:sz w:val="24"/>
          <w:szCs w:val="24"/>
        </w:rPr>
        <w:t xml:space="preserve">Implications for </w:t>
      </w:r>
      <w:proofErr w:type="gramStart"/>
      <w:r>
        <w:rPr>
          <w:b/>
          <w:sz w:val="24"/>
          <w:szCs w:val="24"/>
        </w:rPr>
        <w:t>Follower :</w:t>
      </w:r>
      <w:proofErr w:type="gramEnd"/>
      <w:r>
        <w:rPr>
          <w:sz w:val="24"/>
          <w:szCs w:val="24"/>
        </w:rPr>
        <w:t xml:space="preserve"> Following firms must leverage Hybrid Architecture strategy to maintain cost-efficiency and agility. Pioneers have already invested in R&amp;</w:t>
      </w:r>
      <w:proofErr w:type="gramStart"/>
      <w:r>
        <w:rPr>
          <w:sz w:val="24"/>
          <w:szCs w:val="24"/>
        </w:rPr>
        <w:t>D,</w:t>
      </w:r>
      <w:proofErr w:type="gramEnd"/>
      <w:r>
        <w:rPr>
          <w:sz w:val="24"/>
          <w:szCs w:val="24"/>
        </w:rPr>
        <w:t xml:space="preserve"> followers can adopt those proven to work models or use opensource ones. Followers can run smaller but efficient small models locally to avoid high </w:t>
      </w:r>
      <w:proofErr w:type="spellStart"/>
      <w:r>
        <w:rPr>
          <w:sz w:val="24"/>
          <w:szCs w:val="24"/>
        </w:rPr>
        <w:t>infrastrucutre</w:t>
      </w:r>
      <w:proofErr w:type="spellEnd"/>
      <w:r>
        <w:rPr>
          <w:sz w:val="24"/>
          <w:szCs w:val="24"/>
        </w:rPr>
        <w:t xml:space="preserve"> costs and privacy risks. Instead of building the foundational model itself, </w:t>
      </w:r>
      <w:proofErr w:type="spellStart"/>
      <w:r>
        <w:rPr>
          <w:sz w:val="24"/>
          <w:szCs w:val="24"/>
        </w:rPr>
        <w:t>follwers</w:t>
      </w:r>
      <w:proofErr w:type="spellEnd"/>
      <w:r>
        <w:rPr>
          <w:sz w:val="24"/>
          <w:szCs w:val="24"/>
        </w:rPr>
        <w:t xml:space="preserve"> can also focus on </w:t>
      </w:r>
      <w:proofErr w:type="gramStart"/>
      <w:r>
        <w:rPr>
          <w:sz w:val="24"/>
          <w:szCs w:val="24"/>
        </w:rPr>
        <w:t>‘ Applications</w:t>
      </w:r>
      <w:proofErr w:type="gramEnd"/>
      <w:r>
        <w:rPr>
          <w:sz w:val="24"/>
          <w:szCs w:val="24"/>
        </w:rPr>
        <w:t xml:space="preserve"> of AI Models’ – tuning foundation models for specific datasets or industry-</w:t>
      </w:r>
      <w:proofErr w:type="spellStart"/>
      <w:r>
        <w:rPr>
          <w:sz w:val="24"/>
          <w:szCs w:val="24"/>
        </w:rPr>
        <w:t>usecase</w:t>
      </w:r>
      <w:r>
        <w:rPr>
          <w:sz w:val="24"/>
          <w:szCs w:val="24"/>
        </w:rPr>
        <w:t>s</w:t>
      </w:r>
      <w:proofErr w:type="spellEnd"/>
      <w:r>
        <w:rPr>
          <w:sz w:val="24"/>
          <w:szCs w:val="24"/>
        </w:rPr>
        <w:t>. Apple has partnered with OpenAI to incorporate it’s ChatGPT in the apple intelligence. Vanguard, for example, did not build a model from scratch but applied AI to content personalization, achieving a 176% increase in engagement by focusing on application rather than training (Adobe, 2025).</w:t>
      </w:r>
      <w:r>
        <w:rPr>
          <w:sz w:val="24"/>
          <w:szCs w:val="24"/>
        </w:rPr>
        <w:br/>
      </w:r>
    </w:p>
    <w:p w14:paraId="738E4B4D" w14:textId="77777777" w:rsidR="003B0561" w:rsidRDefault="00AB1B62">
      <w:pPr>
        <w:spacing w:after="200" w:line="360" w:lineRule="auto"/>
        <w:jc w:val="both"/>
      </w:pPr>
      <w:proofErr w:type="gramStart"/>
      <w:r>
        <w:rPr>
          <w:b/>
          <w:sz w:val="24"/>
          <w:szCs w:val="24"/>
        </w:rPr>
        <w:t>Legal :</w:t>
      </w:r>
      <w:proofErr w:type="gramEnd"/>
      <w:r>
        <w:rPr>
          <w:sz w:val="24"/>
          <w:szCs w:val="24"/>
        </w:rPr>
        <w:br/>
      </w:r>
      <w:r>
        <w:rPr>
          <w:sz w:val="24"/>
          <w:szCs w:val="24"/>
        </w:rPr>
        <w:br/>
        <w:t xml:space="preserve">The legal landscape creates liability asymmetry between </w:t>
      </w:r>
      <w:proofErr w:type="spellStart"/>
      <w:r>
        <w:rPr>
          <w:sz w:val="24"/>
          <w:szCs w:val="24"/>
        </w:rPr>
        <w:t>prioneers</w:t>
      </w:r>
      <w:proofErr w:type="spellEnd"/>
      <w:r>
        <w:rPr>
          <w:sz w:val="24"/>
          <w:szCs w:val="24"/>
        </w:rPr>
        <w:t xml:space="preserve"> and followers. Even after </w:t>
      </w:r>
      <w:proofErr w:type="spellStart"/>
      <w:r>
        <w:rPr>
          <w:sz w:val="24"/>
          <w:szCs w:val="24"/>
        </w:rPr>
        <w:t>trainig</w:t>
      </w:r>
      <w:proofErr w:type="spellEnd"/>
      <w:r>
        <w:rPr>
          <w:sz w:val="24"/>
          <w:szCs w:val="24"/>
        </w:rPr>
        <w:t xml:space="preserve"> the frontier models, </w:t>
      </w:r>
      <w:proofErr w:type="gramStart"/>
      <w:r>
        <w:rPr>
          <w:sz w:val="24"/>
          <w:szCs w:val="24"/>
        </w:rPr>
        <w:t>Pioneering</w:t>
      </w:r>
      <w:proofErr w:type="gramEnd"/>
      <w:r>
        <w:rPr>
          <w:sz w:val="24"/>
          <w:szCs w:val="24"/>
        </w:rPr>
        <w:t xml:space="preserve"> firms face legal risks on existential level because of copyright infringement laws and data sources regulations. Anthropic had to agree to a $1.5 billion settlement in a class-action lawsuit with Bartz to resolve the claim of training their AI model on pirated books </w:t>
      </w:r>
      <w:proofErr w:type="gramStart"/>
      <w:r>
        <w:rPr>
          <w:sz w:val="24"/>
          <w:szCs w:val="24"/>
        </w:rPr>
        <w:t>( Copyright</w:t>
      </w:r>
      <w:proofErr w:type="gramEnd"/>
      <w:r>
        <w:rPr>
          <w:sz w:val="24"/>
          <w:szCs w:val="24"/>
        </w:rPr>
        <w:t xml:space="preserve"> Alliance, 2025). Followers are largely safe from these liability risks. The EU AI Act (2025) explic</w:t>
      </w:r>
      <w:r>
        <w:rPr>
          <w:sz w:val="24"/>
          <w:szCs w:val="24"/>
        </w:rPr>
        <w:t>itly differentia</w:t>
      </w:r>
      <w:r>
        <w:rPr>
          <w:sz w:val="24"/>
          <w:szCs w:val="24"/>
        </w:rPr>
        <w:lastRenderedPageBreak/>
        <w:t xml:space="preserve">tes between AI providers (Pioneers) and deployers (Followers), which grants significant "SME simplifications" and safe </w:t>
      </w:r>
      <w:proofErr w:type="spellStart"/>
      <w:r>
        <w:rPr>
          <w:sz w:val="24"/>
          <w:szCs w:val="24"/>
        </w:rPr>
        <w:t>harbors</w:t>
      </w:r>
      <w:proofErr w:type="spellEnd"/>
      <w:r>
        <w:rPr>
          <w:sz w:val="24"/>
          <w:szCs w:val="24"/>
        </w:rPr>
        <w:t xml:space="preserve"> to following organisations if they use compliant, pre-vetted models (European Commission, 2025). So, while pioneers are bogged down with such legal issues, followers can avoid them by adopting de-</w:t>
      </w:r>
      <w:proofErr w:type="spellStart"/>
      <w:r>
        <w:rPr>
          <w:sz w:val="24"/>
          <w:szCs w:val="24"/>
        </w:rPr>
        <w:t>resiked</w:t>
      </w:r>
      <w:proofErr w:type="spellEnd"/>
      <w:r>
        <w:rPr>
          <w:sz w:val="24"/>
          <w:szCs w:val="24"/>
        </w:rPr>
        <w:t>, legally vetted tools to innovate in specific sectors without compliance burden or training their models.</w:t>
      </w:r>
    </w:p>
    <w:p w14:paraId="34EBB326" w14:textId="77777777" w:rsidR="003B0561" w:rsidRDefault="00AB1B62">
      <w:pPr>
        <w:spacing w:after="200" w:line="360" w:lineRule="auto"/>
        <w:jc w:val="both"/>
      </w:pPr>
      <w:r>
        <w:rPr>
          <w:b/>
          <w:sz w:val="24"/>
          <w:szCs w:val="24"/>
        </w:rPr>
        <w:t>Implications for Pioneers:</w:t>
      </w:r>
      <w:r>
        <w:rPr>
          <w:sz w:val="24"/>
          <w:szCs w:val="24"/>
        </w:rPr>
        <w:t xml:space="preserve"> Pioneers can no longer use ‘Fair Use </w:t>
      </w:r>
      <w:proofErr w:type="gramStart"/>
      <w:r>
        <w:rPr>
          <w:sz w:val="24"/>
          <w:szCs w:val="24"/>
        </w:rPr>
        <w:t>policies ’</w:t>
      </w:r>
      <w:proofErr w:type="gramEnd"/>
      <w:r>
        <w:rPr>
          <w:sz w:val="24"/>
          <w:szCs w:val="24"/>
        </w:rPr>
        <w:t xml:space="preserve"> as their legal </w:t>
      </w:r>
      <w:proofErr w:type="spellStart"/>
      <w:r>
        <w:rPr>
          <w:sz w:val="24"/>
          <w:szCs w:val="24"/>
        </w:rPr>
        <w:t>defense</w:t>
      </w:r>
      <w:proofErr w:type="spellEnd"/>
      <w:r>
        <w:rPr>
          <w:sz w:val="24"/>
          <w:szCs w:val="24"/>
        </w:rPr>
        <w:t xml:space="preserve">. OpenAI signed a </w:t>
      </w:r>
      <w:proofErr w:type="spellStart"/>
      <w:r>
        <w:rPr>
          <w:sz w:val="24"/>
          <w:szCs w:val="24"/>
        </w:rPr>
        <w:t>multi year</w:t>
      </w:r>
      <w:proofErr w:type="spellEnd"/>
      <w:r>
        <w:rPr>
          <w:sz w:val="24"/>
          <w:szCs w:val="24"/>
        </w:rPr>
        <w:t xml:space="preserve"> partnership deal with </w:t>
      </w:r>
      <w:proofErr w:type="spellStart"/>
      <w:r>
        <w:rPr>
          <w:sz w:val="24"/>
          <w:szCs w:val="24"/>
        </w:rPr>
        <w:t>newscorp</w:t>
      </w:r>
      <w:proofErr w:type="spellEnd"/>
      <w:r>
        <w:rPr>
          <w:sz w:val="24"/>
          <w:szCs w:val="24"/>
        </w:rPr>
        <w:t xml:space="preserve"> to clean their data supply-chains (</w:t>
      </w:r>
      <w:proofErr w:type="spellStart"/>
      <w:r>
        <w:rPr>
          <w:sz w:val="24"/>
          <w:szCs w:val="24"/>
        </w:rPr>
        <w:t>Newscorp</w:t>
      </w:r>
      <w:proofErr w:type="spellEnd"/>
      <w:r>
        <w:rPr>
          <w:sz w:val="24"/>
          <w:szCs w:val="24"/>
        </w:rPr>
        <w:t xml:space="preserve">, 2024). Pioneers who successfully invest in costly compliance (data governance, model cards, transparency) can sell these trust features as a ‘Compliance layer’ to followers. Systemic compliance becomes a high-value product, creating a strong differentiator against smaller, less-regulated competitors (EY India, 2025). </w:t>
      </w:r>
    </w:p>
    <w:p w14:paraId="51447B1E" w14:textId="77777777" w:rsidR="003B0561" w:rsidRDefault="00AB1B62">
      <w:pPr>
        <w:spacing w:after="200" w:line="360" w:lineRule="auto"/>
        <w:jc w:val="both"/>
      </w:pPr>
      <w:r>
        <w:rPr>
          <w:b/>
          <w:sz w:val="24"/>
          <w:szCs w:val="24"/>
        </w:rPr>
        <w:t>Implications for Follower:</w:t>
      </w:r>
      <w:r>
        <w:rPr>
          <w:sz w:val="24"/>
          <w:szCs w:val="24"/>
        </w:rPr>
        <w:t xml:space="preserve"> This presents an Opportunity for followers to build trust and position </w:t>
      </w:r>
      <w:proofErr w:type="spellStart"/>
      <w:r>
        <w:rPr>
          <w:sz w:val="24"/>
          <w:szCs w:val="24"/>
        </w:rPr>
        <w:t>them selves</w:t>
      </w:r>
      <w:proofErr w:type="spellEnd"/>
      <w:r>
        <w:rPr>
          <w:sz w:val="24"/>
          <w:szCs w:val="24"/>
        </w:rPr>
        <w:t xml:space="preserve"> better. Apple markets itself as "Privacy First" and "Ethical." By coming late, they can build models on licensed data or private user data (on-device), avoiding the copyright legal battles that pioneers face. Followers must adopt ‘clean supply chain’ strategy. They can also outsource the legal liability by </w:t>
      </w:r>
      <w:proofErr w:type="spellStart"/>
      <w:r>
        <w:rPr>
          <w:sz w:val="24"/>
          <w:szCs w:val="24"/>
        </w:rPr>
        <w:t>shofting</w:t>
      </w:r>
      <w:proofErr w:type="spellEnd"/>
      <w:r>
        <w:rPr>
          <w:sz w:val="24"/>
          <w:szCs w:val="24"/>
        </w:rPr>
        <w:t xml:space="preserve"> to enterprise grade APIs.</w:t>
      </w:r>
    </w:p>
    <w:p w14:paraId="4B33FE39" w14:textId="77777777" w:rsidR="003B0561" w:rsidRDefault="003B0561">
      <w:pPr>
        <w:spacing w:after="200" w:line="360" w:lineRule="auto"/>
        <w:jc w:val="both"/>
      </w:pPr>
    </w:p>
    <w:p w14:paraId="24AC9FC2" w14:textId="77777777" w:rsidR="003B0561" w:rsidRDefault="00AB1B62">
      <w:pPr>
        <w:pStyle w:val="Heading1"/>
        <w:rPr>
          <w:rFonts w:ascii="Arial" w:eastAsia="Arial" w:hAnsi="Arial" w:cs="Arial"/>
        </w:rPr>
      </w:pPr>
      <w:r>
        <w:rPr>
          <w:rFonts w:ascii="Arial" w:eastAsia="Arial" w:hAnsi="Arial" w:cs="Arial"/>
        </w:rPr>
        <w:t xml:space="preserve">5.0.  </w:t>
      </w:r>
      <w:hyperlink w:anchor="_nmo54v3xfa7l">
        <w:r>
          <w:rPr>
            <w:rFonts w:ascii="Arial" w:eastAsia="Arial" w:hAnsi="Arial" w:cs="Arial"/>
            <w:color w:val="000000"/>
          </w:rPr>
          <w:t>S</w:t>
        </w:r>
      </w:hyperlink>
      <w:r>
        <w:rPr>
          <w:rFonts w:ascii="Arial" w:eastAsia="Arial" w:hAnsi="Arial" w:cs="Arial"/>
          <w:color w:val="000000"/>
        </w:rPr>
        <w:t>trategic responses</w:t>
      </w:r>
    </w:p>
    <w:p w14:paraId="0D79A128" w14:textId="77777777" w:rsidR="003B0561" w:rsidRDefault="00AB1B62">
      <w:pPr>
        <w:pStyle w:val="Heading2"/>
        <w:rPr>
          <w:rFonts w:ascii="Arial" w:eastAsia="Arial" w:hAnsi="Arial" w:cs="Arial"/>
        </w:rPr>
      </w:pPr>
      <w:r>
        <w:rPr>
          <w:rFonts w:ascii="Arial" w:eastAsia="Arial" w:hAnsi="Arial" w:cs="Arial"/>
        </w:rPr>
        <w:t xml:space="preserve">5.1 How </w:t>
      </w:r>
      <w:r>
        <w:rPr>
          <w:rFonts w:ascii="Arial" w:eastAsia="Arial" w:hAnsi="Arial" w:cs="Arial"/>
          <w:color w:val="000000"/>
        </w:rPr>
        <w:t>Pioneer organisations’ Respond Strategically</w:t>
      </w:r>
    </w:p>
    <w:p w14:paraId="0E28408B"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Ansoff’s Growth Matrix</w:t>
      </w:r>
    </w:p>
    <w:p w14:paraId="3940D323"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Market Penetration (Existing Products / Existing Markets)</w:t>
      </w:r>
    </w:p>
    <w:p w14:paraId="06F0B9DD" w14:textId="77777777" w:rsidR="003B0561" w:rsidRDefault="00AB1B62">
      <w:pPr>
        <w:spacing w:after="200" w:line="360" w:lineRule="auto"/>
        <w:jc w:val="both"/>
        <w:rPr>
          <w:sz w:val="24"/>
          <w:szCs w:val="24"/>
        </w:rPr>
      </w:pPr>
      <w:r>
        <w:rPr>
          <w:sz w:val="24"/>
          <w:szCs w:val="24"/>
        </w:rPr>
        <w:lastRenderedPageBreak/>
        <w:t>According to Market Penetration strategy from Ansoff’s Growth Matrix, AI companies can push faster, cheaper and more capable versions of their existing models to attract more users.</w:t>
      </w:r>
      <w:r>
        <w:rPr>
          <w:sz w:val="24"/>
          <w:szCs w:val="24"/>
        </w:rPr>
        <w:br/>
        <w:t xml:space="preserve">Open AI launched GPT-4, A more affordable and multimodal version to increase adoption among existing enterprise and consumer users, which reached 700 </w:t>
      </w:r>
      <w:proofErr w:type="gramStart"/>
      <w:r>
        <w:rPr>
          <w:sz w:val="24"/>
          <w:szCs w:val="24"/>
        </w:rPr>
        <w:t>Million</w:t>
      </w:r>
      <w:proofErr w:type="gramEnd"/>
      <w:r>
        <w:rPr>
          <w:sz w:val="24"/>
          <w:szCs w:val="24"/>
        </w:rPr>
        <w:t xml:space="preserve"> users by 2025 (OpenAI, 2025).</w:t>
      </w:r>
    </w:p>
    <w:p w14:paraId="5C170616"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 xml:space="preserve">Product Development (New Products / </w:t>
      </w:r>
      <w:proofErr w:type="gramStart"/>
      <w:r>
        <w:rPr>
          <w:b/>
          <w:color w:val="000000"/>
          <w:sz w:val="24"/>
          <w:szCs w:val="24"/>
        </w:rPr>
        <w:t>Existing  Markets</w:t>
      </w:r>
      <w:proofErr w:type="gramEnd"/>
      <w:r>
        <w:rPr>
          <w:b/>
          <w:color w:val="000000"/>
          <w:sz w:val="24"/>
          <w:szCs w:val="24"/>
        </w:rPr>
        <w:t>)</w:t>
      </w:r>
    </w:p>
    <w:p w14:paraId="7A5159AC" w14:textId="77777777" w:rsidR="003B0561" w:rsidRDefault="00AB1B62">
      <w:pPr>
        <w:spacing w:after="200" w:line="360" w:lineRule="auto"/>
        <w:jc w:val="both"/>
        <w:rPr>
          <w:sz w:val="24"/>
          <w:szCs w:val="24"/>
        </w:rPr>
      </w:pPr>
      <w:r>
        <w:rPr>
          <w:sz w:val="24"/>
          <w:szCs w:val="24"/>
        </w:rPr>
        <w:t xml:space="preserve">Pioneers can </w:t>
      </w:r>
      <w:proofErr w:type="spellStart"/>
      <w:r>
        <w:rPr>
          <w:sz w:val="24"/>
          <w:szCs w:val="24"/>
        </w:rPr>
        <w:t>laverage</w:t>
      </w:r>
      <w:proofErr w:type="spellEnd"/>
      <w:r>
        <w:rPr>
          <w:sz w:val="24"/>
          <w:szCs w:val="24"/>
        </w:rPr>
        <w:t xml:space="preserve"> their huge capital investments to develop new AI products that expands capabilities of their AI offerings for the existing customers in the same markets. Open AI launched SORA – A new AI video generation model for their creative enterprises and users, who were already using ChatGPT. Google integrated Gemini into all Google Workspace apps which deepened the usage within its huge existing customer base without having to create new product offerings. Gemini reached 100 </w:t>
      </w:r>
      <w:proofErr w:type="gramStart"/>
      <w:r>
        <w:rPr>
          <w:sz w:val="24"/>
          <w:szCs w:val="24"/>
        </w:rPr>
        <w:t>Million</w:t>
      </w:r>
      <w:proofErr w:type="gramEnd"/>
      <w:r>
        <w:rPr>
          <w:sz w:val="24"/>
          <w:szCs w:val="24"/>
        </w:rPr>
        <w:t>+ global users within 3 m</w:t>
      </w:r>
      <w:r>
        <w:rPr>
          <w:sz w:val="24"/>
          <w:szCs w:val="24"/>
        </w:rPr>
        <w:t>onths and it is now integrated into 1.5 billion+ android devices (Google, 2025).</w:t>
      </w:r>
    </w:p>
    <w:p w14:paraId="1DEA19F7"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Market Development (Existing Products / New Markets)</w:t>
      </w:r>
    </w:p>
    <w:p w14:paraId="38F2E396" w14:textId="77777777" w:rsidR="003B0561" w:rsidRDefault="00AB1B62">
      <w:pPr>
        <w:spacing w:after="200" w:line="360" w:lineRule="auto"/>
        <w:jc w:val="both"/>
        <w:rPr>
          <w:sz w:val="24"/>
          <w:szCs w:val="24"/>
        </w:rPr>
      </w:pPr>
      <w:r>
        <w:rPr>
          <w:sz w:val="24"/>
          <w:szCs w:val="24"/>
        </w:rPr>
        <w:t>Pioneering companies can tune their existing technologies like LLM models, their AI tools or hardware to sell into new customer segment or industry. Microsoft adapted Copilot for education, healthcare and public sector use, and because of that nearly 70% of the Fortune 500 companies were using Microsoft 365 Copilot according to Microsoft (Microsoft, 2024).</w:t>
      </w:r>
      <w:r>
        <w:rPr>
          <w:sz w:val="24"/>
          <w:szCs w:val="24"/>
        </w:rPr>
        <w:br/>
        <w:t xml:space="preserve">NVDIA rebranded and optimized their existing gaming GPU architecture for Data </w:t>
      </w:r>
      <w:proofErr w:type="spellStart"/>
      <w:r>
        <w:rPr>
          <w:sz w:val="24"/>
          <w:szCs w:val="24"/>
        </w:rPr>
        <w:t>Centers</w:t>
      </w:r>
      <w:proofErr w:type="spellEnd"/>
      <w:r>
        <w:rPr>
          <w:sz w:val="24"/>
          <w:szCs w:val="24"/>
        </w:rPr>
        <w:t xml:space="preserve"> and Cloud Providers (AWS, Azure) and established market dominance by capturing 98% </w:t>
      </w:r>
      <w:proofErr w:type="spellStart"/>
      <w:r>
        <w:rPr>
          <w:sz w:val="24"/>
          <w:szCs w:val="24"/>
        </w:rPr>
        <w:t>marketshare</w:t>
      </w:r>
      <w:proofErr w:type="spellEnd"/>
      <w:r>
        <w:rPr>
          <w:sz w:val="24"/>
          <w:szCs w:val="24"/>
        </w:rPr>
        <w:t xml:space="preserve"> in data </w:t>
      </w:r>
      <w:proofErr w:type="spellStart"/>
      <w:r>
        <w:rPr>
          <w:sz w:val="24"/>
          <w:szCs w:val="24"/>
        </w:rPr>
        <w:t>center</w:t>
      </w:r>
      <w:proofErr w:type="spellEnd"/>
      <w:r>
        <w:rPr>
          <w:sz w:val="24"/>
          <w:szCs w:val="24"/>
        </w:rPr>
        <w:t xml:space="preserve"> GPUs (Investing.com, 2025). They essentially developed the new market and expanded into multiple non-rel</w:t>
      </w:r>
      <w:r>
        <w:rPr>
          <w:sz w:val="24"/>
          <w:szCs w:val="24"/>
        </w:rPr>
        <w:lastRenderedPageBreak/>
        <w:t>ated industries like automotive (Mercedes-Benz) and logistics (Domina), selling existing AI compute power to optimize supply chains and self-driving tech. This strategy alone shifted their primary revenue source</w:t>
      </w:r>
      <w:r>
        <w:rPr>
          <w:sz w:val="24"/>
          <w:szCs w:val="24"/>
        </w:rPr>
        <w:t>.</w:t>
      </w:r>
    </w:p>
    <w:p w14:paraId="5911B693"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Diversification (New Products &amp; New Markets)</w:t>
      </w:r>
    </w:p>
    <w:p w14:paraId="17961160" w14:textId="77777777" w:rsidR="003B0561" w:rsidRDefault="00AB1B62">
      <w:pPr>
        <w:spacing w:after="200" w:line="360" w:lineRule="auto"/>
        <w:jc w:val="both"/>
        <w:rPr>
          <w:sz w:val="24"/>
          <w:szCs w:val="24"/>
        </w:rPr>
      </w:pPr>
      <w:r>
        <w:rPr>
          <w:sz w:val="24"/>
          <w:szCs w:val="24"/>
        </w:rPr>
        <w:t>This is the riskiest strategy with high risk – high reward potential, where a pioneer company can either create or enter into entirely new customer or market segment with entirely new product. NVIDIA is moving from GPUs into robotics and humanoid-robot foundation models with Project GR00T. Which is a major shift from chips and software to new product and new market territory (NVDIA, 2024).</w:t>
      </w:r>
    </w:p>
    <w:p w14:paraId="73255FE5"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Porter’s Generic Strategies</w:t>
      </w:r>
    </w:p>
    <w:p w14:paraId="7BDCD417"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Cost Leadership Strategy</w:t>
      </w:r>
    </w:p>
    <w:p w14:paraId="61C178F4" w14:textId="77777777" w:rsidR="003B0561" w:rsidRDefault="00AB1B62">
      <w:pPr>
        <w:pBdr>
          <w:top w:val="nil"/>
          <w:left w:val="nil"/>
          <w:bottom w:val="nil"/>
          <w:right w:val="nil"/>
          <w:between w:val="nil"/>
        </w:pBdr>
        <w:spacing w:after="160" w:line="360" w:lineRule="auto"/>
        <w:jc w:val="both"/>
        <w:rPr>
          <w:color w:val="000000"/>
          <w:sz w:val="24"/>
          <w:szCs w:val="24"/>
        </w:rPr>
      </w:pPr>
      <w:r>
        <w:rPr>
          <w:color w:val="000000"/>
          <w:sz w:val="24"/>
          <w:szCs w:val="24"/>
        </w:rPr>
        <w:t xml:space="preserve">Through this strategy, Pioneers aim to achieve the lowest cost of production in the industry, allowing the company to either undercut competitors on price or maintain industry-average prices while achieving higher margins through economy of scale. Pioneer companies like Google, Amazon and meta achieve cost leadership by designing their own specialized AI chips (Google TPU, Amazon </w:t>
      </w:r>
      <w:proofErr w:type="spellStart"/>
      <w:r>
        <w:rPr>
          <w:color w:val="000000"/>
          <w:sz w:val="24"/>
          <w:szCs w:val="24"/>
        </w:rPr>
        <w:t>Inferentia</w:t>
      </w:r>
      <w:proofErr w:type="spellEnd"/>
      <w:r>
        <w:rPr>
          <w:color w:val="000000"/>
          <w:sz w:val="24"/>
          <w:szCs w:val="24"/>
        </w:rPr>
        <w:t xml:space="preserve">) and integrating them into their cloud infrastructure. This vertical integration reduces cost at scale and </w:t>
      </w:r>
      <w:proofErr w:type="gramStart"/>
      <w:r>
        <w:rPr>
          <w:color w:val="000000"/>
          <w:sz w:val="24"/>
          <w:szCs w:val="24"/>
        </w:rPr>
        <w:t>make</w:t>
      </w:r>
      <w:proofErr w:type="gramEnd"/>
      <w:r>
        <w:rPr>
          <w:color w:val="000000"/>
          <w:sz w:val="24"/>
          <w:szCs w:val="24"/>
        </w:rPr>
        <w:t xml:space="preserve"> their cloud AI services cost-effective for end users. </w:t>
      </w:r>
      <w:r>
        <w:rPr>
          <w:color w:val="000000"/>
          <w:sz w:val="24"/>
          <w:szCs w:val="24"/>
        </w:rPr>
        <w:br/>
        <w:t>The open-source movement in the AI landscape that offers AI models essentially for free. It is heavily pioneered by Meta and others to put cost pressure for commercial model providers and prioritizes low operational cost and deployment flexibility over peak performance (e.g., deploying small models on edge devices).</w:t>
      </w:r>
    </w:p>
    <w:p w14:paraId="564A198E"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Differentiation Strategy</w:t>
      </w:r>
    </w:p>
    <w:p w14:paraId="73C35285" w14:textId="77777777" w:rsidR="003B0561" w:rsidRDefault="00AB1B62">
      <w:pPr>
        <w:pBdr>
          <w:top w:val="nil"/>
          <w:left w:val="nil"/>
          <w:bottom w:val="nil"/>
          <w:right w:val="nil"/>
          <w:between w:val="nil"/>
        </w:pBdr>
        <w:spacing w:after="160" w:line="360" w:lineRule="auto"/>
        <w:jc w:val="both"/>
        <w:rPr>
          <w:color w:val="000000"/>
          <w:sz w:val="24"/>
          <w:szCs w:val="24"/>
        </w:rPr>
      </w:pPr>
      <w:r>
        <w:rPr>
          <w:color w:val="000000"/>
          <w:sz w:val="24"/>
          <w:szCs w:val="24"/>
        </w:rPr>
        <w:lastRenderedPageBreak/>
        <w:t xml:space="preserve">Pioneering companies can leverage their technical lead and massive data resources to provide unique or superior products to position </w:t>
      </w:r>
      <w:proofErr w:type="spellStart"/>
      <w:r>
        <w:rPr>
          <w:color w:val="000000"/>
          <w:sz w:val="24"/>
          <w:szCs w:val="24"/>
        </w:rPr>
        <w:t>them selves</w:t>
      </w:r>
      <w:proofErr w:type="spellEnd"/>
      <w:r>
        <w:rPr>
          <w:color w:val="000000"/>
          <w:sz w:val="24"/>
          <w:szCs w:val="24"/>
        </w:rPr>
        <w:t xml:space="preserve"> better across the entire market and command the premium prices. NVDIA optimized it’s CUDA over 15+ years and created thousands of optimized libraries, which creates extremely high switching costs for competitors and it has allowed NVDIA to capture 90%+ market share in AI accelerators market (Investing.com, 2025). Follower organizations or competitors </w:t>
      </w:r>
      <w:proofErr w:type="spellStart"/>
      <w:r>
        <w:rPr>
          <w:color w:val="000000"/>
          <w:sz w:val="24"/>
          <w:szCs w:val="24"/>
        </w:rPr>
        <w:t>can not</w:t>
      </w:r>
      <w:proofErr w:type="spellEnd"/>
      <w:r>
        <w:rPr>
          <w:color w:val="000000"/>
          <w:sz w:val="24"/>
          <w:szCs w:val="24"/>
        </w:rPr>
        <w:t xml:space="preserve"> adapt quickly due to lack of required engineering expertise.</w:t>
      </w:r>
    </w:p>
    <w:p w14:paraId="2741B4C6"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Focus Strategy</w:t>
      </w:r>
    </w:p>
    <w:p w14:paraId="1EC0DE88" w14:textId="77777777" w:rsidR="003B0561" w:rsidRDefault="00AB1B62">
      <w:pPr>
        <w:pBdr>
          <w:top w:val="nil"/>
          <w:left w:val="nil"/>
          <w:bottom w:val="nil"/>
          <w:right w:val="nil"/>
          <w:between w:val="nil"/>
        </w:pBdr>
        <w:spacing w:after="160" w:line="360" w:lineRule="auto"/>
        <w:jc w:val="both"/>
        <w:rPr>
          <w:color w:val="000000"/>
          <w:sz w:val="24"/>
          <w:szCs w:val="24"/>
        </w:rPr>
      </w:pPr>
      <w:r>
        <w:rPr>
          <w:color w:val="000000"/>
          <w:sz w:val="24"/>
          <w:szCs w:val="24"/>
        </w:rPr>
        <w:t xml:space="preserve">Pioneer organizations can invest heavily in the costly foundation models or development of narrowly focused </w:t>
      </w:r>
      <w:proofErr w:type="gramStart"/>
      <w:r>
        <w:rPr>
          <w:color w:val="000000"/>
          <w:sz w:val="24"/>
          <w:szCs w:val="24"/>
        </w:rPr>
        <w:t>cutting edge</w:t>
      </w:r>
      <w:proofErr w:type="gramEnd"/>
      <w:r>
        <w:rPr>
          <w:color w:val="000000"/>
          <w:sz w:val="24"/>
          <w:szCs w:val="24"/>
        </w:rPr>
        <w:t xml:space="preserve"> technologies and dominate that niche through pricing or differentiation. OpenAI secured vast computational resources by partnering with Microsoft for their Azure cloud offerings, which allowed </w:t>
      </w:r>
      <w:proofErr w:type="spellStart"/>
      <w:r>
        <w:rPr>
          <w:color w:val="000000"/>
          <w:sz w:val="24"/>
          <w:szCs w:val="24"/>
        </w:rPr>
        <w:t>the</w:t>
      </w:r>
      <w:proofErr w:type="spellEnd"/>
      <w:r>
        <w:rPr>
          <w:color w:val="000000"/>
          <w:sz w:val="24"/>
          <w:szCs w:val="24"/>
        </w:rPr>
        <w:t xml:space="preserve"> to outsource capital-intensive infrastructure and focus on R&amp;D. Their </w:t>
      </w:r>
      <w:proofErr w:type="gramStart"/>
      <w:r>
        <w:rPr>
          <w:color w:val="000000"/>
          <w:sz w:val="24"/>
          <w:szCs w:val="24"/>
        </w:rPr>
        <w:t>cutting edge</w:t>
      </w:r>
      <w:proofErr w:type="gramEnd"/>
      <w:r>
        <w:rPr>
          <w:color w:val="000000"/>
          <w:sz w:val="24"/>
          <w:szCs w:val="24"/>
        </w:rPr>
        <w:t xml:space="preserve"> high performance foundational models allowed them to command premium API pricing and established OpenAI’s brand as the benchmark.</w:t>
      </w:r>
    </w:p>
    <w:p w14:paraId="6825CFA3" w14:textId="77777777" w:rsidR="003B0561" w:rsidRDefault="00AB1B62">
      <w:pPr>
        <w:pStyle w:val="Heading2"/>
        <w:rPr>
          <w:rFonts w:ascii="Arial" w:eastAsia="Arial" w:hAnsi="Arial" w:cs="Arial"/>
        </w:rPr>
      </w:pPr>
      <w:proofErr w:type="gramStart"/>
      <w:r>
        <w:rPr>
          <w:rFonts w:ascii="Arial" w:eastAsia="Arial" w:hAnsi="Arial" w:cs="Arial"/>
        </w:rPr>
        <w:t>5.2  How</w:t>
      </w:r>
      <w:proofErr w:type="gramEnd"/>
      <w:r>
        <w:rPr>
          <w:rFonts w:ascii="Arial" w:eastAsia="Arial" w:hAnsi="Arial" w:cs="Arial"/>
        </w:rPr>
        <w:t xml:space="preserve"> </w:t>
      </w:r>
      <w:r>
        <w:rPr>
          <w:rFonts w:ascii="Arial" w:eastAsia="Arial" w:hAnsi="Arial" w:cs="Arial"/>
          <w:color w:val="000000"/>
        </w:rPr>
        <w:t>Follower Organisations’ Respond Strategically</w:t>
      </w:r>
    </w:p>
    <w:p w14:paraId="0D9B7DF4"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Ansoff’s Growth Matrix</w:t>
      </w:r>
    </w:p>
    <w:p w14:paraId="213BB609"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Market Penetration (Existing Products / Existing Markets)</w:t>
      </w:r>
    </w:p>
    <w:p w14:paraId="0AC33A2F" w14:textId="77777777" w:rsidR="003B0561" w:rsidRDefault="00AB1B62">
      <w:pPr>
        <w:spacing w:after="200" w:line="360" w:lineRule="auto"/>
        <w:jc w:val="both"/>
        <w:rPr>
          <w:sz w:val="24"/>
          <w:szCs w:val="24"/>
        </w:rPr>
      </w:pPr>
      <w:r>
        <w:rPr>
          <w:sz w:val="24"/>
          <w:szCs w:val="24"/>
        </w:rPr>
        <w:t xml:space="preserve">While pioneers can </w:t>
      </w:r>
      <w:proofErr w:type="spellStart"/>
      <w:r>
        <w:rPr>
          <w:sz w:val="24"/>
          <w:szCs w:val="24"/>
        </w:rPr>
        <w:t>laverage</w:t>
      </w:r>
      <w:proofErr w:type="spellEnd"/>
      <w:r>
        <w:rPr>
          <w:sz w:val="24"/>
          <w:szCs w:val="24"/>
        </w:rPr>
        <w:t xml:space="preserve"> their superiority for market development or penetration, followers can compete with pioneers in the same markets through highly specialized product by finetuning pioneer’s </w:t>
      </w:r>
      <w:proofErr w:type="spellStart"/>
      <w:r>
        <w:rPr>
          <w:sz w:val="24"/>
          <w:szCs w:val="24"/>
        </w:rPr>
        <w:t>genral</w:t>
      </w:r>
      <w:proofErr w:type="spellEnd"/>
      <w:r>
        <w:rPr>
          <w:sz w:val="24"/>
          <w:szCs w:val="24"/>
        </w:rPr>
        <w:t xml:space="preserve"> purpose AI models with proprietary datasets or </w:t>
      </w:r>
      <w:proofErr w:type="spellStart"/>
      <w:r>
        <w:rPr>
          <w:sz w:val="24"/>
          <w:szCs w:val="24"/>
        </w:rPr>
        <w:t>sealessly</w:t>
      </w:r>
      <w:proofErr w:type="spellEnd"/>
      <w:r>
        <w:rPr>
          <w:sz w:val="24"/>
          <w:szCs w:val="24"/>
        </w:rPr>
        <w:t xml:space="preserve"> integrating them into client’s existing workflow </w:t>
      </w:r>
      <w:proofErr w:type="spellStart"/>
      <w:r>
        <w:rPr>
          <w:sz w:val="24"/>
          <w:szCs w:val="24"/>
        </w:rPr>
        <w:t>sfotware</w:t>
      </w:r>
      <w:proofErr w:type="spellEnd"/>
      <w:r>
        <w:rPr>
          <w:sz w:val="24"/>
          <w:szCs w:val="24"/>
        </w:rPr>
        <w:t>. Smaller follower organizations such as ‘Cursor’ or ‘Lovable’ offers AI coding agents that are using foundational models fr</w:t>
      </w:r>
      <w:r>
        <w:rPr>
          <w:sz w:val="24"/>
          <w:szCs w:val="24"/>
        </w:rPr>
        <w:lastRenderedPageBreak/>
        <w:t xml:space="preserve">om </w:t>
      </w:r>
      <w:proofErr w:type="gramStart"/>
      <w:r>
        <w:rPr>
          <w:sz w:val="24"/>
          <w:szCs w:val="24"/>
        </w:rPr>
        <w:t>pioneers(</w:t>
      </w:r>
      <w:proofErr w:type="gramEnd"/>
      <w:r>
        <w:rPr>
          <w:sz w:val="24"/>
          <w:szCs w:val="24"/>
        </w:rPr>
        <w:t>Google, OpenAI) but provides superior quality code in the software develop</w:t>
      </w:r>
      <w:r>
        <w:rPr>
          <w:sz w:val="24"/>
          <w:szCs w:val="24"/>
        </w:rPr>
        <w:t xml:space="preserve">ment industry. These tools have ability to access the entire codebase and make </w:t>
      </w:r>
      <w:proofErr w:type="spellStart"/>
      <w:r>
        <w:rPr>
          <w:sz w:val="24"/>
          <w:szCs w:val="24"/>
        </w:rPr>
        <w:t>nacessary</w:t>
      </w:r>
      <w:proofErr w:type="spellEnd"/>
      <w:r>
        <w:rPr>
          <w:sz w:val="24"/>
          <w:szCs w:val="24"/>
        </w:rPr>
        <w:t xml:space="preserve"> changes.</w:t>
      </w:r>
    </w:p>
    <w:p w14:paraId="7E9BD86A"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 xml:space="preserve">Product Development (New Products / </w:t>
      </w:r>
      <w:proofErr w:type="gramStart"/>
      <w:r>
        <w:rPr>
          <w:b/>
          <w:color w:val="000000"/>
          <w:sz w:val="24"/>
          <w:szCs w:val="24"/>
        </w:rPr>
        <w:t>Existing  Markets</w:t>
      </w:r>
      <w:proofErr w:type="gramEnd"/>
      <w:r>
        <w:rPr>
          <w:b/>
          <w:color w:val="000000"/>
          <w:sz w:val="24"/>
          <w:szCs w:val="24"/>
        </w:rPr>
        <w:t>)</w:t>
      </w:r>
    </w:p>
    <w:p w14:paraId="3BCA5551" w14:textId="77777777" w:rsidR="003B0561" w:rsidRDefault="00AB1B62">
      <w:pPr>
        <w:spacing w:after="200" w:line="360" w:lineRule="auto"/>
        <w:jc w:val="both"/>
        <w:rPr>
          <w:sz w:val="24"/>
          <w:szCs w:val="24"/>
        </w:rPr>
      </w:pPr>
      <w:r>
        <w:rPr>
          <w:sz w:val="24"/>
          <w:szCs w:val="24"/>
        </w:rPr>
        <w:t xml:space="preserve">Ansoff’s Growth Matrix indicates that followers can observe the markets created by pioneers and introduce new product of superior quality or user experience after careful analysis. Adobe integrated it’s AI offering as Adobe Firefly – a video/image generation model for existing adobe product </w:t>
      </w:r>
      <w:proofErr w:type="spellStart"/>
      <w:proofErr w:type="gramStart"/>
      <w:r>
        <w:rPr>
          <w:sz w:val="24"/>
          <w:szCs w:val="24"/>
        </w:rPr>
        <w:t>users.Sora</w:t>
      </w:r>
      <w:proofErr w:type="spellEnd"/>
      <w:proofErr w:type="gramEnd"/>
      <w:r>
        <w:rPr>
          <w:sz w:val="24"/>
          <w:szCs w:val="24"/>
        </w:rPr>
        <w:t xml:space="preserve"> and stable </w:t>
      </w:r>
      <w:proofErr w:type="spellStart"/>
      <w:r>
        <w:rPr>
          <w:sz w:val="24"/>
          <w:szCs w:val="24"/>
        </w:rPr>
        <w:t>diffustion</w:t>
      </w:r>
      <w:proofErr w:type="spellEnd"/>
      <w:r>
        <w:rPr>
          <w:sz w:val="24"/>
          <w:szCs w:val="24"/>
        </w:rPr>
        <w:t xml:space="preserve"> were available in the market but adobe’s model was well received because it was better aligned with creative vision, readily </w:t>
      </w:r>
      <w:proofErr w:type="spellStart"/>
      <w:r>
        <w:rPr>
          <w:sz w:val="24"/>
          <w:szCs w:val="24"/>
        </w:rPr>
        <w:t>avaiblable</w:t>
      </w:r>
      <w:proofErr w:type="spellEnd"/>
      <w:r>
        <w:rPr>
          <w:sz w:val="24"/>
          <w:szCs w:val="24"/>
        </w:rPr>
        <w:t xml:space="preserve"> in the adobe </w:t>
      </w:r>
      <w:proofErr w:type="gramStart"/>
      <w:r>
        <w:rPr>
          <w:sz w:val="24"/>
          <w:szCs w:val="24"/>
        </w:rPr>
        <w:t>apps(</w:t>
      </w:r>
      <w:proofErr w:type="gramEnd"/>
      <w:r>
        <w:rPr>
          <w:sz w:val="24"/>
          <w:szCs w:val="24"/>
        </w:rPr>
        <w:t>Distribution) and offered better results because of finetuning.</w:t>
      </w:r>
    </w:p>
    <w:p w14:paraId="5C37D32D"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Market Development (Existing Products / New Markets)</w:t>
      </w:r>
    </w:p>
    <w:p w14:paraId="64AD3B83" w14:textId="77777777" w:rsidR="003B0561" w:rsidRDefault="00AB1B62">
      <w:pPr>
        <w:spacing w:after="200" w:line="360" w:lineRule="auto"/>
        <w:jc w:val="both"/>
        <w:rPr>
          <w:sz w:val="24"/>
          <w:szCs w:val="24"/>
        </w:rPr>
      </w:pPr>
      <w:r>
        <w:rPr>
          <w:sz w:val="24"/>
          <w:szCs w:val="24"/>
        </w:rPr>
        <w:t xml:space="preserve">Followers can identify the markets where pioneer’s generic AI solutions are under-adopted, and then deploy a slightly tailored version of the existing technology which is proven to work. Descript – an </w:t>
      </w:r>
      <w:proofErr w:type="spellStart"/>
      <w:proofErr w:type="gramStart"/>
      <w:r>
        <w:rPr>
          <w:sz w:val="24"/>
          <w:szCs w:val="24"/>
        </w:rPr>
        <w:t>audio,video</w:t>
      </w:r>
      <w:proofErr w:type="spellEnd"/>
      <w:proofErr w:type="gramEnd"/>
      <w:r>
        <w:rPr>
          <w:sz w:val="24"/>
          <w:szCs w:val="24"/>
        </w:rPr>
        <w:t xml:space="preserve"> editing tool uses OpenAI’s whisper model for </w:t>
      </w:r>
      <w:proofErr w:type="spellStart"/>
      <w:proofErr w:type="gramStart"/>
      <w:r>
        <w:rPr>
          <w:sz w:val="24"/>
          <w:szCs w:val="24"/>
        </w:rPr>
        <w:t>it’s</w:t>
      </w:r>
      <w:proofErr w:type="spellEnd"/>
      <w:proofErr w:type="gramEnd"/>
      <w:r>
        <w:rPr>
          <w:sz w:val="24"/>
          <w:szCs w:val="24"/>
        </w:rPr>
        <w:t xml:space="preserve"> AI features such as transcription and edit video via text prompts.</w:t>
      </w:r>
    </w:p>
    <w:p w14:paraId="64D10C72"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Diversification (New Products &amp; New Markets)</w:t>
      </w:r>
    </w:p>
    <w:p w14:paraId="42D754EB" w14:textId="77777777" w:rsidR="003B0561" w:rsidRDefault="00AB1B62">
      <w:pPr>
        <w:spacing w:after="200" w:line="360" w:lineRule="auto"/>
        <w:jc w:val="both"/>
        <w:rPr>
          <w:sz w:val="24"/>
          <w:szCs w:val="24"/>
        </w:rPr>
      </w:pPr>
      <w:r>
        <w:rPr>
          <w:sz w:val="24"/>
          <w:szCs w:val="24"/>
        </w:rPr>
        <w:t xml:space="preserve">Salesforce (a cloud-based CRM provider) has developed </w:t>
      </w:r>
      <w:proofErr w:type="spellStart"/>
      <w:r>
        <w:rPr>
          <w:sz w:val="24"/>
          <w:szCs w:val="24"/>
        </w:rPr>
        <w:t>it’s</w:t>
      </w:r>
      <w:proofErr w:type="spellEnd"/>
      <w:r>
        <w:rPr>
          <w:sz w:val="24"/>
          <w:szCs w:val="24"/>
        </w:rPr>
        <w:t xml:space="preserve"> proprietary AI models that are specifically trained to automate sales tasks such as generating insights, summarizing calls and nurturing the sales pipeline.</w:t>
      </w:r>
    </w:p>
    <w:p w14:paraId="59E19D9A"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Porter’s Generic Strategies</w:t>
      </w:r>
    </w:p>
    <w:p w14:paraId="3F67FBCE"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Cost Leadership Strategy</w:t>
      </w:r>
    </w:p>
    <w:p w14:paraId="1333E608" w14:textId="77777777" w:rsidR="003B0561" w:rsidRDefault="00AB1B62">
      <w:pPr>
        <w:pBdr>
          <w:top w:val="nil"/>
          <w:left w:val="nil"/>
          <w:bottom w:val="nil"/>
          <w:right w:val="nil"/>
          <w:between w:val="nil"/>
        </w:pBdr>
        <w:spacing w:after="160" w:line="360" w:lineRule="auto"/>
        <w:jc w:val="both"/>
        <w:rPr>
          <w:color w:val="000000"/>
          <w:sz w:val="24"/>
          <w:szCs w:val="24"/>
        </w:rPr>
      </w:pPr>
      <w:r>
        <w:rPr>
          <w:color w:val="000000"/>
          <w:sz w:val="24"/>
          <w:szCs w:val="24"/>
        </w:rPr>
        <w:lastRenderedPageBreak/>
        <w:t xml:space="preserve">Pioneers create barrier to entry by evolving quickly and investing heavily, so followers can use open-source models to avoid training their own expensive models. Industries are rapidly adopting AI to automate expensive human processes and optimization purposes. Oil and Gas industry is moving towards predictive AI to cut </w:t>
      </w:r>
      <w:proofErr w:type="spellStart"/>
      <w:r>
        <w:rPr>
          <w:color w:val="000000"/>
          <w:sz w:val="24"/>
          <w:szCs w:val="24"/>
        </w:rPr>
        <w:t>maintainance</w:t>
      </w:r>
      <w:proofErr w:type="spellEnd"/>
      <w:r>
        <w:rPr>
          <w:color w:val="000000"/>
          <w:sz w:val="24"/>
          <w:szCs w:val="24"/>
        </w:rPr>
        <w:t xml:space="preserve"> costs, supply chain companies are using AI for inventory management and find efficient routes. Instead of building these expensive models, followers can partner with existing players for cost-efficiency and rapid deployment.</w:t>
      </w:r>
    </w:p>
    <w:p w14:paraId="490C6C5D"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Differentiation Strategy</w:t>
      </w:r>
    </w:p>
    <w:p w14:paraId="7CA6131C" w14:textId="77777777" w:rsidR="003B0561" w:rsidRDefault="00AB1B62">
      <w:pPr>
        <w:pBdr>
          <w:top w:val="nil"/>
          <w:left w:val="nil"/>
          <w:bottom w:val="nil"/>
          <w:right w:val="nil"/>
          <w:between w:val="nil"/>
        </w:pBdr>
        <w:spacing w:after="160" w:line="360" w:lineRule="auto"/>
        <w:jc w:val="both"/>
        <w:rPr>
          <w:color w:val="000000"/>
          <w:sz w:val="24"/>
          <w:szCs w:val="24"/>
        </w:rPr>
      </w:pPr>
      <w:r>
        <w:rPr>
          <w:color w:val="000000"/>
          <w:sz w:val="24"/>
          <w:szCs w:val="24"/>
        </w:rPr>
        <w:t>Instead of competing with pioneers, follower firms can adopt entirely new strategy and offer unique or premium customer experience that cannot be easily copied by others. Brands can justify their premium pricing by doing this. Instead of competing with OpenAI and Google on the data-</w:t>
      </w:r>
      <w:proofErr w:type="spellStart"/>
      <w:r>
        <w:rPr>
          <w:color w:val="000000"/>
          <w:sz w:val="24"/>
          <w:szCs w:val="24"/>
        </w:rPr>
        <w:t>center</w:t>
      </w:r>
      <w:proofErr w:type="spellEnd"/>
      <w:r>
        <w:rPr>
          <w:color w:val="000000"/>
          <w:sz w:val="24"/>
          <w:szCs w:val="24"/>
        </w:rPr>
        <w:t xml:space="preserve"> scale, Apple </w:t>
      </w:r>
      <w:proofErr w:type="spellStart"/>
      <w:proofErr w:type="gramStart"/>
      <w:r>
        <w:rPr>
          <w:color w:val="000000"/>
          <w:sz w:val="24"/>
          <w:szCs w:val="24"/>
        </w:rPr>
        <w:t>embbaded</w:t>
      </w:r>
      <w:proofErr w:type="spellEnd"/>
      <w:r>
        <w:rPr>
          <w:color w:val="000000"/>
          <w:sz w:val="24"/>
          <w:szCs w:val="24"/>
        </w:rPr>
        <w:t xml:space="preserve">  Small</w:t>
      </w:r>
      <w:proofErr w:type="gramEnd"/>
      <w:r>
        <w:rPr>
          <w:color w:val="000000"/>
          <w:sz w:val="24"/>
          <w:szCs w:val="24"/>
        </w:rPr>
        <w:t xml:space="preserve"> language models on devices itself, negating the need for expensive investments. These models are highly efficient and does not require data-processing in cloud, hence provide better customer experience through faster results and brand loyalty because of trust.</w:t>
      </w:r>
    </w:p>
    <w:p w14:paraId="0A380586" w14:textId="77777777" w:rsidR="003B0561" w:rsidRDefault="00AB1B62">
      <w:pPr>
        <w:pBdr>
          <w:top w:val="nil"/>
          <w:left w:val="nil"/>
          <w:bottom w:val="nil"/>
          <w:right w:val="nil"/>
          <w:between w:val="nil"/>
        </w:pBdr>
        <w:spacing w:after="160" w:line="360" w:lineRule="auto"/>
        <w:jc w:val="both"/>
        <w:rPr>
          <w:b/>
          <w:color w:val="000000"/>
          <w:sz w:val="24"/>
          <w:szCs w:val="24"/>
        </w:rPr>
      </w:pPr>
      <w:r>
        <w:rPr>
          <w:b/>
          <w:color w:val="000000"/>
          <w:sz w:val="24"/>
          <w:szCs w:val="24"/>
        </w:rPr>
        <w:t>Focus Strategy</w:t>
      </w:r>
    </w:p>
    <w:p w14:paraId="22388BF8" w14:textId="77777777" w:rsidR="003B0561" w:rsidRDefault="00AB1B62">
      <w:pPr>
        <w:pBdr>
          <w:top w:val="nil"/>
          <w:left w:val="nil"/>
          <w:bottom w:val="nil"/>
          <w:right w:val="nil"/>
          <w:between w:val="nil"/>
        </w:pBdr>
        <w:spacing w:after="160" w:line="360" w:lineRule="auto"/>
        <w:jc w:val="both"/>
        <w:rPr>
          <w:color w:val="000000"/>
          <w:sz w:val="24"/>
          <w:szCs w:val="24"/>
        </w:rPr>
      </w:pPr>
      <w:r>
        <w:rPr>
          <w:color w:val="000000"/>
          <w:sz w:val="24"/>
          <w:szCs w:val="24"/>
        </w:rPr>
        <w:t xml:space="preserve">Followers can either become pioneers in the niche segments or survive the competition by focusing on </w:t>
      </w:r>
      <w:proofErr w:type="spellStart"/>
      <w:r>
        <w:rPr>
          <w:color w:val="000000"/>
          <w:sz w:val="24"/>
          <w:szCs w:val="24"/>
        </w:rPr>
        <w:t>under served</w:t>
      </w:r>
      <w:proofErr w:type="spellEnd"/>
      <w:r>
        <w:rPr>
          <w:color w:val="000000"/>
          <w:sz w:val="24"/>
          <w:szCs w:val="24"/>
        </w:rPr>
        <w:t xml:space="preserve"> segments of the markets. Innovation is relatively cheap in these </w:t>
      </w:r>
      <w:proofErr w:type="gramStart"/>
      <w:r>
        <w:rPr>
          <w:color w:val="000000"/>
          <w:sz w:val="24"/>
          <w:szCs w:val="24"/>
        </w:rPr>
        <w:t>areas,</w:t>
      </w:r>
      <w:proofErr w:type="gramEnd"/>
      <w:r>
        <w:rPr>
          <w:color w:val="000000"/>
          <w:sz w:val="24"/>
          <w:szCs w:val="24"/>
        </w:rPr>
        <w:t xml:space="preserve"> hence they can offer lower pricing and followers can quickly capture huge market because of less competition. Instead of video or image generation, ‘</w:t>
      </w:r>
      <w:proofErr w:type="spellStart"/>
      <w:r>
        <w:rPr>
          <w:color w:val="000000"/>
          <w:sz w:val="24"/>
          <w:szCs w:val="24"/>
        </w:rPr>
        <w:t>ElevenLabs</w:t>
      </w:r>
      <w:proofErr w:type="spellEnd"/>
      <w:r>
        <w:rPr>
          <w:color w:val="000000"/>
          <w:sz w:val="24"/>
          <w:szCs w:val="24"/>
        </w:rPr>
        <w:t xml:space="preserve">’ focused only on AI audio generation, which allowed them to avoid </w:t>
      </w:r>
      <w:proofErr w:type="spellStart"/>
      <w:r>
        <w:rPr>
          <w:color w:val="000000"/>
          <w:sz w:val="24"/>
          <w:szCs w:val="24"/>
        </w:rPr>
        <w:t>compitetion</w:t>
      </w:r>
      <w:proofErr w:type="spellEnd"/>
      <w:r>
        <w:rPr>
          <w:color w:val="000000"/>
          <w:sz w:val="24"/>
          <w:szCs w:val="24"/>
        </w:rPr>
        <w:t xml:space="preserve"> from pioneering companies like Google or OpenAI.</w:t>
      </w:r>
    </w:p>
    <w:p w14:paraId="6E5E7BF6" w14:textId="77777777" w:rsidR="003B0561" w:rsidRDefault="00AB1B62">
      <w:pPr>
        <w:pStyle w:val="Heading2"/>
        <w:rPr>
          <w:rFonts w:ascii="Arial" w:eastAsia="Arial" w:hAnsi="Arial" w:cs="Arial"/>
        </w:rPr>
      </w:pPr>
      <w:r>
        <w:rPr>
          <w:rFonts w:ascii="Arial" w:eastAsia="Arial" w:hAnsi="Arial" w:cs="Arial"/>
        </w:rPr>
        <w:lastRenderedPageBreak/>
        <w:t>5.3. C</w:t>
      </w:r>
      <w:r>
        <w:rPr>
          <w:rFonts w:ascii="Arial" w:eastAsia="Arial" w:hAnsi="Arial" w:cs="Arial"/>
          <w:color w:val="000000"/>
        </w:rPr>
        <w:t>onclusion</w:t>
      </w:r>
    </w:p>
    <w:p w14:paraId="39C68886" w14:textId="77777777" w:rsidR="003B0561" w:rsidRDefault="00AB1B62">
      <w:pPr>
        <w:spacing w:after="200" w:line="360" w:lineRule="auto"/>
        <w:jc w:val="both"/>
        <w:rPr>
          <w:sz w:val="24"/>
          <w:szCs w:val="24"/>
        </w:rPr>
      </w:pPr>
      <w:r>
        <w:rPr>
          <w:sz w:val="24"/>
          <w:szCs w:val="24"/>
        </w:rPr>
        <w:t xml:space="preserve">The report concludes that technological and legal factors affect differently to the followers and pioneers. Pioneers can create or move markets by setting </w:t>
      </w:r>
      <w:proofErr w:type="spellStart"/>
      <w:r>
        <w:rPr>
          <w:sz w:val="24"/>
          <w:szCs w:val="24"/>
        </w:rPr>
        <w:t>propreietary</w:t>
      </w:r>
      <w:proofErr w:type="spellEnd"/>
      <w:r>
        <w:rPr>
          <w:sz w:val="24"/>
          <w:szCs w:val="24"/>
        </w:rPr>
        <w:t xml:space="preserve"> </w:t>
      </w:r>
      <w:proofErr w:type="gramStart"/>
      <w:r>
        <w:rPr>
          <w:sz w:val="24"/>
          <w:szCs w:val="24"/>
        </w:rPr>
        <w:t>standards,  costly</w:t>
      </w:r>
      <w:proofErr w:type="gramEnd"/>
      <w:r>
        <w:rPr>
          <w:sz w:val="24"/>
          <w:szCs w:val="24"/>
        </w:rPr>
        <w:t xml:space="preserve"> innovations but copyright lawsuits and legal compliance </w:t>
      </w:r>
      <w:proofErr w:type="gramStart"/>
      <w:r>
        <w:rPr>
          <w:sz w:val="24"/>
          <w:szCs w:val="24"/>
        </w:rPr>
        <w:t>creates</w:t>
      </w:r>
      <w:proofErr w:type="gramEnd"/>
      <w:r>
        <w:rPr>
          <w:sz w:val="24"/>
          <w:szCs w:val="24"/>
        </w:rPr>
        <w:t xml:space="preserve"> regulatory burden. OpenAI dominates consumer AI market with 62.5% share but it has also attracted high-profile lawsuits from various firms, authors and publishers (OpenAI, 2025, Harvard, 2024</w:t>
      </w:r>
      <w:proofErr w:type="gramStart"/>
      <w:r>
        <w:rPr>
          <w:sz w:val="24"/>
          <w:szCs w:val="24"/>
        </w:rPr>
        <w:t>) .</w:t>
      </w:r>
      <w:proofErr w:type="gramEnd"/>
      <w:r>
        <w:rPr>
          <w:sz w:val="24"/>
          <w:szCs w:val="24"/>
        </w:rPr>
        <w:t xml:space="preserve"> Followers are at advantage as they can wait for the market to settle and take safe steps by waiting for regulations to mature and investing in standardised technology. Both can </w:t>
      </w:r>
      <w:proofErr w:type="gramStart"/>
      <w:r>
        <w:rPr>
          <w:sz w:val="24"/>
          <w:szCs w:val="24"/>
        </w:rPr>
        <w:t>use  Growth</w:t>
      </w:r>
      <w:proofErr w:type="gramEnd"/>
      <w:r>
        <w:rPr>
          <w:sz w:val="24"/>
          <w:szCs w:val="24"/>
        </w:rPr>
        <w:t xml:space="preserve"> Matrix by Ansoff and the General</w:t>
      </w:r>
      <w:r>
        <w:rPr>
          <w:sz w:val="24"/>
          <w:szCs w:val="24"/>
        </w:rPr>
        <w:t xml:space="preserve"> Strategies by Porter to analyse external changes and align their strategic decision accordingly.</w:t>
      </w:r>
    </w:p>
    <w:p w14:paraId="107055C6" w14:textId="77777777" w:rsidR="003B0561" w:rsidRDefault="00AB1B62">
      <w:pPr>
        <w:pStyle w:val="Heading1"/>
        <w:rPr>
          <w:rFonts w:ascii="Arial" w:eastAsia="Arial" w:hAnsi="Arial" w:cs="Arial"/>
        </w:rPr>
      </w:pPr>
      <w:r>
        <w:br w:type="page"/>
      </w:r>
    </w:p>
    <w:p w14:paraId="40973F48" w14:textId="77777777" w:rsidR="003B0561" w:rsidRDefault="00AB1B62">
      <w:pPr>
        <w:pStyle w:val="Heading1"/>
        <w:rPr>
          <w:rFonts w:ascii="Arial" w:eastAsia="Arial" w:hAnsi="Arial" w:cs="Arial"/>
        </w:rPr>
      </w:pPr>
      <w:bookmarkStart w:id="1" w:name="_no50h4jl11qk" w:colFirst="0" w:colLast="0"/>
      <w:bookmarkEnd w:id="1"/>
      <w:r>
        <w:rPr>
          <w:rFonts w:ascii="Arial" w:eastAsia="Arial" w:hAnsi="Arial" w:cs="Arial"/>
        </w:rPr>
        <w:lastRenderedPageBreak/>
        <w:t>References</w:t>
      </w:r>
    </w:p>
    <w:p w14:paraId="05638966" w14:textId="77777777" w:rsidR="003B0561" w:rsidRDefault="00AB1B62">
      <w:pPr>
        <w:pBdr>
          <w:top w:val="nil"/>
          <w:left w:val="nil"/>
          <w:bottom w:val="nil"/>
          <w:right w:val="nil"/>
          <w:between w:val="nil"/>
        </w:pBdr>
        <w:spacing w:after="140"/>
        <w:jc w:val="both"/>
        <w:rPr>
          <w:color w:val="000000"/>
        </w:rPr>
      </w:pPr>
      <w:r>
        <w:rPr>
          <w:color w:val="000000"/>
        </w:rPr>
        <w:t xml:space="preserve">1. US Sanctions Against Chinese 5G: Inconsistencies and Paradoxical Outcomes, By: </w:t>
      </w:r>
      <w:proofErr w:type="spellStart"/>
      <w:r>
        <w:rPr>
          <w:color w:val="000000"/>
        </w:rPr>
        <w:t>Hosuk</w:t>
      </w:r>
      <w:proofErr w:type="spellEnd"/>
      <w:r>
        <w:rPr>
          <w:color w:val="000000"/>
        </w:rPr>
        <w:t xml:space="preserve"> Lee-</w:t>
      </w:r>
      <w:proofErr w:type="spellStart"/>
      <w:r>
        <w:rPr>
          <w:color w:val="000000"/>
        </w:rPr>
        <w:t>Makiyama</w:t>
      </w:r>
      <w:proofErr w:type="spellEnd"/>
      <w:r>
        <w:rPr>
          <w:color w:val="000000"/>
        </w:rPr>
        <w:t xml:space="preserve"> (2021). </w:t>
      </w:r>
      <w:hyperlink r:id="rId7">
        <w:r>
          <w:rPr>
            <w:color w:val="000080"/>
            <w:u w:val="single"/>
          </w:rPr>
          <w:t>https://ecipe.org/blog/us-sanctions-against-chinese-5g/</w:t>
        </w:r>
      </w:hyperlink>
    </w:p>
    <w:p w14:paraId="569AB22B" w14:textId="77777777" w:rsidR="003B0561" w:rsidRDefault="00AB1B62">
      <w:pPr>
        <w:pBdr>
          <w:top w:val="nil"/>
          <w:left w:val="nil"/>
          <w:bottom w:val="nil"/>
          <w:right w:val="nil"/>
          <w:between w:val="nil"/>
        </w:pBdr>
        <w:spacing w:after="140"/>
        <w:jc w:val="both"/>
        <w:rPr>
          <w:color w:val="000000"/>
        </w:rPr>
      </w:pPr>
      <w:r>
        <w:rPr>
          <w:color w:val="000000"/>
        </w:rPr>
        <w:t xml:space="preserve">2. Huawei White paper on innovation and intellectual property (2020). </w:t>
      </w:r>
      <w:hyperlink r:id="rId8">
        <w:r>
          <w:rPr>
            <w:color w:val="000080"/>
            <w:u w:val="single"/>
          </w:rPr>
          <w:t>https://www.huawei.com/en/ipr</w:t>
        </w:r>
      </w:hyperlink>
    </w:p>
    <w:p w14:paraId="07B20A98" w14:textId="77777777" w:rsidR="003B0561" w:rsidRDefault="003B0561">
      <w:pPr>
        <w:pBdr>
          <w:top w:val="nil"/>
          <w:left w:val="nil"/>
          <w:bottom w:val="nil"/>
          <w:right w:val="nil"/>
          <w:between w:val="nil"/>
        </w:pBdr>
        <w:spacing w:after="140"/>
        <w:jc w:val="both"/>
        <w:rPr>
          <w:color w:val="000000"/>
        </w:rPr>
      </w:pPr>
    </w:p>
    <w:p w14:paraId="544D1D11" w14:textId="77777777" w:rsidR="003B0561" w:rsidRDefault="00AB1B62">
      <w:pPr>
        <w:pBdr>
          <w:top w:val="nil"/>
          <w:left w:val="nil"/>
          <w:bottom w:val="nil"/>
          <w:right w:val="nil"/>
          <w:between w:val="nil"/>
        </w:pBdr>
        <w:spacing w:after="140"/>
        <w:jc w:val="both"/>
        <w:rPr>
          <w:color w:val="000000"/>
        </w:rPr>
      </w:pPr>
      <w:r>
        <w:rPr>
          <w:color w:val="000000"/>
        </w:rPr>
        <w:t xml:space="preserve">3. </w:t>
      </w:r>
      <w:proofErr w:type="spellStart"/>
      <w:r>
        <w:rPr>
          <w:color w:val="000000"/>
        </w:rPr>
        <w:t>Huwei</w:t>
      </w:r>
      <w:proofErr w:type="spellEnd"/>
      <w:r>
        <w:rPr>
          <w:color w:val="000000"/>
        </w:rPr>
        <w:t xml:space="preserve"> Annual Report (2024). </w:t>
      </w:r>
      <w:hyperlink r:id="rId9">
        <w:r>
          <w:rPr>
            <w:color w:val="000080"/>
            <w:u w:val="single"/>
          </w:rPr>
          <w:t>https://www.huawei.com/en/annual-report/2024</w:t>
        </w:r>
      </w:hyperlink>
    </w:p>
    <w:p w14:paraId="2D6109B1" w14:textId="77777777" w:rsidR="003B0561" w:rsidRDefault="003B0561">
      <w:pPr>
        <w:pBdr>
          <w:top w:val="nil"/>
          <w:left w:val="nil"/>
          <w:bottom w:val="nil"/>
          <w:right w:val="nil"/>
          <w:between w:val="nil"/>
        </w:pBdr>
        <w:spacing w:after="140"/>
        <w:jc w:val="both"/>
        <w:rPr>
          <w:color w:val="000000"/>
        </w:rPr>
      </w:pPr>
    </w:p>
    <w:p w14:paraId="7EBD9015" w14:textId="77777777" w:rsidR="003B0561" w:rsidRDefault="00AB1B62">
      <w:pPr>
        <w:pBdr>
          <w:top w:val="nil"/>
          <w:left w:val="nil"/>
          <w:bottom w:val="nil"/>
          <w:right w:val="nil"/>
          <w:between w:val="nil"/>
        </w:pBdr>
        <w:spacing w:after="140"/>
        <w:jc w:val="both"/>
        <w:rPr>
          <w:color w:val="000000"/>
        </w:rPr>
      </w:pPr>
      <w:r>
        <w:rPr>
          <w:color w:val="000000"/>
        </w:rPr>
        <w:t xml:space="preserve">4. We are enabling a robust 5G ecosystem, By: </w:t>
      </w:r>
      <w:proofErr w:type="gramStart"/>
      <w:r>
        <w:rPr>
          <w:color w:val="000000"/>
        </w:rPr>
        <w:t>Nokia.com .</w:t>
      </w:r>
      <w:proofErr w:type="gramEnd"/>
      <w:r>
        <w:rPr>
          <w:color w:val="000000"/>
        </w:rPr>
        <w:t xml:space="preserve"> </w:t>
      </w:r>
      <w:hyperlink r:id="rId10">
        <w:r>
          <w:rPr>
            <w:color w:val="000080"/>
            <w:u w:val="single"/>
          </w:rPr>
          <w:t>https://www.nokia.com/mobile-networks/ran/anyran/open-ran/</w:t>
        </w:r>
      </w:hyperlink>
    </w:p>
    <w:p w14:paraId="494D6C17" w14:textId="77777777" w:rsidR="003B0561" w:rsidRDefault="00AB1B62">
      <w:pPr>
        <w:pBdr>
          <w:top w:val="nil"/>
          <w:left w:val="nil"/>
          <w:bottom w:val="nil"/>
          <w:right w:val="nil"/>
          <w:between w:val="nil"/>
        </w:pBdr>
        <w:spacing w:after="140"/>
        <w:jc w:val="both"/>
        <w:rPr>
          <w:color w:val="000000"/>
        </w:rPr>
      </w:pPr>
      <w:r>
        <w:rPr>
          <w:color w:val="000000"/>
        </w:rPr>
        <w:t xml:space="preserve">5. Zou, Jiale. (2025). Huawei's Corporate Strategy and Market Competition Analysis: Innovation and Competitive Advantage in the Context of Globalization. Advances in Economics, Management and Political Sciences. 208. 1-7. 10.54254/2754-1169/2025.GL25547. </w:t>
      </w:r>
    </w:p>
    <w:p w14:paraId="3A388EF0" w14:textId="77777777" w:rsidR="003B0561" w:rsidRDefault="00AB1B62">
      <w:pPr>
        <w:pBdr>
          <w:top w:val="nil"/>
          <w:left w:val="nil"/>
          <w:bottom w:val="nil"/>
          <w:right w:val="nil"/>
          <w:between w:val="nil"/>
        </w:pBdr>
        <w:spacing w:after="140"/>
        <w:jc w:val="both"/>
        <w:rPr>
          <w:color w:val="000000"/>
        </w:rPr>
      </w:pPr>
      <w:r>
        <w:rPr>
          <w:color w:val="000000"/>
        </w:rPr>
        <w:t xml:space="preserve">6. </w:t>
      </w:r>
      <w:proofErr w:type="spellStart"/>
      <w:r>
        <w:rPr>
          <w:color w:val="000000"/>
        </w:rPr>
        <w:t>Panaiet</w:t>
      </w:r>
      <w:proofErr w:type="spellEnd"/>
      <w:r>
        <w:rPr>
          <w:color w:val="000000"/>
        </w:rPr>
        <w:t>, Oleksandr &amp; Tarasova, Krystyna. (2025). Comparative Analysis of Huawei’s Strategy: From the US Ban to New Market Opportunities. International Journal of Psychology and Strategic Communication. 382. 10.61030/YLLA9573.</w:t>
      </w:r>
    </w:p>
    <w:p w14:paraId="26D06C33" w14:textId="77777777" w:rsidR="003B0561" w:rsidRDefault="00AB1B62">
      <w:pPr>
        <w:pBdr>
          <w:top w:val="nil"/>
          <w:left w:val="nil"/>
          <w:bottom w:val="nil"/>
          <w:right w:val="nil"/>
          <w:between w:val="nil"/>
        </w:pBdr>
        <w:spacing w:after="140"/>
        <w:rPr>
          <w:color w:val="000000"/>
        </w:rPr>
      </w:pPr>
      <w:r>
        <w:rPr>
          <w:color w:val="000000"/>
        </w:rPr>
        <w:t xml:space="preserve">7. The-State-of-5G-2024, GSM (2024). </w:t>
      </w:r>
      <w:hyperlink r:id="rId11">
        <w:r>
          <w:rPr>
            <w:color w:val="000080"/>
            <w:u w:val="single"/>
          </w:rPr>
          <w:t>https://media-assets-prod.gsmaintelligence.com/content/210224-The-State-of-5G-2024-compressed.pdf</w:t>
        </w:r>
      </w:hyperlink>
    </w:p>
    <w:p w14:paraId="24D3A04B" w14:textId="77777777" w:rsidR="003B0561" w:rsidRDefault="00AB1B62">
      <w:pPr>
        <w:pBdr>
          <w:top w:val="nil"/>
          <w:left w:val="nil"/>
          <w:bottom w:val="nil"/>
          <w:right w:val="nil"/>
          <w:between w:val="nil"/>
        </w:pBdr>
        <w:spacing w:after="140"/>
        <w:rPr>
          <w:color w:val="000000"/>
        </w:rPr>
      </w:pPr>
      <w:r>
        <w:rPr>
          <w:color w:val="000000"/>
        </w:rPr>
        <w:t>8. Industrial upgrading based on global innovation chains: A case study of Huawei technologies Co., Ltd. Shenzhen, International Journal of Innovation Studies, Volume 2, Issue 3, (2018</w:t>
      </w:r>
      <w:proofErr w:type="gramStart"/>
      <w:r>
        <w:rPr>
          <w:color w:val="000000"/>
        </w:rPr>
        <w:t>) .</w:t>
      </w:r>
      <w:proofErr w:type="gramEnd"/>
      <w:r>
        <w:rPr>
          <w:color w:val="000000"/>
        </w:rPr>
        <w:t xml:space="preserve"> </w:t>
      </w:r>
      <w:hyperlink r:id="rId12">
        <w:r>
          <w:rPr>
            <w:color w:val="000080"/>
            <w:u w:val="single"/>
          </w:rPr>
          <w:t>https://doi.org/10.1016/j.ijis.2018.08.001</w:t>
        </w:r>
      </w:hyperlink>
    </w:p>
    <w:p w14:paraId="65B926D3" w14:textId="77777777" w:rsidR="003B0561" w:rsidRDefault="00AB1B62">
      <w:pPr>
        <w:pBdr>
          <w:top w:val="nil"/>
          <w:left w:val="nil"/>
          <w:bottom w:val="nil"/>
          <w:right w:val="nil"/>
          <w:between w:val="nil"/>
        </w:pBdr>
        <w:spacing w:after="140"/>
        <w:rPr>
          <w:color w:val="000000"/>
        </w:rPr>
      </w:pPr>
      <w:r>
        <w:rPr>
          <w:color w:val="000000"/>
        </w:rPr>
        <w:t xml:space="preserve">9. Ericsson Mobility Report: 5G will outpace 4G in 2027 (2024). </w:t>
      </w:r>
      <w:hyperlink r:id="rId13">
        <w:r>
          <w:rPr>
            <w:color w:val="000080"/>
            <w:u w:val="single"/>
          </w:rPr>
          <w:t>https://www.ericsson.com/en/press-releases/5/2024/ericsson-mobility-report-5g-will-outpace-4g-in-2027</w:t>
        </w:r>
      </w:hyperlink>
    </w:p>
    <w:p w14:paraId="0B1354BB" w14:textId="77777777" w:rsidR="003B0561" w:rsidRDefault="00AB1B62">
      <w:pPr>
        <w:pBdr>
          <w:top w:val="nil"/>
          <w:left w:val="nil"/>
          <w:bottom w:val="nil"/>
          <w:right w:val="nil"/>
          <w:between w:val="nil"/>
        </w:pBdr>
        <w:spacing w:after="140"/>
        <w:rPr>
          <w:color w:val="000000"/>
        </w:rPr>
      </w:pPr>
      <w:r>
        <w:rPr>
          <w:color w:val="000000"/>
        </w:rPr>
        <w:t xml:space="preserve">10. OECD (2025), “Competition in artificial intelligence infrastructure”, OECD Roundtables on Competition Policy Papers, No. 330, OECD Publishing, Paris, </w:t>
      </w:r>
      <w:hyperlink r:id="rId14">
        <w:r>
          <w:rPr>
            <w:color w:val="000080"/>
            <w:u w:val="single"/>
          </w:rPr>
          <w:t>https://doi.org/10.1787/623d1874-en</w:t>
        </w:r>
      </w:hyperlink>
      <w:r>
        <w:rPr>
          <w:color w:val="000000"/>
        </w:rPr>
        <w:t>.</w:t>
      </w:r>
    </w:p>
    <w:p w14:paraId="7FA648DF" w14:textId="77777777" w:rsidR="003B0561" w:rsidRDefault="00AB1B62">
      <w:pPr>
        <w:pBdr>
          <w:top w:val="nil"/>
          <w:left w:val="nil"/>
          <w:bottom w:val="nil"/>
          <w:right w:val="nil"/>
          <w:between w:val="nil"/>
        </w:pBdr>
        <w:spacing w:after="140"/>
        <w:rPr>
          <w:color w:val="000000"/>
        </w:rPr>
      </w:pPr>
      <w:r>
        <w:rPr>
          <w:color w:val="000000"/>
        </w:rPr>
        <w:t xml:space="preserve">11. Trends in AI Supercomputers, Konstantin Pilz (2025). </w:t>
      </w:r>
      <w:hyperlink r:id="rId15">
        <w:r>
          <w:rPr>
            <w:color w:val="000080"/>
            <w:u w:val="single"/>
          </w:rPr>
          <w:t>https://doi.org/10.48550/arXiv.2504.16026v2</w:t>
        </w:r>
      </w:hyperlink>
    </w:p>
    <w:p w14:paraId="29468308" w14:textId="77777777" w:rsidR="003B0561" w:rsidRDefault="00AB1B62">
      <w:pPr>
        <w:pBdr>
          <w:top w:val="nil"/>
          <w:left w:val="nil"/>
          <w:bottom w:val="nil"/>
          <w:right w:val="nil"/>
          <w:between w:val="nil"/>
        </w:pBdr>
        <w:spacing w:after="140"/>
        <w:rPr>
          <w:color w:val="000000"/>
        </w:rPr>
      </w:pPr>
      <w:r>
        <w:rPr>
          <w:color w:val="000000"/>
        </w:rPr>
        <w:t xml:space="preserve">12. AI Infrastructure spending by 2029, IDC (2025). </w:t>
      </w:r>
      <w:hyperlink r:id="rId16">
        <w:r>
          <w:rPr>
            <w:color w:val="000080"/>
            <w:u w:val="single"/>
          </w:rPr>
          <w:t>https://my.idc.com/getdoc.jsp?containerId=prUS53894425</w:t>
        </w:r>
      </w:hyperlink>
    </w:p>
    <w:p w14:paraId="111D92AA" w14:textId="77777777" w:rsidR="003B0561" w:rsidRDefault="00AB1B62">
      <w:pPr>
        <w:pBdr>
          <w:top w:val="nil"/>
          <w:left w:val="nil"/>
          <w:bottom w:val="nil"/>
          <w:right w:val="nil"/>
          <w:between w:val="nil"/>
        </w:pBdr>
        <w:spacing w:after="140"/>
        <w:rPr>
          <w:color w:val="000000"/>
        </w:rPr>
      </w:pPr>
      <w:r>
        <w:rPr>
          <w:color w:val="000000"/>
        </w:rPr>
        <w:lastRenderedPageBreak/>
        <w:t xml:space="preserve">13. The state of AI in 2025: Agents, innovation, and transformation, </w:t>
      </w:r>
      <w:proofErr w:type="spellStart"/>
      <w:r>
        <w:rPr>
          <w:color w:val="000000"/>
        </w:rPr>
        <w:t>Mckinsey</w:t>
      </w:r>
      <w:proofErr w:type="spellEnd"/>
      <w:r>
        <w:rPr>
          <w:color w:val="000000"/>
        </w:rPr>
        <w:t xml:space="preserve"> (2025). </w:t>
      </w:r>
      <w:hyperlink r:id="rId17">
        <w:r>
          <w:rPr>
            <w:color w:val="000080"/>
            <w:u w:val="single"/>
          </w:rPr>
          <w:t>https://www.mckinsey.com/capabilities/quantumblack/our-insights/the-state-of-ai</w:t>
        </w:r>
      </w:hyperlink>
    </w:p>
    <w:p w14:paraId="3690458C" w14:textId="77777777" w:rsidR="003B0561" w:rsidRDefault="00AB1B62">
      <w:pPr>
        <w:pBdr>
          <w:top w:val="nil"/>
          <w:left w:val="nil"/>
          <w:bottom w:val="nil"/>
          <w:right w:val="nil"/>
          <w:between w:val="nil"/>
        </w:pBdr>
        <w:spacing w:after="140"/>
        <w:rPr>
          <w:color w:val="000000"/>
        </w:rPr>
      </w:pPr>
      <w:r>
        <w:rPr>
          <w:color w:val="000000"/>
        </w:rPr>
        <w:t xml:space="preserve">14. Clearview AI fined $33M Dollars, The Verge (2025). </w:t>
      </w:r>
      <w:hyperlink r:id="rId18">
        <w:r>
          <w:rPr>
            <w:color w:val="000080"/>
            <w:u w:val="single"/>
          </w:rPr>
          <w:t>https://www.theverge.com/2024/9/3/24234879/dutch-regulator-gdpr-clearview-ai-fine</w:t>
        </w:r>
      </w:hyperlink>
    </w:p>
    <w:p w14:paraId="57C8D1C4" w14:textId="77777777" w:rsidR="003B0561" w:rsidRDefault="00AB1B62">
      <w:pPr>
        <w:pBdr>
          <w:top w:val="nil"/>
          <w:left w:val="nil"/>
          <w:bottom w:val="nil"/>
          <w:right w:val="nil"/>
          <w:between w:val="nil"/>
        </w:pBdr>
        <w:spacing w:after="140"/>
        <w:rPr>
          <w:color w:val="000000"/>
        </w:rPr>
      </w:pPr>
      <w:r>
        <w:rPr>
          <w:color w:val="000000"/>
        </w:rPr>
        <w:t xml:space="preserve">15. Balas, Hashim &amp; </w:t>
      </w:r>
      <w:proofErr w:type="spellStart"/>
      <w:r>
        <w:rPr>
          <w:color w:val="000000"/>
        </w:rPr>
        <w:t>Shatnawi</w:t>
      </w:r>
      <w:proofErr w:type="spellEnd"/>
      <w:r>
        <w:rPr>
          <w:color w:val="000000"/>
        </w:rPr>
        <w:t xml:space="preserve">, Reem. (2024). Legal framework for AI applications. F1000Research. 13. 418. 10.12688/f1000research.147019.1. </w:t>
      </w:r>
      <w:hyperlink r:id="rId19">
        <w:r>
          <w:rPr>
            <w:color w:val="000080"/>
            <w:u w:val="single"/>
          </w:rPr>
          <w:t>https://f1000research.com/articles/13-418/v1</w:t>
        </w:r>
      </w:hyperlink>
    </w:p>
    <w:p w14:paraId="4E243819" w14:textId="77777777" w:rsidR="003B0561" w:rsidRDefault="00AB1B62">
      <w:pPr>
        <w:pBdr>
          <w:top w:val="nil"/>
          <w:left w:val="nil"/>
          <w:bottom w:val="nil"/>
          <w:right w:val="nil"/>
          <w:between w:val="nil"/>
        </w:pBdr>
        <w:spacing w:after="140"/>
        <w:rPr>
          <w:color w:val="000000"/>
        </w:rPr>
      </w:pPr>
      <w:r>
        <w:rPr>
          <w:color w:val="000000"/>
        </w:rPr>
        <w:t xml:space="preserve">16. </w:t>
      </w:r>
      <w:proofErr w:type="spellStart"/>
      <w:r>
        <w:rPr>
          <w:color w:val="000000"/>
        </w:rPr>
        <w:t>Kashefi</w:t>
      </w:r>
      <w:proofErr w:type="spellEnd"/>
      <w:r>
        <w:rPr>
          <w:color w:val="000000"/>
        </w:rPr>
        <w:t xml:space="preserve">, Pouya &amp; </w:t>
      </w:r>
      <w:proofErr w:type="spellStart"/>
      <w:r>
        <w:rPr>
          <w:color w:val="000000"/>
        </w:rPr>
        <w:t>Kashefi</w:t>
      </w:r>
      <w:proofErr w:type="spellEnd"/>
      <w:r>
        <w:rPr>
          <w:color w:val="000000"/>
        </w:rPr>
        <w:t xml:space="preserve">, Yasaman &amp; Ghafouri </w:t>
      </w:r>
      <w:proofErr w:type="spellStart"/>
      <w:r>
        <w:rPr>
          <w:color w:val="000000"/>
        </w:rPr>
        <w:t>Mirsaraei</w:t>
      </w:r>
      <w:proofErr w:type="spellEnd"/>
      <w:r>
        <w:rPr>
          <w:color w:val="000000"/>
        </w:rPr>
        <w:t>, Amir Hossein. (2024). Shaping the future of AI: balancing innovation and ethics in global regulation. Uniform Law Review. 29. 10.1093/</w:t>
      </w:r>
      <w:proofErr w:type="spellStart"/>
      <w:r>
        <w:rPr>
          <w:color w:val="000000"/>
        </w:rPr>
        <w:t>ulr</w:t>
      </w:r>
      <w:proofErr w:type="spellEnd"/>
      <w:r>
        <w:rPr>
          <w:color w:val="000000"/>
        </w:rPr>
        <w:t xml:space="preserve">/unae040. </w:t>
      </w:r>
      <w:hyperlink r:id="rId20">
        <w:r>
          <w:rPr>
            <w:color w:val="000080"/>
            <w:u w:val="single"/>
          </w:rPr>
          <w:t>https://doi.org/10.1093/ulr/unae040</w:t>
        </w:r>
      </w:hyperlink>
    </w:p>
    <w:p w14:paraId="5E890680" w14:textId="77777777" w:rsidR="003B0561" w:rsidRDefault="00AB1B62">
      <w:pPr>
        <w:pBdr>
          <w:top w:val="nil"/>
          <w:left w:val="nil"/>
          <w:bottom w:val="nil"/>
          <w:right w:val="nil"/>
          <w:between w:val="nil"/>
        </w:pBdr>
        <w:spacing w:after="140"/>
        <w:rPr>
          <w:color w:val="000000"/>
        </w:rPr>
      </w:pPr>
      <w:r>
        <w:rPr>
          <w:color w:val="000000"/>
        </w:rPr>
        <w:t xml:space="preserve">17. ChatGPT / OpenAI Statistics: How Many People Use </w:t>
      </w:r>
      <w:proofErr w:type="gramStart"/>
      <w:r>
        <w:rPr>
          <w:color w:val="000000"/>
        </w:rPr>
        <w:t>ChatGPT?,</w:t>
      </w:r>
      <w:proofErr w:type="gramEnd"/>
      <w:r>
        <w:rPr>
          <w:color w:val="000000"/>
        </w:rPr>
        <w:t xml:space="preserve"> </w:t>
      </w:r>
      <w:proofErr w:type="spellStart"/>
      <w:r>
        <w:rPr>
          <w:color w:val="000000"/>
        </w:rPr>
        <w:t>Backlinko</w:t>
      </w:r>
      <w:proofErr w:type="spellEnd"/>
      <w:r>
        <w:rPr>
          <w:color w:val="000000"/>
        </w:rPr>
        <w:t xml:space="preserve"> (2025). </w:t>
      </w:r>
      <w:hyperlink r:id="rId21">
        <w:r>
          <w:rPr>
            <w:color w:val="000080"/>
            <w:u w:val="single"/>
          </w:rPr>
          <w:t>https://backlinko.com/chatgpt-stats</w:t>
        </w:r>
      </w:hyperlink>
    </w:p>
    <w:p w14:paraId="49CB3A29" w14:textId="77777777" w:rsidR="003B0561" w:rsidRDefault="00AB1B62">
      <w:pPr>
        <w:pBdr>
          <w:top w:val="nil"/>
          <w:left w:val="nil"/>
          <w:bottom w:val="nil"/>
          <w:right w:val="nil"/>
          <w:between w:val="nil"/>
        </w:pBdr>
        <w:spacing w:after="140"/>
        <w:rPr>
          <w:color w:val="000000"/>
        </w:rPr>
      </w:pPr>
      <w:r>
        <w:rPr>
          <w:color w:val="000000"/>
        </w:rPr>
        <w:t xml:space="preserve">18. </w:t>
      </w:r>
      <w:bookmarkStart w:id="2" w:name="71k3uj3ikx5i" w:colFirst="0" w:colLast="0"/>
      <w:bookmarkEnd w:id="2"/>
      <w:r>
        <w:rPr>
          <w:color w:val="000000"/>
        </w:rPr>
        <w:t xml:space="preserve">Open-source AI in 2025: Smaller, smarter and more collaborative (2025). </w:t>
      </w:r>
      <w:hyperlink r:id="rId22">
        <w:r>
          <w:rPr>
            <w:color w:val="000080"/>
            <w:u w:val="single"/>
          </w:rPr>
          <w:t>https://www.ibm.com/think/news/2025-open-ai-trends</w:t>
        </w:r>
      </w:hyperlink>
    </w:p>
    <w:p w14:paraId="148312AF" w14:textId="77777777" w:rsidR="003B0561" w:rsidRDefault="00AB1B62">
      <w:pPr>
        <w:pBdr>
          <w:top w:val="nil"/>
          <w:left w:val="nil"/>
          <w:bottom w:val="nil"/>
          <w:right w:val="nil"/>
          <w:between w:val="nil"/>
        </w:pBdr>
        <w:spacing w:after="140"/>
        <w:rPr>
          <w:color w:val="000000"/>
        </w:rPr>
      </w:pPr>
      <w:r>
        <w:rPr>
          <w:color w:val="000000"/>
        </w:rPr>
        <w:t xml:space="preserve">19. NVIDIA Blackwell Platform Arrives to Power a New Era of Computing, NVDIA (2024). </w:t>
      </w:r>
      <w:hyperlink r:id="rId23">
        <w:r>
          <w:rPr>
            <w:color w:val="000080"/>
            <w:u w:val="single"/>
          </w:rPr>
          <w:t>https://nvidianews.nvidia.com/news/nvidia-blackwell-platform-arrives-to-power-a-new-era-of-computing</w:t>
        </w:r>
      </w:hyperlink>
    </w:p>
    <w:p w14:paraId="03708A9C" w14:textId="77777777" w:rsidR="003B0561" w:rsidRDefault="00AB1B62">
      <w:pPr>
        <w:pBdr>
          <w:top w:val="nil"/>
          <w:left w:val="nil"/>
          <w:bottom w:val="nil"/>
          <w:right w:val="nil"/>
          <w:between w:val="nil"/>
        </w:pBdr>
        <w:spacing w:after="140"/>
        <w:rPr>
          <w:color w:val="000000"/>
        </w:rPr>
      </w:pPr>
      <w:r>
        <w:rPr>
          <w:color w:val="000000"/>
        </w:rPr>
        <w:t xml:space="preserve">20. Ignite 2024: Why nearly 70% of the Fortune 500 now use Microsoft 365 Copilot (2024). </w:t>
      </w:r>
      <w:hyperlink r:id="rId24">
        <w:r>
          <w:rPr>
            <w:color w:val="000080"/>
            <w:u w:val="single"/>
          </w:rPr>
          <w:t>https://news.microsoft.com/source/asia/2024/11/19/ignite-2024-why-nearly-70-of-the-fortune-500-now-use-microsoft-365-copilot-en/</w:t>
        </w:r>
      </w:hyperlink>
    </w:p>
    <w:p w14:paraId="0F823DA5" w14:textId="77777777" w:rsidR="003B0561" w:rsidRDefault="00AB1B62">
      <w:pPr>
        <w:pBdr>
          <w:top w:val="nil"/>
          <w:left w:val="nil"/>
          <w:bottom w:val="nil"/>
          <w:right w:val="nil"/>
          <w:between w:val="nil"/>
        </w:pBdr>
        <w:spacing w:after="140"/>
        <w:rPr>
          <w:color w:val="000000"/>
        </w:rPr>
      </w:pPr>
      <w:r>
        <w:rPr>
          <w:color w:val="000000"/>
        </w:rPr>
        <w:t xml:space="preserve">21. How People Use ChatGPT, OpenAI (2025). </w:t>
      </w:r>
      <w:hyperlink r:id="rId25">
        <w:r>
          <w:rPr>
            <w:color w:val="000080"/>
            <w:u w:val="single"/>
          </w:rPr>
          <w:t>https://cdn.openai.com/pdf/a253471f-8260-40c6-a2cc-aa93fe9f142e/economic-research-chatgpt-usage-paper.pdf</w:t>
        </w:r>
      </w:hyperlink>
    </w:p>
    <w:p w14:paraId="1283948C" w14:textId="77777777" w:rsidR="003B0561" w:rsidRDefault="00AB1B62">
      <w:pPr>
        <w:pBdr>
          <w:top w:val="nil"/>
          <w:left w:val="nil"/>
          <w:bottom w:val="nil"/>
          <w:right w:val="nil"/>
          <w:between w:val="nil"/>
        </w:pBdr>
        <w:spacing w:after="140"/>
        <w:rPr>
          <w:color w:val="000000"/>
        </w:rPr>
      </w:pPr>
      <w:r>
        <w:rPr>
          <w:color w:val="000000"/>
        </w:rPr>
        <w:t xml:space="preserve">22. A new era of intelligence with Gemini 3, Google (2025). </w:t>
      </w:r>
      <w:hyperlink r:id="rId26">
        <w:r>
          <w:rPr>
            <w:color w:val="000080"/>
            <w:u w:val="single"/>
          </w:rPr>
          <w:t>https://blog</w:t>
        </w:r>
      </w:hyperlink>
      <w:hyperlink r:id="rId27">
        <w:r>
          <w:rPr>
            <w:color w:val="000080"/>
            <w:u w:val="single"/>
          </w:rPr>
          <w:t xml:space="preserve"> google/products/</w:t>
        </w:r>
        <w:proofErr w:type="spellStart"/>
        <w:r>
          <w:rPr>
            <w:color w:val="000080"/>
            <w:u w:val="single"/>
          </w:rPr>
          <w:t>gemini</w:t>
        </w:r>
        <w:proofErr w:type="spellEnd"/>
        <w:r>
          <w:rPr>
            <w:color w:val="000080"/>
            <w:u w:val="single"/>
          </w:rPr>
          <w:t>/gemini-3</w:t>
        </w:r>
      </w:hyperlink>
    </w:p>
    <w:p w14:paraId="5CE67BC6" w14:textId="77777777" w:rsidR="003B0561" w:rsidRDefault="00AB1B62">
      <w:pPr>
        <w:pBdr>
          <w:top w:val="nil"/>
          <w:left w:val="nil"/>
          <w:bottom w:val="nil"/>
          <w:right w:val="nil"/>
          <w:between w:val="nil"/>
        </w:pBdr>
        <w:spacing w:after="140"/>
        <w:rPr>
          <w:color w:val="000000"/>
        </w:rPr>
      </w:pPr>
      <w:r>
        <w:rPr>
          <w:color w:val="000000"/>
        </w:rPr>
        <w:t xml:space="preserve">23. Investing.com. (2025). Earnings call transcript: NVIDIA Q3 2025 sees revenue surge, stock rises. [Online] Available at: </w:t>
      </w:r>
      <w:hyperlink r:id="rId28">
        <w:r>
          <w:rPr>
            <w:color w:val="000080"/>
            <w:u w:val="single"/>
          </w:rPr>
          <w:t>https://in.investing.com/news/transcripts/earnings-call-transcript-nvidia-q3-2025-sees-revenue-surge-stock-rises-93CH-5118417</w:t>
        </w:r>
      </w:hyperlink>
    </w:p>
    <w:p w14:paraId="11274E9F" w14:textId="77777777" w:rsidR="003B0561" w:rsidRDefault="00AB1B62">
      <w:pPr>
        <w:pBdr>
          <w:top w:val="nil"/>
          <w:left w:val="nil"/>
          <w:bottom w:val="nil"/>
          <w:right w:val="nil"/>
          <w:between w:val="nil"/>
        </w:pBdr>
        <w:spacing w:after="140"/>
        <w:rPr>
          <w:color w:val="000000"/>
        </w:rPr>
      </w:pPr>
      <w:r>
        <w:rPr>
          <w:color w:val="000000"/>
        </w:rPr>
        <w:t xml:space="preserve">24. NVIDIA Announces Project GR00T Foundation Model for Humanoid Robots and Major Isaac Robotics Platform Update (2024). </w:t>
      </w:r>
      <w:hyperlink r:id="rId29">
        <w:r>
          <w:rPr>
            <w:color w:val="000080"/>
            <w:u w:val="single"/>
          </w:rPr>
          <w:t>https://investor.nvidia.com/news/press-release-details/2024/NVIDIA-Announces-Project-GR00T-Foundation-Model-for-Humanoid-Robots-and-Major-Isaac-Robotics-Platform-Update/</w:t>
        </w:r>
      </w:hyperlink>
    </w:p>
    <w:p w14:paraId="2BFFEE9F" w14:textId="77777777" w:rsidR="003B0561" w:rsidRDefault="00AB1B62">
      <w:pPr>
        <w:pBdr>
          <w:top w:val="nil"/>
          <w:left w:val="nil"/>
          <w:bottom w:val="nil"/>
          <w:right w:val="nil"/>
          <w:between w:val="nil"/>
        </w:pBdr>
        <w:spacing w:after="140"/>
        <w:rPr>
          <w:color w:val="000000"/>
        </w:rPr>
      </w:pPr>
      <w:r>
        <w:rPr>
          <w:color w:val="000000"/>
        </w:rPr>
        <w:t>25. Adobe 2025 AI and Digital trends report, Adobe (2025</w:t>
      </w:r>
      <w:proofErr w:type="gramStart"/>
      <w:r>
        <w:rPr>
          <w:color w:val="000000"/>
        </w:rPr>
        <w:t>) .</w:t>
      </w:r>
      <w:proofErr w:type="gramEnd"/>
      <w:r>
        <w:rPr>
          <w:color w:val="000000"/>
        </w:rPr>
        <w:t xml:space="preserve"> </w:t>
      </w:r>
      <w:hyperlink r:id="rId30">
        <w:r>
          <w:rPr>
            <w:color w:val="000080"/>
            <w:u w:val="single"/>
          </w:rPr>
          <w:t>https://business.adobe.com/resources/digital-trends-report.html</w:t>
        </w:r>
      </w:hyperlink>
    </w:p>
    <w:p w14:paraId="147220D5" w14:textId="77777777" w:rsidR="003B0561" w:rsidRDefault="00AB1B62">
      <w:pPr>
        <w:pBdr>
          <w:top w:val="nil"/>
          <w:left w:val="nil"/>
          <w:bottom w:val="nil"/>
          <w:right w:val="nil"/>
          <w:between w:val="nil"/>
        </w:pBdr>
        <w:spacing w:after="140"/>
        <w:rPr>
          <w:color w:val="000000"/>
        </w:rPr>
      </w:pPr>
      <w:r>
        <w:rPr>
          <w:color w:val="000000"/>
        </w:rPr>
        <w:lastRenderedPageBreak/>
        <w:t>26. NYT v. OpenAI: The Times’s About-Face (2024</w:t>
      </w:r>
      <w:proofErr w:type="gramStart"/>
      <w:r>
        <w:rPr>
          <w:color w:val="000000"/>
        </w:rPr>
        <w:t>) .</w:t>
      </w:r>
      <w:proofErr w:type="gramEnd"/>
      <w:r>
        <w:rPr>
          <w:color w:val="000000"/>
        </w:rPr>
        <w:t xml:space="preserve"> </w:t>
      </w:r>
      <w:hyperlink r:id="rId31">
        <w:r>
          <w:rPr>
            <w:color w:val="000080"/>
            <w:u w:val="single"/>
          </w:rPr>
          <w:t>https://harvardlawreview.org/blog/2024/04/nyt-v-openai-the-timess-about-face/</w:t>
        </w:r>
      </w:hyperlink>
    </w:p>
    <w:p w14:paraId="79624166" w14:textId="77777777" w:rsidR="003B0561" w:rsidRDefault="00AB1B62">
      <w:pPr>
        <w:pBdr>
          <w:top w:val="nil"/>
          <w:left w:val="nil"/>
          <w:bottom w:val="nil"/>
          <w:right w:val="nil"/>
          <w:between w:val="nil"/>
        </w:pBdr>
        <w:spacing w:after="140"/>
        <w:rPr>
          <w:color w:val="000000"/>
        </w:rPr>
      </w:pPr>
      <w:r>
        <w:rPr>
          <w:color w:val="000000"/>
        </w:rPr>
        <w:t>27. $1.5 Billion Bartz v. Anthropic Settlement, Copyright Alliance (2025</w:t>
      </w:r>
      <w:proofErr w:type="gramStart"/>
      <w:r>
        <w:rPr>
          <w:color w:val="000000"/>
        </w:rPr>
        <w:t>) .</w:t>
      </w:r>
      <w:proofErr w:type="gramEnd"/>
      <w:r>
        <w:rPr>
          <w:color w:val="000000"/>
        </w:rPr>
        <w:t xml:space="preserve">  </w:t>
      </w:r>
      <w:hyperlink r:id="rId32">
        <w:r>
          <w:rPr>
            <w:color w:val="000080"/>
            <w:u w:val="single"/>
          </w:rPr>
          <w:t>https://copyrightalliance.org/participating-bartz-v-anthropic-settlement/</w:t>
        </w:r>
      </w:hyperlink>
    </w:p>
    <w:p w14:paraId="4973E4D5" w14:textId="77777777" w:rsidR="003B0561" w:rsidRDefault="00AB1B62">
      <w:pPr>
        <w:pBdr>
          <w:top w:val="nil"/>
          <w:left w:val="nil"/>
          <w:bottom w:val="nil"/>
          <w:right w:val="nil"/>
          <w:between w:val="nil"/>
        </w:pBdr>
        <w:spacing w:after="140"/>
        <w:rPr>
          <w:color w:val="000000"/>
        </w:rPr>
      </w:pPr>
      <w:r>
        <w:rPr>
          <w:color w:val="000000"/>
        </w:rPr>
        <w:t xml:space="preserve">28. Shaping Europe’s digital future, AI </w:t>
      </w:r>
      <w:proofErr w:type="gramStart"/>
      <w:r>
        <w:rPr>
          <w:color w:val="000000"/>
        </w:rPr>
        <w:t>act,  EU</w:t>
      </w:r>
      <w:proofErr w:type="gramEnd"/>
      <w:r>
        <w:rPr>
          <w:color w:val="000000"/>
        </w:rPr>
        <w:t xml:space="preserve"> (2025). </w:t>
      </w:r>
      <w:hyperlink r:id="rId33">
        <w:r>
          <w:rPr>
            <w:color w:val="000080"/>
            <w:u w:val="single"/>
          </w:rPr>
          <w:t>https://digital-strategy.ec.europa.eu/en/policies/regulatory-framework-ai</w:t>
        </w:r>
      </w:hyperlink>
    </w:p>
    <w:p w14:paraId="7E1EA61A" w14:textId="77777777" w:rsidR="003B0561" w:rsidRDefault="00AB1B62">
      <w:pPr>
        <w:pBdr>
          <w:top w:val="nil"/>
          <w:left w:val="nil"/>
          <w:bottom w:val="nil"/>
          <w:right w:val="nil"/>
          <w:between w:val="nil"/>
        </w:pBdr>
        <w:spacing w:after="140"/>
        <w:rPr>
          <w:color w:val="000000"/>
        </w:rPr>
      </w:pPr>
      <w:r>
        <w:rPr>
          <w:color w:val="000000"/>
        </w:rPr>
        <w:t xml:space="preserve">29. News Corp and OpenAI Sign Landmark Multi-Year Global Partnership, </w:t>
      </w:r>
      <w:proofErr w:type="spellStart"/>
      <w:r>
        <w:rPr>
          <w:color w:val="000000"/>
        </w:rPr>
        <w:t>Newscorp</w:t>
      </w:r>
      <w:proofErr w:type="spellEnd"/>
      <w:r>
        <w:rPr>
          <w:color w:val="000000"/>
        </w:rPr>
        <w:t xml:space="preserve"> (2024). </w:t>
      </w:r>
      <w:hyperlink r:id="rId34">
        <w:r>
          <w:rPr>
            <w:color w:val="000080"/>
            <w:u w:val="single"/>
          </w:rPr>
          <w:t>https://investors.newscorp.com/news-releases/news-release-details/news-corp-and-openai-sign-landmark-multi-year-global-partnership</w:t>
        </w:r>
      </w:hyperlink>
    </w:p>
    <w:p w14:paraId="78D734C5" w14:textId="77777777" w:rsidR="003B0561" w:rsidRDefault="003B0561">
      <w:pPr>
        <w:pBdr>
          <w:top w:val="nil"/>
          <w:left w:val="nil"/>
          <w:bottom w:val="nil"/>
          <w:right w:val="nil"/>
          <w:between w:val="nil"/>
        </w:pBdr>
        <w:spacing w:after="140"/>
        <w:rPr>
          <w:color w:val="000000"/>
        </w:rPr>
      </w:pPr>
    </w:p>
    <w:p w14:paraId="7310572F" w14:textId="77777777" w:rsidR="003B0561" w:rsidRDefault="003B0561">
      <w:pPr>
        <w:pBdr>
          <w:top w:val="nil"/>
          <w:left w:val="nil"/>
          <w:bottom w:val="nil"/>
          <w:right w:val="nil"/>
          <w:between w:val="nil"/>
        </w:pBdr>
        <w:spacing w:after="140"/>
        <w:rPr>
          <w:color w:val="000000"/>
        </w:rPr>
      </w:pPr>
    </w:p>
    <w:p w14:paraId="54ED9C63" w14:textId="77777777" w:rsidR="003B0561" w:rsidRDefault="003B0561">
      <w:pPr>
        <w:pBdr>
          <w:top w:val="nil"/>
          <w:left w:val="nil"/>
          <w:bottom w:val="nil"/>
          <w:right w:val="nil"/>
          <w:between w:val="nil"/>
        </w:pBdr>
        <w:spacing w:after="140"/>
        <w:rPr>
          <w:color w:val="000000"/>
        </w:rPr>
      </w:pPr>
    </w:p>
    <w:p w14:paraId="3A95549D" w14:textId="77777777" w:rsidR="003B0561" w:rsidRDefault="003B0561">
      <w:pPr>
        <w:pBdr>
          <w:top w:val="nil"/>
          <w:left w:val="nil"/>
          <w:bottom w:val="nil"/>
          <w:right w:val="nil"/>
          <w:between w:val="nil"/>
        </w:pBdr>
        <w:spacing w:after="140"/>
        <w:rPr>
          <w:color w:val="000000"/>
        </w:rPr>
      </w:pPr>
    </w:p>
    <w:p w14:paraId="0DDBCBED" w14:textId="77777777" w:rsidR="003B0561" w:rsidRDefault="003B0561">
      <w:pPr>
        <w:pBdr>
          <w:top w:val="nil"/>
          <w:left w:val="nil"/>
          <w:bottom w:val="nil"/>
          <w:right w:val="nil"/>
          <w:between w:val="nil"/>
        </w:pBdr>
        <w:spacing w:after="140"/>
        <w:jc w:val="both"/>
        <w:rPr>
          <w:color w:val="000000"/>
        </w:rPr>
      </w:pPr>
    </w:p>
    <w:p w14:paraId="442B021D" w14:textId="77777777" w:rsidR="003B0561" w:rsidRDefault="003B0561">
      <w:pPr>
        <w:widowControl w:val="0"/>
        <w:rPr>
          <w:sz w:val="24"/>
          <w:szCs w:val="24"/>
        </w:rPr>
      </w:pPr>
    </w:p>
    <w:p w14:paraId="40FCE329" w14:textId="77777777" w:rsidR="003B0561" w:rsidRDefault="003B0561">
      <w:pPr>
        <w:widowControl w:val="0"/>
        <w:rPr>
          <w:sz w:val="24"/>
          <w:szCs w:val="24"/>
        </w:rPr>
      </w:pPr>
    </w:p>
    <w:p w14:paraId="40A36074" w14:textId="77777777" w:rsidR="003B0561" w:rsidRDefault="003B0561">
      <w:pPr>
        <w:widowControl w:val="0"/>
        <w:rPr>
          <w:sz w:val="24"/>
          <w:szCs w:val="24"/>
        </w:rPr>
      </w:pPr>
    </w:p>
    <w:p w14:paraId="56B823B2" w14:textId="141AECD5" w:rsidR="003B0561" w:rsidRDefault="00F06936">
      <w:pPr>
        <w:spacing w:after="200" w:line="360" w:lineRule="auto"/>
        <w:jc w:val="both"/>
        <w:rPr>
          <w:sz w:val="24"/>
          <w:szCs w:val="24"/>
        </w:rPr>
      </w:pPr>
      <w:r>
        <w:rPr>
          <w:sz w:val="24"/>
          <w:szCs w:val="24"/>
        </w:rPr>
        <w:t>x</w:t>
      </w:r>
    </w:p>
    <w:sectPr w:rsidR="003B0561">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471D3" w14:textId="77777777" w:rsidR="00AB1B62" w:rsidRDefault="00AB1B62">
      <w:pPr>
        <w:spacing w:line="240" w:lineRule="auto"/>
      </w:pPr>
      <w:r>
        <w:separator/>
      </w:r>
    </w:p>
  </w:endnote>
  <w:endnote w:type="continuationSeparator" w:id="0">
    <w:p w14:paraId="7B7B9592" w14:textId="77777777" w:rsidR="00AB1B62" w:rsidRDefault="00AB1B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F84D4" w14:textId="77777777" w:rsidR="003B0561" w:rsidRDefault="003B0561">
    <w:pPr>
      <w:pBdr>
        <w:top w:val="nil"/>
        <w:left w:val="nil"/>
        <w:bottom w:val="nil"/>
        <w:right w:val="nil"/>
        <w:between w:val="nil"/>
      </w:pBdr>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AB064" w14:textId="77777777" w:rsidR="003B0561" w:rsidRDefault="00AB1B62">
    <w:pPr>
      <w:rPr>
        <w:rFonts w:ascii="Times New Roman" w:eastAsia="Times New Roman" w:hAnsi="Times New Roman" w:cs="Times New Roman"/>
        <w:sz w:val="24"/>
        <w:szCs w:val="24"/>
      </w:rPr>
    </w:pPr>
    <w:r>
      <w:fldChar w:fldCharType="begin"/>
    </w:r>
    <w:r>
      <w:instrText>PAGE</w:instrText>
    </w:r>
    <w:r>
      <w:fldChar w:fldCharType="separate"/>
    </w:r>
    <w:r w:rsidR="00E04D2D">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25616" w14:textId="77777777" w:rsidR="003B0561" w:rsidRDefault="00AB1B62">
    <w:pPr>
      <w:rPr>
        <w:rFonts w:ascii="Times New Roman" w:eastAsia="Times New Roman" w:hAnsi="Times New Roman" w:cs="Times New Roman"/>
        <w:sz w:val="24"/>
        <w:szCs w:val="24"/>
      </w:rPr>
    </w:pP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BCAB3" w14:textId="77777777" w:rsidR="00AB1B62" w:rsidRDefault="00AB1B62">
      <w:pPr>
        <w:spacing w:line="240" w:lineRule="auto"/>
      </w:pPr>
      <w:r>
        <w:separator/>
      </w:r>
    </w:p>
  </w:footnote>
  <w:footnote w:type="continuationSeparator" w:id="0">
    <w:p w14:paraId="3B906D8F" w14:textId="77777777" w:rsidR="00AB1B62" w:rsidRDefault="00AB1B6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174E60" w14:textId="77777777" w:rsidR="003B0561" w:rsidRDefault="003B0561">
    <w:pPr>
      <w:pBdr>
        <w:top w:val="nil"/>
        <w:left w:val="nil"/>
        <w:bottom w:val="nil"/>
        <w:right w:val="nil"/>
        <w:between w:val="nil"/>
      </w:pBdr>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07210B" w14:textId="77777777" w:rsidR="003B0561" w:rsidRDefault="00AB1B62">
    <w:bookmarkStart w:id="3" w:name="_yg33dvjrv4vt" w:colFirst="0" w:colLast="0"/>
    <w:bookmarkEnd w:id="3"/>
    <w:r>
      <w:rPr>
        <w:noProof/>
      </w:rPr>
      <w:drawing>
        <wp:inline distT="0" distB="0" distL="0" distR="0" wp14:anchorId="3898612E" wp14:editId="48D4F99A">
          <wp:extent cx="1783715" cy="951865"/>
          <wp:effectExtent l="0" t="0" r="0" b="0"/>
          <wp:docPr id="3" name="image2.png" descr="IMG_256"/>
          <wp:cNvGraphicFramePr/>
          <a:graphic xmlns:a="http://schemas.openxmlformats.org/drawingml/2006/main">
            <a:graphicData uri="http://schemas.openxmlformats.org/drawingml/2006/picture">
              <pic:pic xmlns:pic="http://schemas.openxmlformats.org/drawingml/2006/picture">
                <pic:nvPicPr>
                  <pic:cNvPr id="0" name="image2.png" descr="IMG_256"/>
                  <pic:cNvPicPr preferRelativeResize="0"/>
                </pic:nvPicPr>
                <pic:blipFill>
                  <a:blip r:embed="rId1"/>
                  <a:srcRect/>
                  <a:stretch>
                    <a:fillRect/>
                  </a:stretch>
                </pic:blipFill>
                <pic:spPr>
                  <a:xfrm>
                    <a:off x="0" y="0"/>
                    <a:ext cx="1783715" cy="951865"/>
                  </a:xfrm>
                  <a:prstGeom prst="rect">
                    <a:avLst/>
                  </a:prstGeom>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0BEEF7" w14:textId="77777777" w:rsidR="003B0561" w:rsidRDefault="00AB1B62">
    <w:r>
      <w:rPr>
        <w:noProof/>
      </w:rPr>
      <w:drawing>
        <wp:inline distT="0" distB="0" distL="0" distR="0" wp14:anchorId="2D786542" wp14:editId="7ED1666C">
          <wp:extent cx="1783715" cy="951865"/>
          <wp:effectExtent l="0" t="0" r="0" b="0"/>
          <wp:docPr id="2" name="image2.png" descr="IMG_256"/>
          <wp:cNvGraphicFramePr/>
          <a:graphic xmlns:a="http://schemas.openxmlformats.org/drawingml/2006/main">
            <a:graphicData uri="http://schemas.openxmlformats.org/drawingml/2006/picture">
              <pic:pic xmlns:pic="http://schemas.openxmlformats.org/drawingml/2006/picture">
                <pic:nvPicPr>
                  <pic:cNvPr id="0" name="image2.png" descr="IMG_256"/>
                  <pic:cNvPicPr preferRelativeResize="0"/>
                </pic:nvPicPr>
                <pic:blipFill>
                  <a:blip r:embed="rId1"/>
                  <a:srcRect/>
                  <a:stretch>
                    <a:fillRect/>
                  </a:stretch>
                </pic:blipFill>
                <pic:spPr>
                  <a:xfrm>
                    <a:off x="0" y="0"/>
                    <a:ext cx="1783715" cy="951865"/>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561"/>
    <w:rsid w:val="000133E9"/>
    <w:rsid w:val="00044687"/>
    <w:rsid w:val="000D508E"/>
    <w:rsid w:val="003003F6"/>
    <w:rsid w:val="00300E80"/>
    <w:rsid w:val="003B0561"/>
    <w:rsid w:val="003D0030"/>
    <w:rsid w:val="003E10D4"/>
    <w:rsid w:val="003E3788"/>
    <w:rsid w:val="00402A7A"/>
    <w:rsid w:val="00416779"/>
    <w:rsid w:val="00931B5C"/>
    <w:rsid w:val="009C75D9"/>
    <w:rsid w:val="00A424A6"/>
    <w:rsid w:val="00AB1B62"/>
    <w:rsid w:val="00B27420"/>
    <w:rsid w:val="00B454DA"/>
    <w:rsid w:val="00E04D2D"/>
    <w:rsid w:val="00ED505B"/>
    <w:rsid w:val="00F06936"/>
    <w:rsid w:val="00FB6D5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5885F"/>
  <w15:docId w15:val="{57405C72-B857-4016-B934-98C3DF387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zh-CN" w:eastAsia="en-IN" w:bidi="gu-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ericsson.com/en/press-releases/5/2024/ericsson-mobility-report-5g-will-outpace-4g-in-2027" TargetMode="External"/><Relationship Id="rId18" Type="http://schemas.openxmlformats.org/officeDocument/2006/relationships/hyperlink" Target="https://www.theverge.com/2024/9/3/24234879/dutch-regulator-gdpr-clearview-ai-fine" TargetMode="External"/><Relationship Id="rId26" Type="http://schemas.openxmlformats.org/officeDocument/2006/relationships/hyperlink" Target="https://blog/" TargetMode="External"/><Relationship Id="rId39" Type="http://schemas.openxmlformats.org/officeDocument/2006/relationships/header" Target="header3.xml"/><Relationship Id="rId21" Type="http://schemas.openxmlformats.org/officeDocument/2006/relationships/hyperlink" Target="https://backlinko.com/chatgpt-stats" TargetMode="External"/><Relationship Id="rId34" Type="http://schemas.openxmlformats.org/officeDocument/2006/relationships/hyperlink" Target="https://investors.newscorp.com/news-releases/news-release-details/news-corp-and-openai-sign-landmark-multi-year-global-partnership" TargetMode="External"/><Relationship Id="rId42" Type="http://schemas.openxmlformats.org/officeDocument/2006/relationships/theme" Target="theme/theme1.xml"/><Relationship Id="rId7" Type="http://schemas.openxmlformats.org/officeDocument/2006/relationships/hyperlink" Target="https://ecipe.org/blog/us-sanctions-against-chinese-5g/" TargetMode="External"/><Relationship Id="rId2" Type="http://schemas.openxmlformats.org/officeDocument/2006/relationships/settings" Target="settings.xml"/><Relationship Id="rId16" Type="http://schemas.openxmlformats.org/officeDocument/2006/relationships/hyperlink" Target="https://my.idc.com/getdoc.jsp?containerId=prUS53894425" TargetMode="External"/><Relationship Id="rId20" Type="http://schemas.openxmlformats.org/officeDocument/2006/relationships/hyperlink" Target="https://doi.org/10.1093/ulr/unae040" TargetMode="External"/><Relationship Id="rId29" Type="http://schemas.openxmlformats.org/officeDocument/2006/relationships/hyperlink" Target="https://investor.nvidia.com/news/press-release-details/2024/NVIDIA-Announces-Project-GR00T-Foundation-Model-for-Humanoid-Robots-and-Major-Isaac-Robotics-Platform-Update/"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media-assets-prod.gsmaintelligence.com/content/210224-The-State-of-5G-2024-compressed.pdf" TargetMode="External"/><Relationship Id="rId24" Type="http://schemas.openxmlformats.org/officeDocument/2006/relationships/hyperlink" Target="https://news.microsoft.com/source/asia/2024/11/19/ignite-2024-why-nearly-70-of-the-fortune-500-now-use-microsoft-365-copilot-en/" TargetMode="External"/><Relationship Id="rId32" Type="http://schemas.openxmlformats.org/officeDocument/2006/relationships/hyperlink" Target="https://copyrightalliance.org/participating-bartz-v-anthropic-settlement/"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doi.org/10.48550/arXiv.2504.16026v2" TargetMode="External"/><Relationship Id="rId23" Type="http://schemas.openxmlformats.org/officeDocument/2006/relationships/hyperlink" Target="https://nvidianews.nvidia.com/news/nvidia-blackwell-platform-arrives-to-power-a-new-era-of-computing" TargetMode="External"/><Relationship Id="rId28" Type="http://schemas.openxmlformats.org/officeDocument/2006/relationships/hyperlink" Target="https://in.investing.com/news/transcripts/earnings-call-transcript-nvidia-q3-2025-sees-revenue-surge-stock-rises-93CH-5118417" TargetMode="External"/><Relationship Id="rId36" Type="http://schemas.openxmlformats.org/officeDocument/2006/relationships/header" Target="header2.xml"/><Relationship Id="rId10" Type="http://schemas.openxmlformats.org/officeDocument/2006/relationships/hyperlink" Target="https://www.nokia.com/mobile-networks/ran/anyran/open-ran/" TargetMode="External"/><Relationship Id="rId19" Type="http://schemas.openxmlformats.org/officeDocument/2006/relationships/hyperlink" Target="https://f1000research.com/articles/13-418/v1" TargetMode="External"/><Relationship Id="rId31" Type="http://schemas.openxmlformats.org/officeDocument/2006/relationships/hyperlink" Target="https://harvardlawreview.org/blog/2024/04/nyt-v-openai-the-timess-about-face/" TargetMode="External"/><Relationship Id="rId4" Type="http://schemas.openxmlformats.org/officeDocument/2006/relationships/footnotes" Target="footnotes.xml"/><Relationship Id="rId9" Type="http://schemas.openxmlformats.org/officeDocument/2006/relationships/hyperlink" Target="https://www.huawei.com/en/annual-report/2024" TargetMode="External"/><Relationship Id="rId14" Type="http://schemas.openxmlformats.org/officeDocument/2006/relationships/hyperlink" Target="https://doi.org/10.1787/623d1874-en" TargetMode="External"/><Relationship Id="rId22" Type="http://schemas.openxmlformats.org/officeDocument/2006/relationships/hyperlink" Target="https://www.ibm.com/think/news/2025-open-ai-trends" TargetMode="External"/><Relationship Id="rId27" Type="http://schemas.openxmlformats.org/officeDocument/2006/relationships/hyperlink" Target="https://blog.google/products/gemini/gemini-3" TargetMode="External"/><Relationship Id="rId30" Type="http://schemas.openxmlformats.org/officeDocument/2006/relationships/hyperlink" Target="https://business.adobe.com/resources/digital-trends-report.html" TargetMode="External"/><Relationship Id="rId35" Type="http://schemas.openxmlformats.org/officeDocument/2006/relationships/header" Target="header1.xml"/><Relationship Id="rId8" Type="http://schemas.openxmlformats.org/officeDocument/2006/relationships/hyperlink" Target="https://www.huawei.com/en/ipr" TargetMode="External"/><Relationship Id="rId3" Type="http://schemas.openxmlformats.org/officeDocument/2006/relationships/webSettings" Target="webSettings.xml"/><Relationship Id="rId12" Type="http://schemas.openxmlformats.org/officeDocument/2006/relationships/hyperlink" Target="https://doi.org/10.1016/j.ijis.2018.08.001" TargetMode="External"/><Relationship Id="rId17" Type="http://schemas.openxmlformats.org/officeDocument/2006/relationships/hyperlink" Target="https://www.mckinsey.com/capabilities/quantumblack/our-insights/the-state-of-ai" TargetMode="External"/><Relationship Id="rId25" Type="http://schemas.openxmlformats.org/officeDocument/2006/relationships/hyperlink" Target="https://cdn.openai.com/pdf/a253471f-8260-40c6-a2cc-aa93fe9f142e/economic-research-chatgpt-usage-paper.pdf" TargetMode="External"/><Relationship Id="rId33" Type="http://schemas.openxmlformats.org/officeDocument/2006/relationships/hyperlink" Target="https://digital-strategy.ec.europa.eu/en/policies/regulatory-framework-ai" TargetMode="External"/><Relationship Id="rId38"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18</Pages>
  <Words>4036</Words>
  <Characters>23011</Characters>
  <Application>Microsoft Office Word</Application>
  <DocSecurity>0</DocSecurity>
  <Lines>191</Lines>
  <Paragraphs>53</Paragraphs>
  <ScaleCrop>false</ScaleCrop>
  <Company/>
  <LinksUpToDate>false</LinksUpToDate>
  <CharactersWithSpaces>26994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Dipak Modhavadiya</cp:lastModifiedBy>
  <cp:revision>2</cp:revision>
  <dcterms:created xsi:type="dcterms:W3CDTF">2025-11-21T09:34:00Z</dcterms:created>
  <dcterms:modified xsi:type="dcterms:W3CDTF">2025-11-21T09:34:00Z</dcterms:modified>
</cp:coreProperties>
</file>