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4749461"/>
        <w:docPartObj>
          <w:docPartGallery w:val="Cover Pages"/>
          <w:docPartUnique/>
        </w:docPartObj>
      </w:sdtPr>
      <w:sdtEndPr/>
      <w:sdtContent>
        <w:p w:rsidR="00DC5E5C" w:rsidRPr="00DC5E5C" w:rsidRDefault="00DC5E5C">
          <w:r w:rsidRPr="00DC5E5C">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3727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Pr="00DC5E5C">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C5E5C" w:rsidRDefault="00DC5E5C">
                                    <w:pPr>
                                      <w:pStyle w:val="NoSpacing"/>
                                      <w:jc w:val="right"/>
                                      <w:rPr>
                                        <w:color w:val="595959" w:themeColor="text1" w:themeTint="A6"/>
                                        <w:sz w:val="28"/>
                                        <w:szCs w:val="28"/>
                                      </w:rPr>
                                    </w:pPr>
                                    <w:r>
                                      <w:rPr>
                                        <w:color w:val="595959" w:themeColor="text1" w:themeTint="A6"/>
                                        <w:sz w:val="28"/>
                                        <w:szCs w:val="28"/>
                                      </w:rPr>
                                      <w:t>Microsoft Office User</w:t>
                                    </w:r>
                                  </w:p>
                                </w:sdtContent>
                              </w:sdt>
                              <w:p w:rsidR="00DC5E5C" w:rsidRDefault="00DC5E5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C5E5C" w:rsidRDefault="00DC5E5C">
                              <w:pPr>
                                <w:pStyle w:val="NoSpacing"/>
                                <w:jc w:val="right"/>
                                <w:rPr>
                                  <w:color w:val="595959" w:themeColor="text1" w:themeTint="A6"/>
                                  <w:sz w:val="28"/>
                                  <w:szCs w:val="28"/>
                                </w:rPr>
                              </w:pPr>
                              <w:r>
                                <w:rPr>
                                  <w:color w:val="595959" w:themeColor="text1" w:themeTint="A6"/>
                                  <w:sz w:val="28"/>
                                  <w:szCs w:val="28"/>
                                </w:rPr>
                                <w:t>Microsoft Office User</w:t>
                              </w:r>
                            </w:p>
                          </w:sdtContent>
                        </w:sdt>
                        <w:p w:rsidR="00DC5E5C" w:rsidRDefault="00DC5E5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rsidR="00A552BF" w:rsidRPr="00A552BF" w:rsidRDefault="00DC5E5C" w:rsidP="00A552BF">
          <w:pPr>
            <w:rPr>
              <w:rFonts w:eastAsia="Times New Roman" w:cs="Times New Roman"/>
            </w:rPr>
          </w:pPr>
          <w:r w:rsidRPr="00DC5E5C">
            <w:rPr>
              <w:rFonts w:eastAsia="Times New Roman" w:cs="Times New Roman"/>
              <w:noProof/>
            </w:rPr>
            <w:drawing>
              <wp:anchor distT="0" distB="0" distL="114300" distR="114300" simplePos="0" relativeHeight="251663360" behindDoc="0" locked="0" layoutInCell="1" allowOverlap="1">
                <wp:simplePos x="0" y="0"/>
                <wp:positionH relativeFrom="margin">
                  <wp:posOffset>-160020</wp:posOffset>
                </wp:positionH>
                <wp:positionV relativeFrom="margin">
                  <wp:posOffset>616585</wp:posOffset>
                </wp:positionV>
                <wp:extent cx="5890260" cy="4191635"/>
                <wp:effectExtent l="0" t="0" r="2540" b="0"/>
                <wp:wrapSquare wrapText="bothSides"/>
                <wp:docPr id="1" name="Picture 1" descr="Corporate Criminal Liability and Theories of Criminal L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Criminal Liability and Theories of Criminal Liabil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0260" cy="4191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5E5C">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507111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071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E5C" w:rsidRDefault="00DC5E5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Criminal Law Assignment 2: Scenario Question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C5E5C" w:rsidRDefault="00DC5E5C">
                                    <w:pPr>
                                      <w:jc w:val="right"/>
                                      <w:rPr>
                                        <w:smallCaps/>
                                        <w:color w:val="404040" w:themeColor="text1" w:themeTint="BF"/>
                                        <w:sz w:val="36"/>
                                        <w:szCs w:val="36"/>
                                      </w:rPr>
                                    </w:pPr>
                                    <w:r>
                                      <w:rPr>
                                        <w:color w:val="404040" w:themeColor="text1" w:themeTint="BF"/>
                                        <w:sz w:val="36"/>
                                        <w:szCs w:val="36"/>
                                      </w:rPr>
                                      <w:t>By James Hudson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0;margin-top:0;width:8in;height:399.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" filled="f" stroked="f" strokeweight=".5pt">
                    <v:textbox inset="126pt,0,54pt,0">
                      <w:txbxContent>
                        <w:p w:rsidR="00DC5E5C" w:rsidRDefault="00DC5E5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Criminal Law Assignment 2: Scenario Question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C5E5C" w:rsidRDefault="00DC5E5C">
                              <w:pPr>
                                <w:jc w:val="right"/>
                                <w:rPr>
                                  <w:smallCaps/>
                                  <w:color w:val="404040" w:themeColor="text1" w:themeTint="BF"/>
                                  <w:sz w:val="36"/>
                                  <w:szCs w:val="36"/>
                                </w:rPr>
                              </w:pPr>
                              <w:r>
                                <w:rPr>
                                  <w:color w:val="404040" w:themeColor="text1" w:themeTint="BF"/>
                                  <w:sz w:val="36"/>
                                  <w:szCs w:val="36"/>
                                </w:rPr>
                                <w:t>By James Hudson</w:t>
                              </w:r>
                            </w:p>
                          </w:sdtContent>
                        </w:sdt>
                      </w:txbxContent>
                    </v:textbox>
                    <w10:wrap type="square" anchorx="page" anchory="page"/>
                  </v:shape>
                </w:pict>
              </mc:Fallback>
            </mc:AlternateContent>
          </w:r>
          <w:r w:rsidRPr="00DC5E5C">
            <w:br w:type="page"/>
          </w:r>
          <w:bookmarkStart w:id="0" w:name="_GoBack"/>
          <w:r w:rsidRPr="00DC5E5C">
            <w:rPr>
              <w:rFonts w:eastAsia="Times New Roman" w:cs="Times New Roman"/>
            </w:rPr>
            <w:lastRenderedPageBreak/>
            <w:fldChar w:fldCharType="begin"/>
          </w:r>
          <w:r w:rsidRPr="00DC5E5C">
            <w:rPr>
              <w:rFonts w:eastAsia="Times New Roman" w:cs="Times New Roman"/>
            </w:rPr>
            <w:instrText xml:space="preserve"> INCLUDEPICTURE "/var/folders/qn/lpj0lr595tx7tk06hqyw77yh0000gp/T/com.microsoft.Word/WebArchiveCopyPasteTempFiles/2Q==" \* MERGEFORMATINET </w:instrText>
          </w:r>
          <w:r w:rsidRPr="00DC5E5C">
            <w:rPr>
              <w:rFonts w:eastAsia="Times New Roman" w:cs="Times New Roman"/>
            </w:rPr>
            <w:fldChar w:fldCharType="separate"/>
          </w:r>
          <w:r w:rsidRPr="00DC5E5C">
            <w:rPr>
              <w:rFonts w:eastAsia="Times New Roman" w:cs="Times New Roman"/>
            </w:rPr>
            <w:fldChar w:fldCharType="end"/>
          </w:r>
          <w:r>
            <w:t>I’m going to start by introducing the case by summarising what actually happened in the case, and will explain the structure I will be following to answer it</w:t>
          </w:r>
          <w:r w:rsidR="00A552BF">
            <w:t>. I will identify the potential criminal offences that Paula, Harriet and Leon could be criminally liable for, applying the law as reference for the offences, as well as previous case law, to help fortify my statements with further information, and context. I will also be discussing the potential defences that could be used to justify actions by the defendants. To gain a better understanding of the situation that the brief describes, I will also present other potential criminal offences, that the defendants may be liable for, to represent the criminal acts that they had committed, so that in the future, they can ensure that they will not act the same way., I will finally summarise the topics I have been discussing, to show further understanding of the case, and case law.</w:t>
          </w:r>
        </w:p>
        <w:p w:rsidR="00A552BF" w:rsidRDefault="00A552BF" w:rsidP="00A552BF">
          <w:pPr>
            <w:shd w:val="clear" w:color="auto" w:fill="FFFFFF" w:themeFill="background1"/>
          </w:pPr>
        </w:p>
        <w:p w:rsidR="00A552BF" w:rsidRDefault="00A552BF" w:rsidP="00A552BF">
          <w:pPr>
            <w:shd w:val="clear" w:color="auto" w:fill="FFFFFF" w:themeFill="background1"/>
            <w:rPr>
              <w:rFonts w:eastAsia="Arial" w:cs="Arial"/>
            </w:rPr>
          </w:pPr>
          <w:r>
            <w:t xml:space="preserve">Out of everyone who would be liable for a criminal act, I would like to first discuss Paula’s potential liability. </w:t>
          </w:r>
          <w:r>
            <w:t xml:space="preserve">Paula would be </w:t>
          </w:r>
          <w:r>
            <w:t xml:space="preserve">potentially </w:t>
          </w:r>
          <w:r>
            <w:t xml:space="preserve">liable for </w:t>
          </w:r>
          <w:r>
            <w:t xml:space="preserve">committing </w:t>
          </w:r>
          <w:r>
            <w:t xml:space="preserve">Theft as, under the Theft Act 1968, according to </w:t>
          </w:r>
          <w:sdt>
            <w:sdtPr>
              <w:id w:val="-1486002259"/>
              <w:citation/>
            </w:sdtPr>
            <w:sdtContent>
              <w:r>
                <w:fldChar w:fldCharType="begin"/>
              </w:r>
              <w:r>
                <w:instrText xml:space="preserve">CITATION Gov68 \l 2057 </w:instrText>
              </w:r>
              <w:r>
                <w:fldChar w:fldCharType="separate"/>
              </w:r>
              <w:r w:rsidRPr="00A552BF">
                <w:rPr>
                  <w:noProof/>
                </w:rPr>
                <w:t>(GOV.UK, 1968)</w:t>
              </w:r>
              <w:r>
                <w:fldChar w:fldCharType="end"/>
              </w:r>
            </w:sdtContent>
          </w:sdt>
          <w:r>
            <w:t xml:space="preserve">. Her actions follow the criteria of the act, showing </w:t>
          </w:r>
          <w:r>
            <w:t xml:space="preserve">characteristics, such as </w:t>
          </w:r>
          <w:r>
            <w:t xml:space="preserve">‘Dishonesty’, ‘Appropriating’ the stolen item, being the purse that she placed in the foot well of the car at the end of the night, </w:t>
          </w:r>
          <w:r>
            <w:t>also</w:t>
          </w:r>
          <w:r>
            <w:t xml:space="preserve"> the text stating that Paula had been jealous of Christine for the </w:t>
          </w:r>
          <w:r w:rsidRPr="00A552BF">
            <w:t>“</w:t>
          </w:r>
          <w:r w:rsidRPr="00A552BF">
            <w:rPr>
              <w:rFonts w:eastAsia="Arial" w:cs="Arial"/>
            </w:rPr>
            <w:t>lavish gifts that Christine’s husband bought her” showing that</w:t>
          </w:r>
          <w:r>
            <w:rPr>
              <w:rFonts w:eastAsia="Arial" w:cs="Arial"/>
            </w:rPr>
            <w:t xml:space="preserve"> Paula had a motive to take the “property belonging to another with the intention of permanently depriving the other of it”</w:t>
          </w:r>
        </w:p>
        <w:p w:rsidR="00A552BF" w:rsidRDefault="00A552BF" w:rsidP="00DC5E5C">
          <w:pPr>
            <w:shd w:val="clear" w:color="auto" w:fill="FFFFFF" w:themeFill="background1"/>
          </w:pPr>
        </w:p>
        <w:p w:rsidR="00A552BF" w:rsidRDefault="00A552BF" w:rsidP="00DC5E5C">
          <w:pPr>
            <w:shd w:val="clear" w:color="auto" w:fill="FFFFFF" w:themeFill="background1"/>
          </w:pPr>
          <w:r>
            <w:t xml:space="preserve">Harriet who was also present at the party, could be liable for “Wounding and Inflicting bodily harm without intent” by the “Offences against the Person Act 1861”, according to </w:t>
          </w:r>
          <w:sdt>
            <w:sdtPr>
              <w:id w:val="-1274858769"/>
              <w:citation/>
            </w:sdtPr>
            <w:sdtContent>
              <w:r>
                <w:fldChar w:fldCharType="begin"/>
              </w:r>
              <w:r>
                <w:instrText xml:space="preserve"> CITATION GOV61 \l 2057 </w:instrText>
              </w:r>
              <w:r>
                <w:fldChar w:fldCharType="separate"/>
              </w:r>
              <w:r w:rsidRPr="00A552BF">
                <w:rPr>
                  <w:noProof/>
                </w:rPr>
                <w:t>(GOV.UK, 1861)</w:t>
              </w:r>
              <w:r>
                <w:fldChar w:fldCharType="end"/>
              </w:r>
            </w:sdtContent>
          </w:sdt>
          <w:r>
            <w:t>. The brief states “</w:t>
          </w:r>
          <w:r w:rsidRPr="00A552BF">
            <w:rPr>
              <w:rFonts w:eastAsia="Arial" w:cs="Arial"/>
            </w:rPr>
            <w:t>She also hit one of the other guests (Daniel) in the face, causing a broken cheek bone</w:t>
          </w:r>
          <w:r w:rsidRPr="00A552BF">
            <w:rPr>
              <w:rFonts w:eastAsia="Arial" w:cs="Arial"/>
            </w:rPr>
            <w:t>”</w:t>
          </w:r>
          <w:r>
            <w:rPr>
              <w:rFonts w:eastAsia="Arial" w:cs="Arial"/>
            </w:rPr>
            <w:t xml:space="preserve"> showing evidence of GBH, allowing for the incident to be considered as Battery.</w:t>
          </w:r>
          <w:r>
            <w:t xml:space="preserve"> As there isn’t proof of a clear intention to hit Daniel, after she has been spiked. Harriet also could be liable for Criminal Damage, under the “Criminal Damage Act 1971”, according to </w:t>
          </w:r>
          <w:sdt>
            <w:sdtPr>
              <w:id w:val="-734861281"/>
              <w:citation/>
            </w:sdtPr>
            <w:sdtContent>
              <w:r>
                <w:fldChar w:fldCharType="begin"/>
              </w:r>
              <w:r>
                <w:instrText xml:space="preserve"> CITATION GOV71 \l 2057 </w:instrText>
              </w:r>
              <w:r>
                <w:fldChar w:fldCharType="separate"/>
              </w:r>
              <w:r w:rsidRPr="00A552BF">
                <w:rPr>
                  <w:noProof/>
                </w:rPr>
                <w:t>(GOV.UK, 1971)</w:t>
              </w:r>
              <w:r>
                <w:fldChar w:fldCharType="end"/>
              </w:r>
            </w:sdtContent>
          </w:sdt>
          <w:r>
            <w:t>. To go with the assault, Harriet was also responsible for “</w:t>
          </w:r>
          <w:r w:rsidRPr="00A552BF">
            <w:rPr>
              <w:rFonts w:eastAsia="Arial" w:cs="Arial"/>
            </w:rPr>
            <w:t>smashing the large panes of glass in the bi-fold doors of Christine's kitchen</w:t>
          </w:r>
          <w:r>
            <w:t xml:space="preserve">”. </w:t>
          </w:r>
        </w:p>
        <w:p w:rsidR="00A552BF" w:rsidRDefault="00A552BF" w:rsidP="00DC5E5C">
          <w:pPr>
            <w:shd w:val="clear" w:color="auto" w:fill="FFFFFF" w:themeFill="background1"/>
          </w:pPr>
        </w:p>
        <w:p w:rsidR="00A552BF" w:rsidRDefault="00A552BF" w:rsidP="00DC5E5C">
          <w:pPr>
            <w:shd w:val="clear" w:color="auto" w:fill="FFFFFF" w:themeFill="background1"/>
          </w:pPr>
          <w:r>
            <w:t>Harriet may have inflicted these damages, however Leon may be liable for ‘spiking’ her, however note with the intention of provoking this kind of response, as it may have been unknown to him that “</w:t>
          </w:r>
          <w:r w:rsidRPr="00A552BF">
            <w:rPr>
              <w:rFonts w:eastAsia="Arial" w:cs="Arial"/>
            </w:rPr>
            <w:t>Harriet didn't drink alcohol due to the fact that she was allergic to it</w:t>
          </w:r>
          <w:r>
            <w:rPr>
              <w:rFonts w:eastAsia="Arial" w:cs="Arial"/>
            </w:rPr>
            <w:t>” which then caused her to start “</w:t>
          </w:r>
          <w:r w:rsidRPr="00A552BF">
            <w:rPr>
              <w:rFonts w:eastAsia="Arial" w:cs="Arial"/>
            </w:rPr>
            <w:t>suffering from hallucinations</w:t>
          </w:r>
          <w:r w:rsidRPr="00A552BF">
            <w:rPr>
              <w:rFonts w:eastAsia="Arial" w:cs="Arial"/>
            </w:rPr>
            <w:t>”</w:t>
          </w:r>
          <w:r>
            <w:rPr>
              <w:rFonts w:eastAsia="Arial" w:cs="Arial"/>
            </w:rPr>
            <w:t xml:space="preserve">. He may be liable for “Administering a substance with intent” based on the “Sexual Offences Act 2003” According to </w:t>
          </w:r>
          <w:sdt>
            <w:sdtPr>
              <w:rPr>
                <w:rFonts w:eastAsia="Arial" w:cs="Arial"/>
              </w:rPr>
              <w:id w:val="-1500270626"/>
              <w:citation/>
            </w:sdtPr>
            <w:sdtContent>
              <w:r>
                <w:rPr>
                  <w:rFonts w:eastAsia="Arial" w:cs="Arial"/>
                </w:rPr>
                <w:fldChar w:fldCharType="begin"/>
              </w:r>
              <w:r>
                <w:rPr>
                  <w:rFonts w:eastAsia="Arial" w:cs="Arial"/>
                </w:rPr>
                <w:instrText xml:space="preserve"> CITATION GOV03 \l 2057 </w:instrText>
              </w:r>
              <w:r>
                <w:rPr>
                  <w:rFonts w:eastAsia="Arial" w:cs="Arial"/>
                </w:rPr>
                <w:fldChar w:fldCharType="separate"/>
              </w:r>
              <w:r w:rsidRPr="00A552BF">
                <w:rPr>
                  <w:rFonts w:eastAsia="Arial" w:cs="Arial"/>
                  <w:noProof/>
                </w:rPr>
                <w:t>(GOV.UK, 2003)</w:t>
              </w:r>
              <w:r>
                <w:rPr>
                  <w:rFonts w:eastAsia="Arial" w:cs="Arial"/>
                </w:rPr>
                <w:fldChar w:fldCharType="end"/>
              </w:r>
            </w:sdtContent>
          </w:sdt>
          <w:r>
            <w:rPr>
              <w:rFonts w:eastAsia="Arial" w:cs="Arial"/>
            </w:rPr>
            <w:t>.</w:t>
          </w:r>
        </w:p>
        <w:p w:rsidR="00A552BF" w:rsidRDefault="00A552BF" w:rsidP="00DC5E5C">
          <w:pPr>
            <w:shd w:val="clear" w:color="auto" w:fill="FFFFFF" w:themeFill="background1"/>
          </w:pPr>
        </w:p>
        <w:p w:rsidR="00A552BF" w:rsidRDefault="00A552BF" w:rsidP="00A552BF">
          <w:pPr>
            <w:rPr>
              <w:rFonts w:eastAsia="Arial" w:cs="Arial"/>
            </w:rPr>
          </w:pPr>
          <w:r>
            <w:t xml:space="preserve">In terms of the current case, we’ve already ruled that Paula could be potentially liable for theft under the Theft Act 1968. To prove this is the case, we will need to determine the Actus Reus and </w:t>
          </w:r>
          <w:proofErr w:type="spellStart"/>
          <w:r>
            <w:t>Mens</w:t>
          </w:r>
          <w:proofErr w:type="spellEnd"/>
          <w:r>
            <w:t xml:space="preserve"> Rea. First of all, the Actus Reus of theft can be determined by proving that the defendant has taken “appropriation of property belonging to another” according to</w:t>
          </w:r>
          <w:r w:rsidRPr="00A552BF">
            <w:t xml:space="preserve"> </w:t>
          </w:r>
          <w:sdt>
            <w:sdtPr>
              <w:id w:val="1862085794"/>
              <w:citation/>
            </w:sdtPr>
            <w:sdtContent>
              <w:r>
                <w:fldChar w:fldCharType="begin"/>
              </w:r>
              <w:r>
                <w:instrText xml:space="preserve">CITATION Gov68 \l 2057 </w:instrText>
              </w:r>
              <w:r>
                <w:fldChar w:fldCharType="separate"/>
              </w:r>
              <w:r w:rsidRPr="00A552BF">
                <w:rPr>
                  <w:noProof/>
                </w:rPr>
                <w:t>(GOV.UK, 1968)</w:t>
              </w:r>
              <w:r>
                <w:fldChar w:fldCharType="end"/>
              </w:r>
            </w:sdtContent>
          </w:sdt>
          <w:r>
            <w:t>. Appropriation means that the defendant has taken ownership of an item without the real owner’s permission, this we can say is correct in the current case, as the brief states that “</w:t>
          </w:r>
          <w:r w:rsidRPr="00A552BF">
            <w:rPr>
              <w:rFonts w:eastAsia="Arial" w:cs="Arial"/>
            </w:rPr>
            <w:t>when no one was looking, she put the handbag inside her coat and took it outside</w:t>
          </w:r>
          <w:r>
            <w:rPr>
              <w:rFonts w:eastAsia="Arial" w:cs="Arial"/>
            </w:rPr>
            <w:t xml:space="preserve">” proving the </w:t>
          </w:r>
          <w:proofErr w:type="spellStart"/>
          <w:r>
            <w:rPr>
              <w:rFonts w:eastAsia="Arial" w:cs="Arial"/>
            </w:rPr>
            <w:t>Mens</w:t>
          </w:r>
          <w:proofErr w:type="spellEnd"/>
          <w:r>
            <w:rPr>
              <w:rFonts w:eastAsia="Arial" w:cs="Arial"/>
            </w:rPr>
            <w:t xml:space="preserve"> Rea by showing she had the intention to permanently deprive Christine of the handbag, and the fact that she was “extremely jealous” of Christine’s handbag further proves that she also had a motive to appropriate the item. </w:t>
          </w:r>
        </w:p>
        <w:p w:rsidR="00A552BF" w:rsidRDefault="00A552BF" w:rsidP="00A552BF">
          <w:pPr>
            <w:rPr>
              <w:rFonts w:eastAsia="Times New Roman" w:cstheme="majorHAnsi"/>
              <w:color w:val="212529"/>
              <w:shd w:val="clear" w:color="auto" w:fill="FFFFFF"/>
            </w:rPr>
          </w:pPr>
          <w:r>
            <w:rPr>
              <w:rFonts w:eastAsia="Arial" w:cs="Arial"/>
            </w:rPr>
            <w:lastRenderedPageBreak/>
            <w:t>The only thing left to prove is that the handbag actually belonged to Christine, to prove the “property belonging to another” part of the Actus Reus which can be simply proven, as the text states “</w:t>
          </w:r>
          <w:r w:rsidRPr="00A552BF">
            <w:rPr>
              <w:rFonts w:eastAsia="Arial" w:cs="Arial"/>
            </w:rPr>
            <w:t>Paula had always been extremely jealous of the lavish gifts that Christine’s husband bought her</w:t>
          </w:r>
          <w:r>
            <w:rPr>
              <w:rFonts w:eastAsia="Arial" w:cs="Arial"/>
            </w:rPr>
            <w:t xml:space="preserve">”, the handbag being one of those items. For reference to other Case Laws with similar circumstances, we can look to R V Morris [1983] </w:t>
          </w:r>
          <w:sdt>
            <w:sdtPr>
              <w:rPr>
                <w:rFonts w:eastAsia="Arial" w:cs="Arial"/>
              </w:rPr>
              <w:id w:val="981281647"/>
              <w:citation/>
            </w:sdtPr>
            <w:sdtContent>
              <w:r>
                <w:rPr>
                  <w:rFonts w:eastAsia="Arial" w:cs="Arial"/>
                </w:rPr>
                <w:fldChar w:fldCharType="begin"/>
              </w:r>
              <w:r>
                <w:rPr>
                  <w:rFonts w:eastAsia="Arial" w:cs="Arial"/>
                </w:rPr>
                <w:instrText xml:space="preserve">CITATION hou21 \l 2057 </w:instrText>
              </w:r>
              <w:r>
                <w:rPr>
                  <w:rFonts w:eastAsia="Arial" w:cs="Arial"/>
                </w:rPr>
                <w:fldChar w:fldCharType="separate"/>
              </w:r>
              <w:r w:rsidRPr="00A552BF">
                <w:rPr>
                  <w:rFonts w:eastAsia="Arial" w:cs="Arial"/>
                  <w:noProof/>
                </w:rPr>
                <w:t>(House Law Team, 2021)</w:t>
              </w:r>
              <w:r>
                <w:rPr>
                  <w:rFonts w:eastAsia="Arial" w:cs="Arial"/>
                </w:rPr>
                <w:fldChar w:fldCharType="end"/>
              </w:r>
            </w:sdtContent>
          </w:sdt>
          <w:r>
            <w:rPr>
              <w:rFonts w:eastAsia="Arial" w:cs="Arial"/>
            </w:rPr>
            <w:t>. The two defendants in this case, we caught switching the labels on products to “obtain a lower price”. The House of Lords determined that “</w:t>
          </w:r>
          <w:r w:rsidRPr="00A552BF">
            <w:rPr>
              <w:rFonts w:eastAsia="Times New Roman" w:cs="Segoe UI"/>
              <w:color w:val="212529"/>
              <w:shd w:val="clear" w:color="auto" w:fill="FFFFFF"/>
            </w:rPr>
            <w:t>the owners of the goods had a right to ensure that they were sold for the price the owner chose</w:t>
          </w:r>
          <w:r>
            <w:rPr>
              <w:rFonts w:ascii="Segoe UI" w:eastAsia="Times New Roman" w:hAnsi="Segoe UI" w:cs="Segoe UI"/>
              <w:color w:val="212529"/>
              <w:sz w:val="22"/>
              <w:shd w:val="clear" w:color="auto" w:fill="FFFFFF"/>
            </w:rPr>
            <w:t>”</w:t>
          </w:r>
          <w:r>
            <w:rPr>
              <w:rFonts w:eastAsia="Times New Roman" w:cstheme="majorHAnsi"/>
              <w:color w:val="212529"/>
              <w:sz w:val="22"/>
              <w:shd w:val="clear" w:color="auto" w:fill="FFFFFF"/>
            </w:rPr>
            <w:t xml:space="preserve"> </w:t>
          </w:r>
          <w:r>
            <w:rPr>
              <w:rFonts w:eastAsia="Times New Roman" w:cstheme="majorHAnsi"/>
              <w:color w:val="212529"/>
              <w:shd w:val="clear" w:color="auto" w:fill="FFFFFF"/>
            </w:rPr>
            <w:t>which determined that the defendants were guilty of theft. The similarities of the two cases can be seen with the defendants of both cases “appropriating” the said items, however, the defendants in the R V Morris case still paid for their items, but at a lower price that what they were actually valued.</w:t>
          </w:r>
        </w:p>
        <w:p w:rsidR="00A552BF" w:rsidRDefault="00A552BF" w:rsidP="00A552BF">
          <w:pPr>
            <w:rPr>
              <w:rFonts w:eastAsia="Times New Roman" w:cstheme="majorHAnsi"/>
              <w:color w:val="212529"/>
              <w:shd w:val="clear" w:color="auto" w:fill="FFFFFF"/>
            </w:rPr>
          </w:pPr>
        </w:p>
        <w:p w:rsidR="00A552BF" w:rsidRPr="00A552BF" w:rsidRDefault="00A552BF" w:rsidP="00A552BF">
          <w:pPr>
            <w:rPr>
              <w:rFonts w:eastAsia="Times New Roman" w:cs="Times New Roman"/>
            </w:rPr>
          </w:pPr>
          <w:r>
            <w:rPr>
              <w:rFonts w:eastAsia="Times New Roman" w:cstheme="majorHAnsi"/>
              <w:color w:val="212529"/>
              <w:shd w:val="clear" w:color="auto" w:fill="FFFFFF"/>
            </w:rPr>
            <w:t xml:space="preserve"> Another example of theft in Case Law would be in R V Ghosh [1982] </w:t>
          </w:r>
          <w:sdt>
            <w:sdtPr>
              <w:rPr>
                <w:rFonts w:eastAsia="Times New Roman" w:cstheme="majorHAnsi"/>
                <w:color w:val="212529"/>
                <w:shd w:val="clear" w:color="auto" w:fill="FFFFFF"/>
              </w:rPr>
              <w:id w:val="1366955831"/>
              <w:citation/>
            </w:sdtPr>
            <w:sdtContent>
              <w:r>
                <w:rPr>
                  <w:rFonts w:eastAsia="Times New Roman" w:cstheme="majorHAnsi"/>
                  <w:color w:val="212529"/>
                  <w:shd w:val="clear" w:color="auto" w:fill="FFFFFF"/>
                </w:rPr>
                <w:fldChar w:fldCharType="begin"/>
              </w:r>
              <w:r>
                <w:rPr>
                  <w:rFonts w:eastAsia="Times New Roman" w:cstheme="majorHAnsi"/>
                  <w:color w:val="212529"/>
                  <w:shd w:val="clear" w:color="auto" w:fill="FFFFFF"/>
                </w:rPr>
                <w:instrText xml:space="preserve"> CITATION Hou21 \l 2057 </w:instrText>
              </w:r>
              <w:r>
                <w:rPr>
                  <w:rFonts w:eastAsia="Times New Roman" w:cstheme="majorHAnsi"/>
                  <w:color w:val="212529"/>
                  <w:shd w:val="clear" w:color="auto" w:fill="FFFFFF"/>
                </w:rPr>
                <w:fldChar w:fldCharType="separate"/>
              </w:r>
              <w:r w:rsidRPr="00A552BF">
                <w:rPr>
                  <w:rFonts w:eastAsia="Times New Roman" w:cstheme="majorHAnsi"/>
                  <w:noProof/>
                  <w:color w:val="212529"/>
                  <w:shd w:val="clear" w:color="auto" w:fill="FFFFFF"/>
                </w:rPr>
                <w:t>(House Law Team, 2021)</w:t>
              </w:r>
              <w:r>
                <w:rPr>
                  <w:rFonts w:eastAsia="Times New Roman" w:cstheme="majorHAnsi"/>
                  <w:color w:val="212529"/>
                  <w:shd w:val="clear" w:color="auto" w:fill="FFFFFF"/>
                </w:rPr>
                <w:fldChar w:fldCharType="end"/>
              </w:r>
            </w:sdtContent>
          </w:sdt>
          <w:r>
            <w:rPr>
              <w:rFonts w:eastAsia="Times New Roman" w:cstheme="majorHAnsi"/>
              <w:color w:val="212529"/>
              <w:shd w:val="clear" w:color="auto" w:fill="FFFFFF"/>
            </w:rPr>
            <w:t xml:space="preserve"> where in this case the defendant, Ghosh, who “</w:t>
          </w:r>
          <w:r w:rsidRPr="00A552BF">
            <w:rPr>
              <w:rFonts w:eastAsia="Times New Roman" w:cs="Segoe UI"/>
              <w:color w:val="212529"/>
              <w:shd w:val="clear" w:color="auto" w:fill="FFFFFF"/>
            </w:rPr>
            <w:t>falsely claimed to have carried out a surgical operation in order to claim money when in fact that operation had been carried out by someone else under the National Health Service</w:t>
          </w:r>
          <w:r>
            <w:rPr>
              <w:rFonts w:ascii="Segoe UI" w:eastAsia="Times New Roman" w:hAnsi="Segoe UI" w:cs="Segoe UI"/>
              <w:color w:val="212529"/>
              <w:shd w:val="clear" w:color="auto" w:fill="FFFFFF"/>
            </w:rPr>
            <w:t xml:space="preserve">” </w:t>
          </w:r>
          <w:r>
            <w:rPr>
              <w:rFonts w:eastAsia="Times New Roman" w:cs="Segoe UI"/>
              <w:color w:val="212529"/>
              <w:shd w:val="clear" w:color="auto" w:fill="FFFFFF"/>
            </w:rPr>
            <w:t>and was charged with “</w:t>
          </w:r>
          <w:r w:rsidRPr="00A552BF">
            <w:rPr>
              <w:rFonts w:eastAsia="Times New Roman" w:cs="Segoe UI"/>
              <w:color w:val="212529"/>
              <w:shd w:val="clear" w:color="auto" w:fill="FFFFFF"/>
            </w:rPr>
            <w:t>attempting to procure the execution of a cheque by deception contrary</w:t>
          </w:r>
          <w:r>
            <w:rPr>
              <w:rFonts w:eastAsia="Times New Roman" w:cs="Segoe UI"/>
              <w:color w:val="212529"/>
              <w:shd w:val="clear" w:color="auto" w:fill="FFFFFF"/>
            </w:rPr>
            <w:t xml:space="preserve">”. In the case, Ghosh has not only appropriated the money that does not belong to him, but also the act of the surgery when it was not done by him. </w:t>
          </w:r>
        </w:p>
        <w:p w:rsidR="00A552BF" w:rsidRDefault="00A552BF" w:rsidP="00DC5E5C">
          <w:pPr>
            <w:shd w:val="clear" w:color="auto" w:fill="FFFFFF" w:themeFill="background1"/>
          </w:pPr>
        </w:p>
        <w:p w:rsidR="00A552BF" w:rsidRDefault="00A552BF" w:rsidP="00A552BF">
          <w:r>
            <w:t xml:space="preserve">In terms of Harriet, who could be potentially liable for battery, and criminal damage, her Actus Reus for the battery charge would be, it was in her conduct as in her actions that Daniel got hit and suffered a broken cheek bone, however she did not intend on drinking as she was allergic, and the only reason she drank alcohol, was because Leon spiked her drink. So, the Actus Reus cannot be proven in this aspect for Harriet, on the other hand, Leon could be found guilty of </w:t>
          </w:r>
          <w:r>
            <w:rPr>
              <w:rFonts w:eastAsia="Arial" w:cs="Arial"/>
            </w:rPr>
            <w:t>“Administering a substance with intent”</w:t>
          </w:r>
          <w:r>
            <w:rPr>
              <w:rFonts w:eastAsia="Arial" w:cs="Arial"/>
            </w:rPr>
            <w:t xml:space="preserve"> by the </w:t>
          </w:r>
          <w:r>
            <w:rPr>
              <w:rFonts w:eastAsia="Arial" w:cs="Arial"/>
            </w:rPr>
            <w:t>“Sexual Offences Act 2003”</w:t>
          </w:r>
          <w:r>
            <w:rPr>
              <w:rFonts w:eastAsia="Arial" w:cs="Arial"/>
            </w:rPr>
            <w:t>, as if Leon didn’t spike Harriet, then she wouldn’t have hurt Daniel, and she wouldn’t have damaged Christine’s kitchen</w:t>
          </w:r>
          <w:r>
            <w:t>.</w:t>
          </w:r>
        </w:p>
        <w:p w:rsidR="00A552BF" w:rsidRDefault="00A552BF" w:rsidP="00A552BF"/>
        <w:p w:rsidR="00A552BF" w:rsidRDefault="00A552BF" w:rsidP="00A552BF">
          <w:pPr>
            <w:rPr>
              <w:rFonts w:eastAsia="Times New Roman" w:cs="Times New Roman"/>
              <w:color w:val="000000"/>
              <w:shd w:val="clear" w:color="auto" w:fill="FFFFFF"/>
            </w:rPr>
          </w:pPr>
          <w:r>
            <w:t xml:space="preserve"> A case we can refer to in this aspect would be R V </w:t>
          </w:r>
          <w:proofErr w:type="spellStart"/>
          <w:r>
            <w:t>Hardie</w:t>
          </w:r>
          <w:proofErr w:type="spellEnd"/>
          <w:r>
            <w:t xml:space="preserve"> [1985] </w:t>
          </w:r>
          <w:sdt>
            <w:sdtPr>
              <w:id w:val="-1945216541"/>
              <w:citation/>
            </w:sdtPr>
            <w:sdtContent>
              <w:r>
                <w:fldChar w:fldCharType="begin"/>
              </w:r>
              <w:r>
                <w:instrText xml:space="preserve"> CITATION Hou19 \l 2057 </w:instrText>
              </w:r>
              <w:r>
                <w:fldChar w:fldCharType="separate"/>
              </w:r>
              <w:r w:rsidRPr="00A552BF">
                <w:rPr>
                  <w:noProof/>
                </w:rPr>
                <w:t>(House of Law, 2019)</w:t>
              </w:r>
              <w:r>
                <w:fldChar w:fldCharType="end"/>
              </w:r>
            </w:sdtContent>
          </w:sdt>
          <w:r>
            <w:t xml:space="preserve">, </w:t>
          </w:r>
          <w:r w:rsidRPr="00A552BF">
            <w:t xml:space="preserve">where </w:t>
          </w:r>
          <w:r>
            <w:t>“</w:t>
          </w:r>
          <w:r w:rsidRPr="00A552BF">
            <w:rPr>
              <w:rFonts w:eastAsia="Times New Roman" w:cs="Times New Roman"/>
              <w:color w:val="000000"/>
              <w:shd w:val="clear" w:color="auto" w:fill="FFFFFF"/>
            </w:rPr>
            <w:t>The defendant set light to a wardrobe after consuming some out of date Valium tablets which had been prescribed to his partner.</w:t>
          </w:r>
          <w:r>
            <w:rPr>
              <w:rFonts w:eastAsia="Times New Roman" w:cs="Times New Roman"/>
              <w:color w:val="000000"/>
              <w:shd w:val="clear" w:color="auto" w:fill="FFFFFF"/>
            </w:rPr>
            <w:t>” As he voluntarily took them without realising they could have that effect on him, as they were for his partner, his intoxicated state, would not justify dropping the arson charges.</w:t>
          </w:r>
        </w:p>
        <w:p w:rsidR="00A552BF" w:rsidRDefault="00A552BF" w:rsidP="00A552BF">
          <w:pPr>
            <w:rPr>
              <w:rFonts w:eastAsia="Times New Roman" w:cs="Times New Roman"/>
              <w:color w:val="000000"/>
              <w:shd w:val="clear" w:color="auto" w:fill="FFFFFF"/>
            </w:rPr>
          </w:pPr>
        </w:p>
        <w:p w:rsidR="00A552BF" w:rsidRDefault="00A552BF" w:rsidP="00A552BF">
          <w:r>
            <w:rPr>
              <w:rFonts w:eastAsia="Times New Roman" w:cs="Times New Roman"/>
              <w:color w:val="000000"/>
              <w:shd w:val="clear" w:color="auto" w:fill="FFFFFF"/>
            </w:rPr>
            <w:t xml:space="preserve"> This differs from the current case, as Harriet had no knowledge that she would become intoxicated after drinking the spiked drink. </w:t>
          </w:r>
          <w:r>
            <w:t xml:space="preserve">In terms of her liability for the criminal damage, as she was involuntarily intoxicated, she would not be able to be charged, as the </w:t>
          </w:r>
          <w:proofErr w:type="spellStart"/>
          <w:r>
            <w:t>mens</w:t>
          </w:r>
          <w:proofErr w:type="spellEnd"/>
          <w:r>
            <w:t xml:space="preserve"> rea would fall through, as she was not conscious of her actions. </w:t>
          </w:r>
        </w:p>
        <w:p w:rsidR="00A552BF" w:rsidRDefault="00A552BF" w:rsidP="00A552BF"/>
        <w:p w:rsidR="00A552BF" w:rsidRDefault="00A552BF" w:rsidP="00A552BF">
          <w:pPr>
            <w:rPr>
              <w:rFonts w:eastAsia="Times New Roman" w:cs="Segoe UI"/>
              <w:color w:val="000000" w:themeColor="text1"/>
              <w:shd w:val="clear" w:color="auto" w:fill="FFFFFF"/>
            </w:rPr>
          </w:pPr>
          <w:r>
            <w:t xml:space="preserve">An example of Involuntary intoxication would be in R V Allen [1998] </w:t>
          </w:r>
          <w:sdt>
            <w:sdtPr>
              <w:id w:val="527383492"/>
              <w:citation/>
            </w:sdtPr>
            <w:sdtContent>
              <w:r>
                <w:fldChar w:fldCharType="begin"/>
              </w:r>
              <w:r>
                <w:instrText xml:space="preserve"> CITATION Hou211 \l 2057 </w:instrText>
              </w:r>
              <w:r>
                <w:fldChar w:fldCharType="separate"/>
              </w:r>
              <w:r w:rsidRPr="00A552BF">
                <w:rPr>
                  <w:noProof/>
                </w:rPr>
                <w:t>(House Law Team, 2021)</w:t>
              </w:r>
              <w:r>
                <w:fldChar w:fldCharType="end"/>
              </w:r>
            </w:sdtContent>
          </w:sdt>
          <w:r>
            <w:t xml:space="preserve"> where the defendant drank wine “</w:t>
          </w:r>
          <w:r w:rsidRPr="00A552BF">
            <w:rPr>
              <w:rFonts w:eastAsia="Times New Roman" w:cs="Segoe UI"/>
              <w:color w:val="000000" w:themeColor="text1"/>
              <w:shd w:val="clear" w:color="auto" w:fill="FFFFFF"/>
            </w:rPr>
            <w:t xml:space="preserve">not knowing that it was extremely strong home-made wine”. As a result of this “He then committed sexual offences, but claimed that he was so drunk that he did not know what he was doing.” However, the court of Appeal ruled that this was not involuntary intoxication, as he had decided to drink it, and was ruled to </w:t>
          </w:r>
          <w:r w:rsidRPr="00A552BF">
            <w:rPr>
              <w:rFonts w:eastAsia="Times New Roman" w:cs="Segoe UI"/>
              <w:color w:val="000000" w:themeColor="text1"/>
              <w:shd w:val="clear" w:color="auto" w:fill="FFFFFF"/>
            </w:rPr>
            <w:lastRenderedPageBreak/>
            <w:t>have voluntarily intoxicated himself. This is different than the current case, as Harriet was spiked where the defendant in R V Allen had drank the wine himself</w:t>
          </w:r>
          <w:r>
            <w:rPr>
              <w:rFonts w:eastAsia="Times New Roman" w:cs="Segoe UI"/>
              <w:color w:val="000000" w:themeColor="text1"/>
              <w:shd w:val="clear" w:color="auto" w:fill="FFFFFF"/>
            </w:rPr>
            <w:t xml:space="preserve">. </w:t>
          </w:r>
        </w:p>
        <w:p w:rsidR="00A552BF" w:rsidRDefault="00A552BF" w:rsidP="00A552BF">
          <w:pPr>
            <w:rPr>
              <w:rFonts w:eastAsia="Times New Roman" w:cs="Segoe UI"/>
              <w:color w:val="000000" w:themeColor="text1"/>
              <w:shd w:val="clear" w:color="auto" w:fill="FFFFFF"/>
            </w:rPr>
          </w:pPr>
        </w:p>
        <w:p w:rsidR="00A552BF" w:rsidRPr="00A552BF" w:rsidRDefault="00A552BF" w:rsidP="00A552BF">
          <w:pPr>
            <w:rPr>
              <w:rFonts w:eastAsia="Times New Roman" w:cs="Times New Roman"/>
            </w:rPr>
          </w:pPr>
          <w:r>
            <w:rPr>
              <w:rFonts w:eastAsia="Times New Roman" w:cs="Segoe UI"/>
              <w:color w:val="000000" w:themeColor="text1"/>
              <w:shd w:val="clear" w:color="auto" w:fill="FFFFFF"/>
            </w:rPr>
            <w:t xml:space="preserve">Another example of a case which involved vandalism, which we can compare to is </w:t>
          </w:r>
          <w:proofErr w:type="spellStart"/>
          <w:r>
            <w:rPr>
              <w:rFonts w:eastAsia="Times New Roman" w:cs="Segoe UI"/>
              <w:color w:val="000000" w:themeColor="text1"/>
              <w:shd w:val="clear" w:color="auto" w:fill="FFFFFF"/>
            </w:rPr>
            <w:t>Gayford</w:t>
          </w:r>
          <w:proofErr w:type="spellEnd"/>
          <w:r>
            <w:rPr>
              <w:rFonts w:eastAsia="Times New Roman" w:cs="Segoe UI"/>
              <w:color w:val="000000" w:themeColor="text1"/>
              <w:shd w:val="clear" w:color="auto" w:fill="FFFFFF"/>
            </w:rPr>
            <w:t xml:space="preserve"> V </w:t>
          </w:r>
          <w:proofErr w:type="spellStart"/>
          <w:r>
            <w:rPr>
              <w:rFonts w:eastAsia="Times New Roman" w:cs="Segoe UI"/>
              <w:color w:val="000000" w:themeColor="text1"/>
              <w:shd w:val="clear" w:color="auto" w:fill="FFFFFF"/>
            </w:rPr>
            <w:t>Chouler</w:t>
          </w:r>
          <w:proofErr w:type="spellEnd"/>
          <w:r>
            <w:rPr>
              <w:rFonts w:eastAsia="Times New Roman" w:cs="Segoe UI"/>
              <w:color w:val="000000" w:themeColor="text1"/>
              <w:shd w:val="clear" w:color="auto" w:fill="FFFFFF"/>
            </w:rPr>
            <w:t xml:space="preserve"> [1898] </w:t>
          </w:r>
          <w:sdt>
            <w:sdtPr>
              <w:rPr>
                <w:rFonts w:eastAsia="Times New Roman" w:cs="Segoe UI"/>
                <w:color w:val="000000" w:themeColor="text1"/>
                <w:shd w:val="clear" w:color="auto" w:fill="FFFFFF"/>
              </w:rPr>
              <w:id w:val="-693689005"/>
              <w:citation/>
            </w:sdtPr>
            <w:sdtContent>
              <w:r>
                <w:rPr>
                  <w:rFonts w:eastAsia="Times New Roman" w:cs="Segoe UI"/>
                  <w:color w:val="000000" w:themeColor="text1"/>
                  <w:shd w:val="clear" w:color="auto" w:fill="FFFFFF"/>
                </w:rPr>
                <w:fldChar w:fldCharType="begin"/>
              </w:r>
              <w:r>
                <w:rPr>
                  <w:rFonts w:eastAsia="Times New Roman" w:cs="Segoe UI"/>
                  <w:color w:val="000000" w:themeColor="text1"/>
                  <w:shd w:val="clear" w:color="auto" w:fill="FFFFFF"/>
                </w:rPr>
                <w:instrText xml:space="preserve">CITATION IPS98 \l 2057 </w:instrText>
              </w:r>
              <w:r>
                <w:rPr>
                  <w:rFonts w:eastAsia="Times New Roman" w:cs="Segoe UI"/>
                  <w:color w:val="000000" w:themeColor="text1"/>
                  <w:shd w:val="clear" w:color="auto" w:fill="FFFFFF"/>
                </w:rPr>
                <w:fldChar w:fldCharType="separate"/>
              </w:r>
              <w:r w:rsidRPr="00A552BF">
                <w:rPr>
                  <w:rFonts w:eastAsia="Times New Roman" w:cs="Segoe UI"/>
                  <w:noProof/>
                  <w:color w:val="000000" w:themeColor="text1"/>
                  <w:shd w:val="clear" w:color="auto" w:fill="FFFFFF"/>
                </w:rPr>
                <w:t>(IPSA LOQUITUR, 2021)</w:t>
              </w:r>
              <w:r>
                <w:rPr>
                  <w:rFonts w:eastAsia="Times New Roman" w:cs="Segoe UI"/>
                  <w:color w:val="000000" w:themeColor="text1"/>
                  <w:shd w:val="clear" w:color="auto" w:fill="FFFFFF"/>
                </w:rPr>
                <w:fldChar w:fldCharType="end"/>
              </w:r>
            </w:sdtContent>
          </w:sdt>
          <w:r>
            <w:rPr>
              <w:rFonts w:eastAsia="Times New Roman" w:cs="Segoe UI"/>
              <w:color w:val="000000" w:themeColor="text1"/>
              <w:shd w:val="clear" w:color="auto" w:fill="FFFFFF"/>
            </w:rPr>
            <w:t xml:space="preserve"> where the defendant trespassed on “</w:t>
          </w:r>
          <w:r w:rsidRPr="00A552BF">
            <w:rPr>
              <w:rFonts w:eastAsia="Times New Roman" w:cs="Times New Roman"/>
              <w:color w:val="1A1A1A"/>
              <w:shd w:val="clear" w:color="auto" w:fill="FFFFFF"/>
            </w:rPr>
            <w:t>the complainants land, trampling on his long grass. He was charged and convicted of malicious damage, a precursor to the modern offence of </w:t>
          </w:r>
          <w:r>
            <w:rPr>
              <w:rFonts w:eastAsia="Times New Roman" w:cs="Times New Roman"/>
            </w:rPr>
            <w:t xml:space="preserve">criminal damage”. The conviction was upheld in court. This example shows the lack of lenience in criminal damage. </w:t>
          </w:r>
        </w:p>
        <w:p w:rsidR="00A552BF" w:rsidRDefault="00A552BF" w:rsidP="00DC5E5C">
          <w:pPr>
            <w:shd w:val="clear" w:color="auto" w:fill="FFFFFF" w:themeFill="background1"/>
          </w:pPr>
        </w:p>
        <w:p w:rsidR="00A552BF" w:rsidRDefault="00A552BF" w:rsidP="00A552BF">
          <w:pPr>
            <w:rPr>
              <w:rFonts w:eastAsia="Times New Roman" w:cs="Times New Roman"/>
              <w:color w:val="000000" w:themeColor="text1"/>
              <w:shd w:val="clear" w:color="auto" w:fill="FFFFFF"/>
            </w:rPr>
          </w:pPr>
          <w:r>
            <w:t xml:space="preserve">Paula would not be able to defend herself in court as she wouldn’t meet any of the criteria to appeal. She wouldn’t be able to claim she thought she had ownership, as Christine never </w:t>
          </w:r>
          <w:proofErr w:type="spellStart"/>
          <w:r>
            <w:t>lended</w:t>
          </w:r>
          <w:proofErr w:type="spellEnd"/>
          <w:r>
            <w:t xml:space="preserve"> it to her, therefore she did not have </w:t>
          </w:r>
          <w:r w:rsidRPr="00A552BF">
            <w:rPr>
              <w:color w:val="000000" w:themeColor="text1"/>
            </w:rPr>
            <w:t>“</w:t>
          </w:r>
          <w:r w:rsidRPr="00A552BF">
            <w:rPr>
              <w:rFonts w:eastAsia="Times New Roman" w:cs="Times New Roman"/>
              <w:color w:val="000000" w:themeColor="text1"/>
              <w:shd w:val="clear" w:color="auto" w:fill="FFFFFF"/>
            </w:rPr>
            <w:t>an honest belief that he or she had a right to be in possession” of the handbag</w:t>
          </w:r>
          <w:r>
            <w:rPr>
              <w:rFonts w:eastAsia="Times New Roman" w:cs="Times New Roman"/>
              <w:color w:val="000000" w:themeColor="text1"/>
              <w:shd w:val="clear" w:color="auto" w:fill="FFFFFF"/>
            </w:rPr>
            <w:t xml:space="preserve"> using reference to </w:t>
          </w:r>
          <w:sdt>
            <w:sdtPr>
              <w:rPr>
                <w:rFonts w:eastAsia="Times New Roman" w:cs="Times New Roman"/>
                <w:color w:val="000000" w:themeColor="text1"/>
                <w:shd w:val="clear" w:color="auto" w:fill="FFFFFF"/>
              </w:rPr>
              <w:id w:val="1737824159"/>
              <w:citation/>
            </w:sdtPr>
            <w:sdtContent>
              <w:r>
                <w:rPr>
                  <w:rFonts w:eastAsia="Times New Roman" w:cs="Times New Roman"/>
                  <w:color w:val="000000" w:themeColor="text1"/>
                  <w:shd w:val="clear" w:color="auto" w:fill="FFFFFF"/>
                </w:rPr>
                <w:fldChar w:fldCharType="begin"/>
              </w:r>
              <w:r>
                <w:rPr>
                  <w:rFonts w:eastAsia="Times New Roman" w:cs="Times New Roman"/>
                  <w:color w:val="000000" w:themeColor="text1"/>
                  <w:shd w:val="clear" w:color="auto" w:fill="FFFFFF"/>
                </w:rPr>
                <w:instrText xml:space="preserve"> CITATION Cor21 \l 2057 </w:instrText>
              </w:r>
              <w:r>
                <w:rPr>
                  <w:rFonts w:eastAsia="Times New Roman" w:cs="Times New Roman"/>
                  <w:color w:val="000000" w:themeColor="text1"/>
                  <w:shd w:val="clear" w:color="auto" w:fill="FFFFFF"/>
                </w:rPr>
                <w:fldChar w:fldCharType="separate"/>
              </w:r>
              <w:r w:rsidRPr="00A552BF">
                <w:rPr>
                  <w:rFonts w:eastAsia="Times New Roman" w:cs="Times New Roman"/>
                  <w:noProof/>
                  <w:color w:val="000000" w:themeColor="text1"/>
                  <w:shd w:val="clear" w:color="auto" w:fill="FFFFFF"/>
                </w:rPr>
                <w:t>(Wilson, 2021)</w:t>
              </w:r>
              <w:r>
                <w:rPr>
                  <w:rFonts w:eastAsia="Times New Roman" w:cs="Times New Roman"/>
                  <w:color w:val="000000" w:themeColor="text1"/>
                  <w:shd w:val="clear" w:color="auto" w:fill="FFFFFF"/>
                </w:rPr>
                <w:fldChar w:fldCharType="end"/>
              </w:r>
            </w:sdtContent>
          </w:sdt>
          <w:r>
            <w:rPr>
              <w:rFonts w:eastAsia="Times New Roman" w:cs="Times New Roman"/>
              <w:color w:val="000000" w:themeColor="text1"/>
              <w:shd w:val="clear" w:color="auto" w:fill="FFFFFF"/>
            </w:rPr>
            <w:t>, and therefore would be liable for the theft of Christine’s handbag</w:t>
          </w:r>
        </w:p>
        <w:p w:rsidR="00A552BF" w:rsidRDefault="00A552BF" w:rsidP="00A552BF">
          <w:pPr>
            <w:rPr>
              <w:rFonts w:eastAsia="Times New Roman" w:cs="Times New Roman"/>
              <w:color w:val="000000" w:themeColor="text1"/>
            </w:rPr>
          </w:pPr>
        </w:p>
        <w:p w:rsidR="00A552BF" w:rsidRDefault="00A552BF" w:rsidP="00A552BF">
          <w:pPr>
            <w:rPr>
              <w:rFonts w:eastAsia="Times New Roman" w:cs="Arial"/>
              <w:color w:val="000000" w:themeColor="text1"/>
              <w:shd w:val="clear" w:color="auto" w:fill="FFFFFF"/>
            </w:rPr>
          </w:pPr>
          <w:r>
            <w:rPr>
              <w:rFonts w:eastAsia="Times New Roman" w:cs="Times New Roman"/>
              <w:color w:val="000000" w:themeColor="text1"/>
            </w:rPr>
            <w:t xml:space="preserve">Harriet would be able to use Involuntary Intoxication as a defence. She would not have acted in that manner if Leon hadn’t had spiked her drink, causing her to have an allergic reaction. The only way she wouldn’t be able to use that as a defence were if </w:t>
          </w:r>
          <w:r w:rsidRPr="00A552BF">
            <w:rPr>
              <w:rFonts w:eastAsia="Times New Roman" w:cs="Times New Roman"/>
              <w:color w:val="000000" w:themeColor="text1"/>
            </w:rPr>
            <w:t>“</w:t>
          </w:r>
          <w:r w:rsidRPr="00A552BF">
            <w:rPr>
              <w:rFonts w:eastAsia="Times New Roman" w:cs="Arial"/>
              <w:color w:val="000000" w:themeColor="text1"/>
              <w:shd w:val="clear" w:color="auto" w:fill="FFFFFF"/>
            </w:rPr>
            <w:t>where the drink or drug removed the inhibitions of the defendant so that he acted in a way which he would not have done if sober, he will still be guilty if he was able to, and did in fact, form the required mental element of the offence</w:t>
          </w:r>
          <w:r>
            <w:rPr>
              <w:rFonts w:eastAsia="Times New Roman" w:cs="Arial"/>
              <w:color w:val="000000" w:themeColor="text1"/>
              <w:shd w:val="clear" w:color="auto" w:fill="FFFFFF"/>
            </w:rPr>
            <w:t xml:space="preserve">” </w:t>
          </w:r>
          <w:sdt>
            <w:sdtPr>
              <w:rPr>
                <w:rFonts w:eastAsia="Times New Roman" w:cs="Arial"/>
                <w:color w:val="000000" w:themeColor="text1"/>
                <w:shd w:val="clear" w:color="auto" w:fill="FFFFFF"/>
              </w:rPr>
              <w:id w:val="-162627053"/>
              <w:citation/>
            </w:sdtPr>
            <w:sdtContent>
              <w:r>
                <w:rPr>
                  <w:rFonts w:eastAsia="Times New Roman" w:cs="Arial"/>
                  <w:color w:val="000000" w:themeColor="text1"/>
                  <w:shd w:val="clear" w:color="auto" w:fill="FFFFFF"/>
                </w:rPr>
                <w:fldChar w:fldCharType="begin"/>
              </w:r>
              <w:r>
                <w:rPr>
                  <w:rFonts w:eastAsia="Times New Roman" w:cs="Arial"/>
                  <w:color w:val="000000" w:themeColor="text1"/>
                  <w:shd w:val="clear" w:color="auto" w:fill="FFFFFF"/>
                </w:rPr>
                <w:instrText xml:space="preserve"> CITATION GOV18 \l 2057 </w:instrText>
              </w:r>
              <w:r>
                <w:rPr>
                  <w:rFonts w:eastAsia="Times New Roman" w:cs="Arial"/>
                  <w:color w:val="000000" w:themeColor="text1"/>
                  <w:shd w:val="clear" w:color="auto" w:fill="FFFFFF"/>
                </w:rPr>
                <w:fldChar w:fldCharType="separate"/>
              </w:r>
              <w:r w:rsidRPr="00A552BF">
                <w:rPr>
                  <w:rFonts w:eastAsia="Times New Roman" w:cs="Arial"/>
                  <w:noProof/>
                  <w:color w:val="000000" w:themeColor="text1"/>
                  <w:shd w:val="clear" w:color="auto" w:fill="FFFFFF"/>
                </w:rPr>
                <w:t>(GOV.UK, 2018)</w:t>
              </w:r>
              <w:r>
                <w:rPr>
                  <w:rFonts w:eastAsia="Times New Roman" w:cs="Arial"/>
                  <w:color w:val="000000" w:themeColor="text1"/>
                  <w:shd w:val="clear" w:color="auto" w:fill="FFFFFF"/>
                </w:rPr>
                <w:fldChar w:fldCharType="end"/>
              </w:r>
            </w:sdtContent>
          </w:sdt>
          <w:r>
            <w:rPr>
              <w:rFonts w:eastAsia="Times New Roman" w:cs="Arial"/>
              <w:color w:val="000000" w:themeColor="text1"/>
              <w:shd w:val="clear" w:color="auto" w:fill="FFFFFF"/>
            </w:rPr>
            <w:t>. Therefore, she would not be liable for the battery, and GBH to Daniel, as well as the damage to Christine’s Kitchen as she was not in control.</w:t>
          </w:r>
        </w:p>
        <w:p w:rsidR="00A552BF" w:rsidRDefault="00A552BF" w:rsidP="00A552BF">
          <w:pPr>
            <w:rPr>
              <w:rFonts w:eastAsia="Times New Roman" w:cs="Times New Roman"/>
              <w:color w:val="000000" w:themeColor="text1"/>
            </w:rPr>
          </w:pPr>
        </w:p>
        <w:p w:rsidR="00A552BF" w:rsidRPr="00A552BF" w:rsidRDefault="00A552BF" w:rsidP="00A552BF">
          <w:pPr>
            <w:pStyle w:val="Heading5"/>
            <w:shd w:val="clear" w:color="auto" w:fill="FFFFFF"/>
            <w:spacing w:before="120" w:beforeAutospacing="0" w:after="120" w:afterAutospacing="0" w:line="288" w:lineRule="atLeast"/>
            <w:rPr>
              <w:rFonts w:asciiTheme="minorHAnsi" w:hAnsiTheme="minorHAnsi" w:cs="Arial"/>
              <w:b w:val="0"/>
              <w:color w:val="000000"/>
              <w:sz w:val="24"/>
              <w:szCs w:val="24"/>
            </w:rPr>
          </w:pPr>
          <w:r w:rsidRPr="00A552BF">
            <w:rPr>
              <w:rFonts w:asciiTheme="minorHAnsi" w:hAnsiTheme="minorHAnsi"/>
              <w:b w:val="0"/>
              <w:color w:val="000000" w:themeColor="text1"/>
              <w:sz w:val="24"/>
              <w:szCs w:val="24"/>
            </w:rPr>
            <w:t>Leon would not be able to defend himself, as under the sexual offences act, as he administered “</w:t>
          </w:r>
          <w:r w:rsidRPr="00A552BF">
            <w:rPr>
              <w:rFonts w:asciiTheme="minorHAnsi" w:hAnsiTheme="minorHAnsi" w:cs="Arial"/>
              <w:b w:val="0"/>
              <w:color w:val="000000"/>
              <w:sz w:val="24"/>
              <w:szCs w:val="24"/>
            </w:rPr>
            <w:t>a substance with intent</w:t>
          </w:r>
          <w:r>
            <w:rPr>
              <w:rFonts w:asciiTheme="minorHAnsi" w:hAnsiTheme="minorHAnsi" w:cs="Arial"/>
              <w:b w:val="0"/>
              <w:color w:val="000000"/>
              <w:sz w:val="24"/>
              <w:szCs w:val="24"/>
            </w:rPr>
            <w:t xml:space="preserve">” and could face up to 10 years of prison as punishment. </w:t>
          </w:r>
          <w:sdt>
            <w:sdtPr>
              <w:rPr>
                <w:rFonts w:asciiTheme="minorHAnsi" w:hAnsiTheme="minorHAnsi" w:cs="Arial"/>
                <w:b w:val="0"/>
                <w:color w:val="000000"/>
                <w:sz w:val="24"/>
                <w:szCs w:val="24"/>
              </w:rPr>
              <w:id w:val="-581211738"/>
              <w:citation/>
            </w:sdtPr>
            <w:sdtContent>
              <w:r w:rsidRPr="00A552BF">
                <w:rPr>
                  <w:rFonts w:asciiTheme="minorHAnsi" w:hAnsiTheme="minorHAnsi" w:cs="Arial"/>
                  <w:b w:val="0"/>
                  <w:color w:val="000000"/>
                  <w:sz w:val="24"/>
                  <w:szCs w:val="24"/>
                </w:rPr>
                <w:fldChar w:fldCharType="begin"/>
              </w:r>
              <w:r w:rsidRPr="00A552BF">
                <w:rPr>
                  <w:rFonts w:asciiTheme="minorHAnsi" w:hAnsiTheme="minorHAnsi" w:cs="Arial"/>
                  <w:b w:val="0"/>
                  <w:color w:val="000000"/>
                  <w:sz w:val="24"/>
                  <w:szCs w:val="24"/>
                </w:rPr>
                <w:instrText xml:space="preserve"> CITATION GOV031 \l 2057 </w:instrText>
              </w:r>
              <w:r w:rsidRPr="00A552BF">
                <w:rPr>
                  <w:rFonts w:asciiTheme="minorHAnsi" w:hAnsiTheme="minorHAnsi" w:cs="Arial"/>
                  <w:b w:val="0"/>
                  <w:color w:val="000000"/>
                  <w:sz w:val="24"/>
                  <w:szCs w:val="24"/>
                </w:rPr>
                <w:fldChar w:fldCharType="separate"/>
              </w:r>
              <w:r w:rsidRPr="00A552BF">
                <w:rPr>
                  <w:rFonts w:asciiTheme="minorHAnsi" w:hAnsiTheme="minorHAnsi" w:cs="Arial"/>
                  <w:b w:val="0"/>
                  <w:noProof/>
                  <w:color w:val="000000"/>
                  <w:sz w:val="24"/>
                  <w:szCs w:val="24"/>
                </w:rPr>
                <w:t>(GOV.UK, 2003)</w:t>
              </w:r>
              <w:r w:rsidRPr="00A552BF">
                <w:rPr>
                  <w:rFonts w:asciiTheme="minorHAnsi" w:hAnsiTheme="minorHAnsi" w:cs="Arial"/>
                  <w:b w:val="0"/>
                  <w:color w:val="000000"/>
                  <w:sz w:val="24"/>
                  <w:szCs w:val="24"/>
                </w:rPr>
                <w:fldChar w:fldCharType="end"/>
              </w:r>
            </w:sdtContent>
          </w:sdt>
          <w:r>
            <w:rPr>
              <w:rFonts w:asciiTheme="minorHAnsi" w:hAnsiTheme="minorHAnsi" w:cs="Arial"/>
              <w:b w:val="0"/>
              <w:color w:val="000000"/>
              <w:sz w:val="24"/>
              <w:szCs w:val="24"/>
            </w:rPr>
            <w:t>. Therefore, he would be liable for the damage to Christine’s kitchen, and Harriet’s battery on Daniel.</w:t>
          </w:r>
        </w:p>
        <w:bookmarkEnd w:id="0" w:displacedByCustomXml="next"/>
        <w:sdt>
          <w:sdtPr>
            <w:id w:val="133433827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A552BF" w:rsidRDefault="00A552BF">
              <w:pPr>
                <w:pStyle w:val="Heading1"/>
              </w:pPr>
              <w:r>
                <w:t>Bibliography</w:t>
              </w:r>
            </w:p>
            <w:sdt>
              <w:sdtPr>
                <w:id w:val="111145805"/>
                <w:bibliography/>
              </w:sdtPr>
              <w:sdtContent>
                <w:p w:rsidR="00A552BF" w:rsidRDefault="00A552BF" w:rsidP="00A552BF">
                  <w:pPr>
                    <w:pStyle w:val="Bibliography"/>
                    <w:rPr>
                      <w:noProof/>
                      <w:lang w:val="en-US"/>
                    </w:rPr>
                  </w:pPr>
                  <w:r>
                    <w:fldChar w:fldCharType="begin"/>
                  </w:r>
                  <w:r>
                    <w:instrText xml:space="preserve"> BIBLIOGRAPHY </w:instrText>
                  </w:r>
                  <w:r>
                    <w:fldChar w:fldCharType="separate"/>
                  </w:r>
                  <w:r>
                    <w:rPr>
                      <w:noProof/>
                      <w:lang w:val="en-US"/>
                    </w:rPr>
                    <w:t xml:space="preserve">GOV.UK, 1861. </w:t>
                  </w:r>
                  <w:r>
                    <w:rPr>
                      <w:i/>
                      <w:iCs/>
                      <w:noProof/>
                      <w:lang w:val="en-US"/>
                    </w:rPr>
                    <w:t xml:space="preserve">Offences against the person act 1861. </w:t>
                  </w:r>
                  <w:r>
                    <w:rPr>
                      <w:noProof/>
                      <w:lang w:val="en-US"/>
                    </w:rPr>
                    <w:t xml:space="preserve">[Online] </w:t>
                  </w:r>
                  <w:r>
                    <w:rPr>
                      <w:noProof/>
                      <w:lang w:val="en-US"/>
                    </w:rPr>
                    <w:br/>
                    <w:t xml:space="preserve">Available at: </w:t>
                  </w:r>
                  <w:r>
                    <w:rPr>
                      <w:noProof/>
                      <w:u w:val="single"/>
                      <w:lang w:val="en-US"/>
                    </w:rPr>
                    <w:t>https://www.legislation.gov.uk/ukpga/Vict/24-25/100/section/20</w:t>
                  </w:r>
                  <w:r>
                    <w:rPr>
                      <w:noProof/>
                      <w:lang w:val="en-US"/>
                    </w:rPr>
                    <w:br/>
                    <w:t>[Accessed 2 January 2022].</w:t>
                  </w:r>
                </w:p>
                <w:p w:rsidR="00A552BF" w:rsidRDefault="00A552BF" w:rsidP="00A552BF">
                  <w:pPr>
                    <w:pStyle w:val="Bibliography"/>
                    <w:rPr>
                      <w:noProof/>
                      <w:lang w:val="en-US"/>
                    </w:rPr>
                  </w:pPr>
                  <w:r>
                    <w:rPr>
                      <w:noProof/>
                      <w:lang w:val="en-US"/>
                    </w:rPr>
                    <w:t xml:space="preserve">GOV.UK, 1968. </w:t>
                  </w:r>
                  <w:r>
                    <w:rPr>
                      <w:i/>
                      <w:iCs/>
                      <w:noProof/>
                      <w:lang w:val="en-US"/>
                    </w:rPr>
                    <w:t xml:space="preserve">Theft Act 1968. </w:t>
                  </w:r>
                  <w:r>
                    <w:rPr>
                      <w:noProof/>
                      <w:lang w:val="en-US"/>
                    </w:rPr>
                    <w:t xml:space="preserve">[Online] </w:t>
                  </w:r>
                  <w:r>
                    <w:rPr>
                      <w:noProof/>
                      <w:lang w:val="en-US"/>
                    </w:rPr>
                    <w:br/>
                    <w:t xml:space="preserve">Available at: </w:t>
                  </w:r>
                  <w:r>
                    <w:rPr>
                      <w:noProof/>
                      <w:u w:val="single"/>
                      <w:lang w:val="en-US"/>
                    </w:rPr>
                    <w:t>https://www.legislation.gov.uk/ukpga/1968/60/contents</w:t>
                  </w:r>
                  <w:r>
                    <w:rPr>
                      <w:noProof/>
                      <w:lang w:val="en-US"/>
                    </w:rPr>
                    <w:br/>
                    <w:t>[Accessed 7 December 2021].</w:t>
                  </w:r>
                </w:p>
                <w:p w:rsidR="00A552BF" w:rsidRDefault="00A552BF" w:rsidP="00A552BF">
                  <w:pPr>
                    <w:pStyle w:val="Bibliography"/>
                    <w:rPr>
                      <w:noProof/>
                      <w:lang w:val="en-US"/>
                    </w:rPr>
                  </w:pPr>
                  <w:r>
                    <w:rPr>
                      <w:noProof/>
                      <w:lang w:val="en-US"/>
                    </w:rPr>
                    <w:t xml:space="preserve">GOV.UK, 1971. </w:t>
                  </w:r>
                  <w:r>
                    <w:rPr>
                      <w:i/>
                      <w:iCs/>
                      <w:noProof/>
                      <w:lang w:val="en-US"/>
                    </w:rPr>
                    <w:t xml:space="preserve">Criminal Damage Act 1971. </w:t>
                  </w:r>
                  <w:r>
                    <w:rPr>
                      <w:noProof/>
                      <w:lang w:val="en-US"/>
                    </w:rPr>
                    <w:t xml:space="preserve">[Online] </w:t>
                  </w:r>
                  <w:r>
                    <w:rPr>
                      <w:noProof/>
                      <w:lang w:val="en-US"/>
                    </w:rPr>
                    <w:br/>
                    <w:t xml:space="preserve">Available at: </w:t>
                  </w:r>
                  <w:r>
                    <w:rPr>
                      <w:noProof/>
                      <w:u w:val="single"/>
                      <w:lang w:val="en-US"/>
                    </w:rPr>
                    <w:t>https://www.legislation.gov.uk/ukpga/1971/48/contents</w:t>
                  </w:r>
                  <w:r>
                    <w:rPr>
                      <w:noProof/>
                      <w:lang w:val="en-US"/>
                    </w:rPr>
                    <w:br/>
                    <w:t>[Accessed 4 January 2022].</w:t>
                  </w:r>
                </w:p>
                <w:p w:rsidR="00A552BF" w:rsidRDefault="00A552BF" w:rsidP="00A552BF">
                  <w:pPr>
                    <w:pStyle w:val="Bibliography"/>
                    <w:rPr>
                      <w:noProof/>
                      <w:lang w:val="en-US"/>
                    </w:rPr>
                  </w:pPr>
                  <w:r>
                    <w:rPr>
                      <w:noProof/>
                      <w:lang w:val="en-US"/>
                    </w:rPr>
                    <w:t xml:space="preserve">GOV.UK, 2003. </w:t>
                  </w:r>
                  <w:r>
                    <w:rPr>
                      <w:i/>
                      <w:iCs/>
                      <w:noProof/>
                      <w:lang w:val="en-US"/>
                    </w:rPr>
                    <w:t xml:space="preserve">Sexual Offences Act 2003. </w:t>
                  </w:r>
                  <w:r>
                    <w:rPr>
                      <w:noProof/>
                      <w:lang w:val="en-US"/>
                    </w:rPr>
                    <w:t xml:space="preserve">[Online] </w:t>
                  </w:r>
                  <w:r>
                    <w:rPr>
                      <w:noProof/>
                      <w:lang w:val="en-US"/>
                    </w:rPr>
                    <w:br/>
                    <w:t xml:space="preserve">Available at: </w:t>
                  </w:r>
                  <w:r>
                    <w:rPr>
                      <w:noProof/>
                      <w:u w:val="single"/>
                      <w:lang w:val="en-US"/>
                    </w:rPr>
                    <w:t>https://www.legislation.gov.uk/ukpga/2003/42/section/61/notes</w:t>
                  </w:r>
                  <w:r>
                    <w:rPr>
                      <w:noProof/>
                      <w:lang w:val="en-US"/>
                    </w:rPr>
                    <w:br/>
                    <w:t>[Accessed 5 January 2022].</w:t>
                  </w:r>
                </w:p>
                <w:p w:rsidR="00A552BF" w:rsidRDefault="00A552BF" w:rsidP="00A552BF">
                  <w:pPr>
                    <w:pStyle w:val="Bibliography"/>
                    <w:rPr>
                      <w:noProof/>
                      <w:lang w:val="en-US"/>
                    </w:rPr>
                  </w:pPr>
                  <w:r>
                    <w:rPr>
                      <w:noProof/>
                      <w:lang w:val="en-US"/>
                    </w:rPr>
                    <w:t xml:space="preserve">GOV.UK, 2003. </w:t>
                  </w:r>
                  <w:r>
                    <w:rPr>
                      <w:i/>
                      <w:iCs/>
                      <w:noProof/>
                      <w:lang w:val="en-US"/>
                    </w:rPr>
                    <w:t xml:space="preserve">Sexual Offences Act 2003. </w:t>
                  </w:r>
                  <w:r>
                    <w:rPr>
                      <w:noProof/>
                      <w:lang w:val="en-US"/>
                    </w:rPr>
                    <w:t xml:space="preserve">[Online] </w:t>
                  </w:r>
                  <w:r>
                    <w:rPr>
                      <w:noProof/>
                      <w:lang w:val="en-US"/>
                    </w:rPr>
                    <w:br/>
                    <w:t xml:space="preserve">Available at: </w:t>
                  </w:r>
                  <w:r>
                    <w:rPr>
                      <w:noProof/>
                      <w:u w:val="single"/>
                      <w:lang w:val="en-US"/>
                    </w:rPr>
                    <w:t>https://www.legislation.gov.uk/ukpga/2003/42/section/61/notes</w:t>
                  </w:r>
                  <w:r>
                    <w:rPr>
                      <w:noProof/>
                      <w:lang w:val="en-US"/>
                    </w:rPr>
                    <w:br/>
                    <w:t>[Accessed 5 January 2022].</w:t>
                  </w:r>
                </w:p>
                <w:p w:rsidR="00A552BF" w:rsidRDefault="00A552BF" w:rsidP="00A552BF">
                  <w:pPr>
                    <w:pStyle w:val="Bibliography"/>
                    <w:rPr>
                      <w:noProof/>
                      <w:lang w:val="en-US"/>
                    </w:rPr>
                  </w:pPr>
                  <w:r>
                    <w:rPr>
                      <w:noProof/>
                      <w:lang w:val="en-US"/>
                    </w:rPr>
                    <w:lastRenderedPageBreak/>
                    <w:t xml:space="preserve">GOV.UK, 2018. </w:t>
                  </w:r>
                  <w:r>
                    <w:rPr>
                      <w:i/>
                      <w:iCs/>
                      <w:noProof/>
                      <w:lang w:val="en-US"/>
                    </w:rPr>
                    <w:t xml:space="preserve">Intoxication. </w:t>
                  </w:r>
                  <w:r>
                    <w:rPr>
                      <w:noProof/>
                      <w:lang w:val="en-US"/>
                    </w:rPr>
                    <w:t xml:space="preserve">[Online] </w:t>
                  </w:r>
                  <w:r>
                    <w:rPr>
                      <w:noProof/>
                      <w:lang w:val="en-US"/>
                    </w:rPr>
                    <w:br/>
                    <w:t xml:space="preserve">Available at: </w:t>
                  </w:r>
                  <w:r>
                    <w:rPr>
                      <w:noProof/>
                      <w:u w:val="single"/>
                      <w:lang w:val="en-US"/>
                    </w:rPr>
                    <w:t>https://www.cps.gov.uk/legal-guidance/intoxication</w:t>
                  </w:r>
                  <w:r>
                    <w:rPr>
                      <w:noProof/>
                      <w:lang w:val="en-US"/>
                    </w:rPr>
                    <w:br/>
                    <w:t>[Accessed 6 January 2022].</w:t>
                  </w:r>
                </w:p>
                <w:p w:rsidR="00A552BF" w:rsidRDefault="00A552BF" w:rsidP="00A552BF">
                  <w:pPr>
                    <w:pStyle w:val="Bibliography"/>
                    <w:rPr>
                      <w:noProof/>
                      <w:lang w:val="en-US"/>
                    </w:rPr>
                  </w:pPr>
                  <w:r>
                    <w:rPr>
                      <w:noProof/>
                      <w:lang w:val="en-US"/>
                    </w:rPr>
                    <w:t xml:space="preserve">House Law Team, 2021. </w:t>
                  </w:r>
                  <w:r>
                    <w:rPr>
                      <w:i/>
                      <w:iCs/>
                      <w:noProof/>
                      <w:lang w:val="en-US"/>
                    </w:rPr>
                    <w:t xml:space="preserve">R v Allen 1998. </w:t>
                  </w:r>
                  <w:r>
                    <w:rPr>
                      <w:noProof/>
                      <w:lang w:val="en-US"/>
                    </w:rPr>
                    <w:t xml:space="preserve">[Online] </w:t>
                  </w:r>
                  <w:r>
                    <w:rPr>
                      <w:noProof/>
                      <w:lang w:val="en-US"/>
                    </w:rPr>
                    <w:br/>
                    <w:t xml:space="preserve">Available at: </w:t>
                  </w:r>
                  <w:r>
                    <w:rPr>
                      <w:noProof/>
                      <w:u w:val="single"/>
                      <w:lang w:val="en-US"/>
                    </w:rPr>
                    <w:t>https://www.lawteacher.net/cases/intoxication-cases.php</w:t>
                  </w:r>
                  <w:r>
                    <w:rPr>
                      <w:noProof/>
                      <w:lang w:val="en-US"/>
                    </w:rPr>
                    <w:br/>
                    <w:t>[Accessed 7 January 2022].</w:t>
                  </w:r>
                </w:p>
                <w:p w:rsidR="00A552BF" w:rsidRDefault="00A552BF" w:rsidP="00A552BF">
                  <w:pPr>
                    <w:pStyle w:val="Bibliography"/>
                    <w:rPr>
                      <w:noProof/>
                      <w:lang w:val="en-US"/>
                    </w:rPr>
                  </w:pPr>
                  <w:r>
                    <w:rPr>
                      <w:noProof/>
                      <w:lang w:val="en-US"/>
                    </w:rPr>
                    <w:t xml:space="preserve">House Law Team, 2021. </w:t>
                  </w:r>
                  <w:r>
                    <w:rPr>
                      <w:i/>
                      <w:iCs/>
                      <w:noProof/>
                      <w:lang w:val="en-US"/>
                    </w:rPr>
                    <w:t xml:space="preserve">R V Ghosh- 1982. </w:t>
                  </w:r>
                  <w:r>
                    <w:rPr>
                      <w:noProof/>
                      <w:lang w:val="en-US"/>
                    </w:rPr>
                    <w:t xml:space="preserve">[Online] </w:t>
                  </w:r>
                  <w:r>
                    <w:rPr>
                      <w:noProof/>
                      <w:lang w:val="en-US"/>
                    </w:rPr>
                    <w:br/>
                    <w:t xml:space="preserve">Available at: </w:t>
                  </w:r>
                  <w:r>
                    <w:rPr>
                      <w:noProof/>
                      <w:u w:val="single"/>
                      <w:lang w:val="en-US"/>
                    </w:rPr>
                    <w:t>https://www.lawteacher.net/cases/r-v-ghosh.php</w:t>
                  </w:r>
                  <w:r>
                    <w:rPr>
                      <w:noProof/>
                      <w:lang w:val="en-US"/>
                    </w:rPr>
                    <w:br/>
                    <w:t>[Accessed 6 January 2022].</w:t>
                  </w:r>
                </w:p>
                <w:p w:rsidR="00A552BF" w:rsidRDefault="00A552BF" w:rsidP="00A552BF">
                  <w:pPr>
                    <w:pStyle w:val="Bibliography"/>
                    <w:rPr>
                      <w:noProof/>
                      <w:lang w:val="en-US"/>
                    </w:rPr>
                  </w:pPr>
                  <w:r>
                    <w:rPr>
                      <w:noProof/>
                      <w:lang w:val="en-US"/>
                    </w:rPr>
                    <w:t xml:space="preserve">House Law Team, 2021. </w:t>
                  </w:r>
                  <w:r>
                    <w:rPr>
                      <w:i/>
                      <w:iCs/>
                      <w:noProof/>
                      <w:lang w:val="en-US"/>
                    </w:rPr>
                    <w:t xml:space="preserve">R V Morris [1983]. </w:t>
                  </w:r>
                  <w:r>
                    <w:rPr>
                      <w:noProof/>
                      <w:lang w:val="en-US"/>
                    </w:rPr>
                    <w:t xml:space="preserve">[Online] </w:t>
                  </w:r>
                  <w:r>
                    <w:rPr>
                      <w:noProof/>
                      <w:lang w:val="en-US"/>
                    </w:rPr>
                    <w:br/>
                    <w:t xml:space="preserve">Available at: </w:t>
                  </w:r>
                  <w:r>
                    <w:rPr>
                      <w:noProof/>
                      <w:u w:val="single"/>
                      <w:lang w:val="en-US"/>
                    </w:rPr>
                    <w:t>https://www.lawteacher.net/cases/r-v-morris.php</w:t>
                  </w:r>
                  <w:r>
                    <w:rPr>
                      <w:noProof/>
                      <w:lang w:val="en-US"/>
                    </w:rPr>
                    <w:br/>
                    <w:t>[Accessed 6 January 2022].</w:t>
                  </w:r>
                </w:p>
                <w:p w:rsidR="00A552BF" w:rsidRDefault="00A552BF" w:rsidP="00A552BF">
                  <w:pPr>
                    <w:pStyle w:val="Bibliography"/>
                    <w:rPr>
                      <w:noProof/>
                      <w:lang w:val="en-US"/>
                    </w:rPr>
                  </w:pPr>
                  <w:r>
                    <w:rPr>
                      <w:noProof/>
                      <w:lang w:val="en-US"/>
                    </w:rPr>
                    <w:t xml:space="preserve">House of Law, 2019. </w:t>
                  </w:r>
                  <w:r>
                    <w:rPr>
                      <w:i/>
                      <w:iCs/>
                      <w:noProof/>
                      <w:lang w:val="en-US"/>
                    </w:rPr>
                    <w:t xml:space="preserve">R V Hardie- 1985. </w:t>
                  </w:r>
                  <w:r>
                    <w:rPr>
                      <w:noProof/>
                      <w:lang w:val="en-US"/>
                    </w:rPr>
                    <w:t xml:space="preserve">[Online] </w:t>
                  </w:r>
                  <w:r>
                    <w:rPr>
                      <w:noProof/>
                      <w:lang w:val="en-US"/>
                    </w:rPr>
                    <w:br/>
                    <w:t xml:space="preserve">Available at: </w:t>
                  </w:r>
                  <w:r>
                    <w:rPr>
                      <w:noProof/>
                      <w:u w:val="single"/>
                      <w:lang w:val="en-US"/>
                    </w:rPr>
                    <w:t>https://www.lawteacher.net/cases/r-v-hardie.php</w:t>
                  </w:r>
                  <w:r>
                    <w:rPr>
                      <w:noProof/>
                      <w:lang w:val="en-US"/>
                    </w:rPr>
                    <w:br/>
                    <w:t>[Accessed 3 January 2022].</w:t>
                  </w:r>
                </w:p>
                <w:p w:rsidR="00A552BF" w:rsidRDefault="00A552BF" w:rsidP="00A552BF">
                  <w:pPr>
                    <w:pStyle w:val="Bibliography"/>
                    <w:rPr>
                      <w:noProof/>
                      <w:lang w:val="en-US"/>
                    </w:rPr>
                  </w:pPr>
                  <w:r>
                    <w:rPr>
                      <w:noProof/>
                      <w:lang w:val="en-US"/>
                    </w:rPr>
                    <w:t xml:space="preserve">IPSA LOQUITUR, 2021. </w:t>
                  </w:r>
                  <w:r>
                    <w:rPr>
                      <w:i/>
                      <w:iCs/>
                      <w:noProof/>
                      <w:lang w:val="en-US"/>
                    </w:rPr>
                    <w:t xml:space="preserve">Gayford v Chouler. </w:t>
                  </w:r>
                  <w:r>
                    <w:rPr>
                      <w:noProof/>
                      <w:lang w:val="en-US"/>
                    </w:rPr>
                    <w:t xml:space="preserve">[Online] </w:t>
                  </w:r>
                  <w:r>
                    <w:rPr>
                      <w:noProof/>
                      <w:lang w:val="en-US"/>
                    </w:rPr>
                    <w:br/>
                    <w:t xml:space="preserve">Available at: </w:t>
                  </w:r>
                  <w:r>
                    <w:rPr>
                      <w:noProof/>
                      <w:u w:val="single"/>
                      <w:lang w:val="en-US"/>
                    </w:rPr>
                    <w:t>https://ipsaloquitur.com/criminal-law/cases/gayford-v-chouler/</w:t>
                  </w:r>
                  <w:r>
                    <w:rPr>
                      <w:noProof/>
                      <w:lang w:val="en-US"/>
                    </w:rPr>
                    <w:br/>
                    <w:t>[Accessed 6 January 2022].</w:t>
                  </w:r>
                </w:p>
                <w:p w:rsidR="00A552BF" w:rsidRDefault="00A552BF" w:rsidP="00A552BF">
                  <w:pPr>
                    <w:pStyle w:val="Bibliography"/>
                    <w:rPr>
                      <w:noProof/>
                      <w:lang w:val="en-US"/>
                    </w:rPr>
                  </w:pPr>
                  <w:r>
                    <w:rPr>
                      <w:noProof/>
                      <w:lang w:val="en-US"/>
                    </w:rPr>
                    <w:t xml:space="preserve">Wilson, C., 2021. </w:t>
                  </w:r>
                  <w:r>
                    <w:rPr>
                      <w:i/>
                      <w:iCs/>
                      <w:noProof/>
                      <w:lang w:val="en-US"/>
                    </w:rPr>
                    <w:t xml:space="preserve">What are the defences to theft?. </w:t>
                  </w:r>
                  <w:r>
                    <w:rPr>
                      <w:noProof/>
                      <w:lang w:val="en-US"/>
                    </w:rPr>
                    <w:t xml:space="preserve">[Online] </w:t>
                  </w:r>
                  <w:r>
                    <w:rPr>
                      <w:noProof/>
                      <w:lang w:val="en-US"/>
                    </w:rPr>
                    <w:br/>
                    <w:t xml:space="preserve">Available at: </w:t>
                  </w:r>
                  <w:r>
                    <w:rPr>
                      <w:noProof/>
                      <w:u w:val="single"/>
                      <w:lang w:val="en-US"/>
                    </w:rPr>
                    <w:t>https://wilsoncriminaldefence.com/faqs/what-are-defences-to-theft/</w:t>
                  </w:r>
                  <w:r>
                    <w:rPr>
                      <w:noProof/>
                      <w:lang w:val="en-US"/>
                    </w:rPr>
                    <w:br/>
                    <w:t>[Accessed 7 January 2022].</w:t>
                  </w:r>
                </w:p>
                <w:p w:rsidR="00A552BF" w:rsidRDefault="00A552BF" w:rsidP="00A552BF">
                  <w:r>
                    <w:rPr>
                      <w:b/>
                      <w:bCs/>
                      <w:noProof/>
                    </w:rPr>
                    <w:fldChar w:fldCharType="end"/>
                  </w:r>
                </w:p>
              </w:sdtContent>
            </w:sdt>
          </w:sdtContent>
        </w:sdt>
        <w:p w:rsidR="00DC5E5C" w:rsidRDefault="00DC5E5C"/>
      </w:sdtContent>
    </w:sdt>
    <w:p w:rsidR="00746D7D" w:rsidRDefault="00A552BF"/>
    <w:sectPr w:rsidR="00746D7D" w:rsidSect="00DC5E5C">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27206"/>
    <w:multiLevelType w:val="hybridMultilevel"/>
    <w:tmpl w:val="E5407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E5C"/>
    <w:rsid w:val="00145FFA"/>
    <w:rsid w:val="0015708D"/>
    <w:rsid w:val="00A552BF"/>
    <w:rsid w:val="00DC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4E98"/>
  <w15:chartTrackingRefBased/>
  <w15:docId w15:val="{D31964D9-4296-7049-83F5-DB4FEF97D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2B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5">
    <w:name w:val="heading 5"/>
    <w:basedOn w:val="Normal"/>
    <w:link w:val="Heading5Char"/>
    <w:uiPriority w:val="9"/>
    <w:qFormat/>
    <w:rsid w:val="00A552BF"/>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5E5C"/>
    <w:rPr>
      <w:rFonts w:eastAsiaTheme="minorEastAsia"/>
      <w:sz w:val="22"/>
      <w:szCs w:val="22"/>
      <w:lang w:val="en-US" w:eastAsia="zh-CN"/>
    </w:rPr>
  </w:style>
  <w:style w:type="character" w:customStyle="1" w:styleId="NoSpacingChar">
    <w:name w:val="No Spacing Char"/>
    <w:basedOn w:val="DefaultParagraphFont"/>
    <w:link w:val="NoSpacing"/>
    <w:uiPriority w:val="1"/>
    <w:rsid w:val="00DC5E5C"/>
    <w:rPr>
      <w:rFonts w:eastAsiaTheme="minorEastAsia"/>
      <w:sz w:val="22"/>
      <w:szCs w:val="22"/>
      <w:lang w:val="en-US" w:eastAsia="zh-CN"/>
    </w:rPr>
  </w:style>
  <w:style w:type="paragraph" w:styleId="ListParagraph">
    <w:name w:val="List Paragraph"/>
    <w:basedOn w:val="Normal"/>
    <w:uiPriority w:val="34"/>
    <w:qFormat/>
    <w:rsid w:val="00DC5E5C"/>
    <w:pPr>
      <w:ind w:left="720"/>
      <w:contextualSpacing/>
    </w:pPr>
  </w:style>
  <w:style w:type="character" w:customStyle="1" w:styleId="apple-converted-space">
    <w:name w:val="apple-converted-space"/>
    <w:basedOn w:val="DefaultParagraphFont"/>
    <w:rsid w:val="00A552BF"/>
  </w:style>
  <w:style w:type="character" w:styleId="Hyperlink">
    <w:name w:val="Hyperlink"/>
    <w:basedOn w:val="DefaultParagraphFont"/>
    <w:uiPriority w:val="99"/>
    <w:semiHidden/>
    <w:unhideWhenUsed/>
    <w:rsid w:val="00A552BF"/>
    <w:rPr>
      <w:color w:val="0000FF"/>
      <w:u w:val="single"/>
    </w:rPr>
  </w:style>
  <w:style w:type="character" w:styleId="Emphasis">
    <w:name w:val="Emphasis"/>
    <w:basedOn w:val="DefaultParagraphFont"/>
    <w:uiPriority w:val="20"/>
    <w:qFormat/>
    <w:rsid w:val="00A552BF"/>
    <w:rPr>
      <w:i/>
      <w:iCs/>
    </w:rPr>
  </w:style>
  <w:style w:type="character" w:customStyle="1" w:styleId="Heading5Char">
    <w:name w:val="Heading 5 Char"/>
    <w:basedOn w:val="DefaultParagraphFont"/>
    <w:link w:val="Heading5"/>
    <w:uiPriority w:val="9"/>
    <w:rsid w:val="00A552BF"/>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A552B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5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56494">
      <w:bodyDiv w:val="1"/>
      <w:marLeft w:val="0"/>
      <w:marRight w:val="0"/>
      <w:marTop w:val="0"/>
      <w:marBottom w:val="0"/>
      <w:divBdr>
        <w:top w:val="none" w:sz="0" w:space="0" w:color="auto"/>
        <w:left w:val="none" w:sz="0" w:space="0" w:color="auto"/>
        <w:bottom w:val="none" w:sz="0" w:space="0" w:color="auto"/>
        <w:right w:val="none" w:sz="0" w:space="0" w:color="auto"/>
      </w:divBdr>
    </w:div>
    <w:div w:id="161046444">
      <w:bodyDiv w:val="1"/>
      <w:marLeft w:val="0"/>
      <w:marRight w:val="0"/>
      <w:marTop w:val="0"/>
      <w:marBottom w:val="0"/>
      <w:divBdr>
        <w:top w:val="none" w:sz="0" w:space="0" w:color="auto"/>
        <w:left w:val="none" w:sz="0" w:space="0" w:color="auto"/>
        <w:bottom w:val="none" w:sz="0" w:space="0" w:color="auto"/>
        <w:right w:val="none" w:sz="0" w:space="0" w:color="auto"/>
      </w:divBdr>
    </w:div>
    <w:div w:id="302546668">
      <w:bodyDiv w:val="1"/>
      <w:marLeft w:val="0"/>
      <w:marRight w:val="0"/>
      <w:marTop w:val="0"/>
      <w:marBottom w:val="0"/>
      <w:divBdr>
        <w:top w:val="none" w:sz="0" w:space="0" w:color="auto"/>
        <w:left w:val="none" w:sz="0" w:space="0" w:color="auto"/>
        <w:bottom w:val="none" w:sz="0" w:space="0" w:color="auto"/>
        <w:right w:val="none" w:sz="0" w:space="0" w:color="auto"/>
      </w:divBdr>
    </w:div>
    <w:div w:id="339434511">
      <w:bodyDiv w:val="1"/>
      <w:marLeft w:val="0"/>
      <w:marRight w:val="0"/>
      <w:marTop w:val="0"/>
      <w:marBottom w:val="0"/>
      <w:divBdr>
        <w:top w:val="none" w:sz="0" w:space="0" w:color="auto"/>
        <w:left w:val="none" w:sz="0" w:space="0" w:color="auto"/>
        <w:bottom w:val="none" w:sz="0" w:space="0" w:color="auto"/>
        <w:right w:val="none" w:sz="0" w:space="0" w:color="auto"/>
      </w:divBdr>
    </w:div>
    <w:div w:id="346757060">
      <w:bodyDiv w:val="1"/>
      <w:marLeft w:val="0"/>
      <w:marRight w:val="0"/>
      <w:marTop w:val="0"/>
      <w:marBottom w:val="0"/>
      <w:divBdr>
        <w:top w:val="none" w:sz="0" w:space="0" w:color="auto"/>
        <w:left w:val="none" w:sz="0" w:space="0" w:color="auto"/>
        <w:bottom w:val="none" w:sz="0" w:space="0" w:color="auto"/>
        <w:right w:val="none" w:sz="0" w:space="0" w:color="auto"/>
      </w:divBdr>
    </w:div>
    <w:div w:id="364794807">
      <w:bodyDiv w:val="1"/>
      <w:marLeft w:val="0"/>
      <w:marRight w:val="0"/>
      <w:marTop w:val="0"/>
      <w:marBottom w:val="0"/>
      <w:divBdr>
        <w:top w:val="none" w:sz="0" w:space="0" w:color="auto"/>
        <w:left w:val="none" w:sz="0" w:space="0" w:color="auto"/>
        <w:bottom w:val="none" w:sz="0" w:space="0" w:color="auto"/>
        <w:right w:val="none" w:sz="0" w:space="0" w:color="auto"/>
      </w:divBdr>
    </w:div>
    <w:div w:id="559748529">
      <w:bodyDiv w:val="1"/>
      <w:marLeft w:val="0"/>
      <w:marRight w:val="0"/>
      <w:marTop w:val="0"/>
      <w:marBottom w:val="0"/>
      <w:divBdr>
        <w:top w:val="none" w:sz="0" w:space="0" w:color="auto"/>
        <w:left w:val="none" w:sz="0" w:space="0" w:color="auto"/>
        <w:bottom w:val="none" w:sz="0" w:space="0" w:color="auto"/>
        <w:right w:val="none" w:sz="0" w:space="0" w:color="auto"/>
      </w:divBdr>
    </w:div>
    <w:div w:id="568657715">
      <w:bodyDiv w:val="1"/>
      <w:marLeft w:val="0"/>
      <w:marRight w:val="0"/>
      <w:marTop w:val="0"/>
      <w:marBottom w:val="0"/>
      <w:divBdr>
        <w:top w:val="none" w:sz="0" w:space="0" w:color="auto"/>
        <w:left w:val="none" w:sz="0" w:space="0" w:color="auto"/>
        <w:bottom w:val="none" w:sz="0" w:space="0" w:color="auto"/>
        <w:right w:val="none" w:sz="0" w:space="0" w:color="auto"/>
      </w:divBdr>
    </w:div>
    <w:div w:id="628977041">
      <w:bodyDiv w:val="1"/>
      <w:marLeft w:val="0"/>
      <w:marRight w:val="0"/>
      <w:marTop w:val="0"/>
      <w:marBottom w:val="0"/>
      <w:divBdr>
        <w:top w:val="none" w:sz="0" w:space="0" w:color="auto"/>
        <w:left w:val="none" w:sz="0" w:space="0" w:color="auto"/>
        <w:bottom w:val="none" w:sz="0" w:space="0" w:color="auto"/>
        <w:right w:val="none" w:sz="0" w:space="0" w:color="auto"/>
      </w:divBdr>
    </w:div>
    <w:div w:id="646933335">
      <w:bodyDiv w:val="1"/>
      <w:marLeft w:val="0"/>
      <w:marRight w:val="0"/>
      <w:marTop w:val="0"/>
      <w:marBottom w:val="0"/>
      <w:divBdr>
        <w:top w:val="none" w:sz="0" w:space="0" w:color="auto"/>
        <w:left w:val="none" w:sz="0" w:space="0" w:color="auto"/>
        <w:bottom w:val="none" w:sz="0" w:space="0" w:color="auto"/>
        <w:right w:val="none" w:sz="0" w:space="0" w:color="auto"/>
      </w:divBdr>
    </w:div>
    <w:div w:id="673991887">
      <w:bodyDiv w:val="1"/>
      <w:marLeft w:val="0"/>
      <w:marRight w:val="0"/>
      <w:marTop w:val="0"/>
      <w:marBottom w:val="0"/>
      <w:divBdr>
        <w:top w:val="none" w:sz="0" w:space="0" w:color="auto"/>
        <w:left w:val="none" w:sz="0" w:space="0" w:color="auto"/>
        <w:bottom w:val="none" w:sz="0" w:space="0" w:color="auto"/>
        <w:right w:val="none" w:sz="0" w:space="0" w:color="auto"/>
      </w:divBdr>
    </w:div>
    <w:div w:id="696194741">
      <w:bodyDiv w:val="1"/>
      <w:marLeft w:val="0"/>
      <w:marRight w:val="0"/>
      <w:marTop w:val="0"/>
      <w:marBottom w:val="0"/>
      <w:divBdr>
        <w:top w:val="none" w:sz="0" w:space="0" w:color="auto"/>
        <w:left w:val="none" w:sz="0" w:space="0" w:color="auto"/>
        <w:bottom w:val="none" w:sz="0" w:space="0" w:color="auto"/>
        <w:right w:val="none" w:sz="0" w:space="0" w:color="auto"/>
      </w:divBdr>
    </w:div>
    <w:div w:id="697656738">
      <w:bodyDiv w:val="1"/>
      <w:marLeft w:val="0"/>
      <w:marRight w:val="0"/>
      <w:marTop w:val="0"/>
      <w:marBottom w:val="0"/>
      <w:divBdr>
        <w:top w:val="none" w:sz="0" w:space="0" w:color="auto"/>
        <w:left w:val="none" w:sz="0" w:space="0" w:color="auto"/>
        <w:bottom w:val="none" w:sz="0" w:space="0" w:color="auto"/>
        <w:right w:val="none" w:sz="0" w:space="0" w:color="auto"/>
      </w:divBdr>
    </w:div>
    <w:div w:id="701639393">
      <w:bodyDiv w:val="1"/>
      <w:marLeft w:val="0"/>
      <w:marRight w:val="0"/>
      <w:marTop w:val="0"/>
      <w:marBottom w:val="0"/>
      <w:divBdr>
        <w:top w:val="none" w:sz="0" w:space="0" w:color="auto"/>
        <w:left w:val="none" w:sz="0" w:space="0" w:color="auto"/>
        <w:bottom w:val="none" w:sz="0" w:space="0" w:color="auto"/>
        <w:right w:val="none" w:sz="0" w:space="0" w:color="auto"/>
      </w:divBdr>
    </w:div>
    <w:div w:id="703210231">
      <w:bodyDiv w:val="1"/>
      <w:marLeft w:val="0"/>
      <w:marRight w:val="0"/>
      <w:marTop w:val="0"/>
      <w:marBottom w:val="0"/>
      <w:divBdr>
        <w:top w:val="none" w:sz="0" w:space="0" w:color="auto"/>
        <w:left w:val="none" w:sz="0" w:space="0" w:color="auto"/>
        <w:bottom w:val="none" w:sz="0" w:space="0" w:color="auto"/>
        <w:right w:val="none" w:sz="0" w:space="0" w:color="auto"/>
      </w:divBdr>
    </w:div>
    <w:div w:id="786117180">
      <w:bodyDiv w:val="1"/>
      <w:marLeft w:val="0"/>
      <w:marRight w:val="0"/>
      <w:marTop w:val="0"/>
      <w:marBottom w:val="0"/>
      <w:divBdr>
        <w:top w:val="none" w:sz="0" w:space="0" w:color="auto"/>
        <w:left w:val="none" w:sz="0" w:space="0" w:color="auto"/>
        <w:bottom w:val="none" w:sz="0" w:space="0" w:color="auto"/>
        <w:right w:val="none" w:sz="0" w:space="0" w:color="auto"/>
      </w:divBdr>
    </w:div>
    <w:div w:id="802386236">
      <w:bodyDiv w:val="1"/>
      <w:marLeft w:val="0"/>
      <w:marRight w:val="0"/>
      <w:marTop w:val="0"/>
      <w:marBottom w:val="0"/>
      <w:divBdr>
        <w:top w:val="none" w:sz="0" w:space="0" w:color="auto"/>
        <w:left w:val="none" w:sz="0" w:space="0" w:color="auto"/>
        <w:bottom w:val="none" w:sz="0" w:space="0" w:color="auto"/>
        <w:right w:val="none" w:sz="0" w:space="0" w:color="auto"/>
      </w:divBdr>
    </w:div>
    <w:div w:id="908611166">
      <w:bodyDiv w:val="1"/>
      <w:marLeft w:val="0"/>
      <w:marRight w:val="0"/>
      <w:marTop w:val="0"/>
      <w:marBottom w:val="0"/>
      <w:divBdr>
        <w:top w:val="none" w:sz="0" w:space="0" w:color="auto"/>
        <w:left w:val="none" w:sz="0" w:space="0" w:color="auto"/>
        <w:bottom w:val="none" w:sz="0" w:space="0" w:color="auto"/>
        <w:right w:val="none" w:sz="0" w:space="0" w:color="auto"/>
      </w:divBdr>
    </w:div>
    <w:div w:id="950091574">
      <w:bodyDiv w:val="1"/>
      <w:marLeft w:val="0"/>
      <w:marRight w:val="0"/>
      <w:marTop w:val="0"/>
      <w:marBottom w:val="0"/>
      <w:divBdr>
        <w:top w:val="none" w:sz="0" w:space="0" w:color="auto"/>
        <w:left w:val="none" w:sz="0" w:space="0" w:color="auto"/>
        <w:bottom w:val="none" w:sz="0" w:space="0" w:color="auto"/>
        <w:right w:val="none" w:sz="0" w:space="0" w:color="auto"/>
      </w:divBdr>
    </w:div>
    <w:div w:id="952057590">
      <w:bodyDiv w:val="1"/>
      <w:marLeft w:val="0"/>
      <w:marRight w:val="0"/>
      <w:marTop w:val="0"/>
      <w:marBottom w:val="0"/>
      <w:divBdr>
        <w:top w:val="none" w:sz="0" w:space="0" w:color="auto"/>
        <w:left w:val="none" w:sz="0" w:space="0" w:color="auto"/>
        <w:bottom w:val="none" w:sz="0" w:space="0" w:color="auto"/>
        <w:right w:val="none" w:sz="0" w:space="0" w:color="auto"/>
      </w:divBdr>
    </w:div>
    <w:div w:id="956644264">
      <w:bodyDiv w:val="1"/>
      <w:marLeft w:val="0"/>
      <w:marRight w:val="0"/>
      <w:marTop w:val="0"/>
      <w:marBottom w:val="0"/>
      <w:divBdr>
        <w:top w:val="none" w:sz="0" w:space="0" w:color="auto"/>
        <w:left w:val="none" w:sz="0" w:space="0" w:color="auto"/>
        <w:bottom w:val="none" w:sz="0" w:space="0" w:color="auto"/>
        <w:right w:val="none" w:sz="0" w:space="0" w:color="auto"/>
      </w:divBdr>
    </w:div>
    <w:div w:id="981275429">
      <w:bodyDiv w:val="1"/>
      <w:marLeft w:val="0"/>
      <w:marRight w:val="0"/>
      <w:marTop w:val="0"/>
      <w:marBottom w:val="0"/>
      <w:divBdr>
        <w:top w:val="none" w:sz="0" w:space="0" w:color="auto"/>
        <w:left w:val="none" w:sz="0" w:space="0" w:color="auto"/>
        <w:bottom w:val="none" w:sz="0" w:space="0" w:color="auto"/>
        <w:right w:val="none" w:sz="0" w:space="0" w:color="auto"/>
      </w:divBdr>
    </w:div>
    <w:div w:id="1070078759">
      <w:bodyDiv w:val="1"/>
      <w:marLeft w:val="0"/>
      <w:marRight w:val="0"/>
      <w:marTop w:val="0"/>
      <w:marBottom w:val="0"/>
      <w:divBdr>
        <w:top w:val="none" w:sz="0" w:space="0" w:color="auto"/>
        <w:left w:val="none" w:sz="0" w:space="0" w:color="auto"/>
        <w:bottom w:val="none" w:sz="0" w:space="0" w:color="auto"/>
        <w:right w:val="none" w:sz="0" w:space="0" w:color="auto"/>
      </w:divBdr>
    </w:div>
    <w:div w:id="1083259786">
      <w:bodyDiv w:val="1"/>
      <w:marLeft w:val="0"/>
      <w:marRight w:val="0"/>
      <w:marTop w:val="0"/>
      <w:marBottom w:val="0"/>
      <w:divBdr>
        <w:top w:val="none" w:sz="0" w:space="0" w:color="auto"/>
        <w:left w:val="none" w:sz="0" w:space="0" w:color="auto"/>
        <w:bottom w:val="none" w:sz="0" w:space="0" w:color="auto"/>
        <w:right w:val="none" w:sz="0" w:space="0" w:color="auto"/>
      </w:divBdr>
    </w:div>
    <w:div w:id="1137793173">
      <w:bodyDiv w:val="1"/>
      <w:marLeft w:val="0"/>
      <w:marRight w:val="0"/>
      <w:marTop w:val="0"/>
      <w:marBottom w:val="0"/>
      <w:divBdr>
        <w:top w:val="none" w:sz="0" w:space="0" w:color="auto"/>
        <w:left w:val="none" w:sz="0" w:space="0" w:color="auto"/>
        <w:bottom w:val="none" w:sz="0" w:space="0" w:color="auto"/>
        <w:right w:val="none" w:sz="0" w:space="0" w:color="auto"/>
      </w:divBdr>
    </w:div>
    <w:div w:id="1165516365">
      <w:bodyDiv w:val="1"/>
      <w:marLeft w:val="0"/>
      <w:marRight w:val="0"/>
      <w:marTop w:val="0"/>
      <w:marBottom w:val="0"/>
      <w:divBdr>
        <w:top w:val="none" w:sz="0" w:space="0" w:color="auto"/>
        <w:left w:val="none" w:sz="0" w:space="0" w:color="auto"/>
        <w:bottom w:val="none" w:sz="0" w:space="0" w:color="auto"/>
        <w:right w:val="none" w:sz="0" w:space="0" w:color="auto"/>
      </w:divBdr>
    </w:div>
    <w:div w:id="1173035422">
      <w:bodyDiv w:val="1"/>
      <w:marLeft w:val="0"/>
      <w:marRight w:val="0"/>
      <w:marTop w:val="0"/>
      <w:marBottom w:val="0"/>
      <w:divBdr>
        <w:top w:val="none" w:sz="0" w:space="0" w:color="auto"/>
        <w:left w:val="none" w:sz="0" w:space="0" w:color="auto"/>
        <w:bottom w:val="none" w:sz="0" w:space="0" w:color="auto"/>
        <w:right w:val="none" w:sz="0" w:space="0" w:color="auto"/>
      </w:divBdr>
    </w:div>
    <w:div w:id="1240939284">
      <w:bodyDiv w:val="1"/>
      <w:marLeft w:val="0"/>
      <w:marRight w:val="0"/>
      <w:marTop w:val="0"/>
      <w:marBottom w:val="0"/>
      <w:divBdr>
        <w:top w:val="none" w:sz="0" w:space="0" w:color="auto"/>
        <w:left w:val="none" w:sz="0" w:space="0" w:color="auto"/>
        <w:bottom w:val="none" w:sz="0" w:space="0" w:color="auto"/>
        <w:right w:val="none" w:sz="0" w:space="0" w:color="auto"/>
      </w:divBdr>
    </w:div>
    <w:div w:id="1246300212">
      <w:bodyDiv w:val="1"/>
      <w:marLeft w:val="0"/>
      <w:marRight w:val="0"/>
      <w:marTop w:val="0"/>
      <w:marBottom w:val="0"/>
      <w:divBdr>
        <w:top w:val="none" w:sz="0" w:space="0" w:color="auto"/>
        <w:left w:val="none" w:sz="0" w:space="0" w:color="auto"/>
        <w:bottom w:val="none" w:sz="0" w:space="0" w:color="auto"/>
        <w:right w:val="none" w:sz="0" w:space="0" w:color="auto"/>
      </w:divBdr>
    </w:div>
    <w:div w:id="1290666523">
      <w:bodyDiv w:val="1"/>
      <w:marLeft w:val="0"/>
      <w:marRight w:val="0"/>
      <w:marTop w:val="0"/>
      <w:marBottom w:val="0"/>
      <w:divBdr>
        <w:top w:val="none" w:sz="0" w:space="0" w:color="auto"/>
        <w:left w:val="none" w:sz="0" w:space="0" w:color="auto"/>
        <w:bottom w:val="none" w:sz="0" w:space="0" w:color="auto"/>
        <w:right w:val="none" w:sz="0" w:space="0" w:color="auto"/>
      </w:divBdr>
    </w:div>
    <w:div w:id="1367757823">
      <w:bodyDiv w:val="1"/>
      <w:marLeft w:val="0"/>
      <w:marRight w:val="0"/>
      <w:marTop w:val="0"/>
      <w:marBottom w:val="0"/>
      <w:divBdr>
        <w:top w:val="none" w:sz="0" w:space="0" w:color="auto"/>
        <w:left w:val="none" w:sz="0" w:space="0" w:color="auto"/>
        <w:bottom w:val="none" w:sz="0" w:space="0" w:color="auto"/>
        <w:right w:val="none" w:sz="0" w:space="0" w:color="auto"/>
      </w:divBdr>
    </w:div>
    <w:div w:id="1371228429">
      <w:bodyDiv w:val="1"/>
      <w:marLeft w:val="0"/>
      <w:marRight w:val="0"/>
      <w:marTop w:val="0"/>
      <w:marBottom w:val="0"/>
      <w:divBdr>
        <w:top w:val="none" w:sz="0" w:space="0" w:color="auto"/>
        <w:left w:val="none" w:sz="0" w:space="0" w:color="auto"/>
        <w:bottom w:val="none" w:sz="0" w:space="0" w:color="auto"/>
        <w:right w:val="none" w:sz="0" w:space="0" w:color="auto"/>
      </w:divBdr>
    </w:div>
    <w:div w:id="1408527542">
      <w:bodyDiv w:val="1"/>
      <w:marLeft w:val="0"/>
      <w:marRight w:val="0"/>
      <w:marTop w:val="0"/>
      <w:marBottom w:val="0"/>
      <w:divBdr>
        <w:top w:val="none" w:sz="0" w:space="0" w:color="auto"/>
        <w:left w:val="none" w:sz="0" w:space="0" w:color="auto"/>
        <w:bottom w:val="none" w:sz="0" w:space="0" w:color="auto"/>
        <w:right w:val="none" w:sz="0" w:space="0" w:color="auto"/>
      </w:divBdr>
    </w:div>
    <w:div w:id="1623459341">
      <w:bodyDiv w:val="1"/>
      <w:marLeft w:val="0"/>
      <w:marRight w:val="0"/>
      <w:marTop w:val="0"/>
      <w:marBottom w:val="0"/>
      <w:divBdr>
        <w:top w:val="none" w:sz="0" w:space="0" w:color="auto"/>
        <w:left w:val="none" w:sz="0" w:space="0" w:color="auto"/>
        <w:bottom w:val="none" w:sz="0" w:space="0" w:color="auto"/>
        <w:right w:val="none" w:sz="0" w:space="0" w:color="auto"/>
      </w:divBdr>
    </w:div>
    <w:div w:id="1702123625">
      <w:bodyDiv w:val="1"/>
      <w:marLeft w:val="0"/>
      <w:marRight w:val="0"/>
      <w:marTop w:val="0"/>
      <w:marBottom w:val="0"/>
      <w:divBdr>
        <w:top w:val="none" w:sz="0" w:space="0" w:color="auto"/>
        <w:left w:val="none" w:sz="0" w:space="0" w:color="auto"/>
        <w:bottom w:val="none" w:sz="0" w:space="0" w:color="auto"/>
        <w:right w:val="none" w:sz="0" w:space="0" w:color="auto"/>
      </w:divBdr>
    </w:div>
    <w:div w:id="1798529524">
      <w:bodyDiv w:val="1"/>
      <w:marLeft w:val="0"/>
      <w:marRight w:val="0"/>
      <w:marTop w:val="0"/>
      <w:marBottom w:val="0"/>
      <w:divBdr>
        <w:top w:val="none" w:sz="0" w:space="0" w:color="auto"/>
        <w:left w:val="none" w:sz="0" w:space="0" w:color="auto"/>
        <w:bottom w:val="none" w:sz="0" w:space="0" w:color="auto"/>
        <w:right w:val="none" w:sz="0" w:space="0" w:color="auto"/>
      </w:divBdr>
    </w:div>
    <w:div w:id="1904559407">
      <w:bodyDiv w:val="1"/>
      <w:marLeft w:val="0"/>
      <w:marRight w:val="0"/>
      <w:marTop w:val="0"/>
      <w:marBottom w:val="0"/>
      <w:divBdr>
        <w:top w:val="none" w:sz="0" w:space="0" w:color="auto"/>
        <w:left w:val="none" w:sz="0" w:space="0" w:color="auto"/>
        <w:bottom w:val="none" w:sz="0" w:space="0" w:color="auto"/>
        <w:right w:val="none" w:sz="0" w:space="0" w:color="auto"/>
      </w:divBdr>
    </w:div>
    <w:div w:id="1947693724">
      <w:bodyDiv w:val="1"/>
      <w:marLeft w:val="0"/>
      <w:marRight w:val="0"/>
      <w:marTop w:val="0"/>
      <w:marBottom w:val="0"/>
      <w:divBdr>
        <w:top w:val="none" w:sz="0" w:space="0" w:color="auto"/>
        <w:left w:val="none" w:sz="0" w:space="0" w:color="auto"/>
        <w:bottom w:val="none" w:sz="0" w:space="0" w:color="auto"/>
        <w:right w:val="none" w:sz="0" w:space="0" w:color="auto"/>
      </w:divBdr>
    </w:div>
    <w:div w:id="1961690637">
      <w:bodyDiv w:val="1"/>
      <w:marLeft w:val="0"/>
      <w:marRight w:val="0"/>
      <w:marTop w:val="0"/>
      <w:marBottom w:val="0"/>
      <w:divBdr>
        <w:top w:val="none" w:sz="0" w:space="0" w:color="auto"/>
        <w:left w:val="none" w:sz="0" w:space="0" w:color="auto"/>
        <w:bottom w:val="none" w:sz="0" w:space="0" w:color="auto"/>
        <w:right w:val="none" w:sz="0" w:space="0" w:color="auto"/>
      </w:divBdr>
    </w:div>
    <w:div w:id="1965307431">
      <w:bodyDiv w:val="1"/>
      <w:marLeft w:val="0"/>
      <w:marRight w:val="0"/>
      <w:marTop w:val="0"/>
      <w:marBottom w:val="0"/>
      <w:divBdr>
        <w:top w:val="none" w:sz="0" w:space="0" w:color="auto"/>
        <w:left w:val="none" w:sz="0" w:space="0" w:color="auto"/>
        <w:bottom w:val="none" w:sz="0" w:space="0" w:color="auto"/>
        <w:right w:val="none" w:sz="0" w:space="0" w:color="auto"/>
      </w:divBdr>
    </w:div>
    <w:div w:id="214211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GOV61</b:Tag>
    <b:SourceType>InternetSite</b:SourceType>
    <b:Guid>{73467EC9-7E4E-2848-8DF3-2E20385710E1}</b:Guid>
    <b:Author>
      <b:Author>
        <b:Corporate>GOV.UK</b:Corporate>
      </b:Author>
    </b:Author>
    <b:Title>Offences against the person act 1861</b:Title>
    <b:URL>https://www.legislation.gov.uk/ukpga/Vict/24-25/100/section/20</b:URL>
    <b:Year>1861</b:Year>
    <b:YearAccessed>2022</b:YearAccessed>
    <b:MonthAccessed>January</b:MonthAccessed>
    <b:DayAccessed>2</b:DayAccessed>
    <b:RefOrder>2</b:RefOrder>
  </b:Source>
  <b:Source>
    <b:Tag>Gov68</b:Tag>
    <b:SourceType>InternetSite</b:SourceType>
    <b:Guid>{913AEE65-785A-8E4F-AA68-88EC958018E4}</b:Guid>
    <b:Author>
      <b:Author>
        <b:Corporate>GOV.UK</b:Corporate>
      </b:Author>
    </b:Author>
    <b:Title>Theft Act 1968</b:Title>
    <b:URL>https://www.legislation.gov.uk/ukpga/1968/60/contents</b:URL>
    <b:Year>1968</b:Year>
    <b:YearAccessed>2021</b:YearAccessed>
    <b:MonthAccessed>December</b:MonthAccessed>
    <b:DayAccessed>7</b:DayAccessed>
    <b:RefOrder>1</b:RefOrder>
  </b:Source>
  <b:Source>
    <b:Tag>GOV71</b:Tag>
    <b:SourceType>InternetSite</b:SourceType>
    <b:Guid>{407EF17B-682B-AB48-B60F-F2167BD5952E}</b:Guid>
    <b:Author>
      <b:Author>
        <b:NameList>
          <b:Person>
            <b:Last>GOV.UK</b:Last>
          </b:Person>
        </b:NameList>
      </b:Author>
    </b:Author>
    <b:Title>Criminal Damage Act 1971</b:Title>
    <b:URL>https://www.legislation.gov.uk/ukpga/1971/48/contents</b:URL>
    <b:Year>1971</b:Year>
    <b:YearAccessed>2022</b:YearAccessed>
    <b:MonthAccessed>January</b:MonthAccessed>
    <b:DayAccessed>4</b:DayAccessed>
    <b:RefOrder>3</b:RefOrder>
  </b:Source>
  <b:Source>
    <b:Tag>GOV03</b:Tag>
    <b:SourceType>InternetSite</b:SourceType>
    <b:Guid>{5DE58625-0C90-AE44-B72F-3E76A28FBB05}</b:Guid>
    <b:Author>
      <b:Author>
        <b:Corporate>GOV.UK</b:Corporate>
      </b:Author>
    </b:Author>
    <b:Title>Sexual Offences Act 2003</b:Title>
    <b:URL>https://www.legislation.gov.uk/ukpga/2003/42/section/61/notes</b:URL>
    <b:Year>2003</b:Year>
    <b:YearAccessed>2022</b:YearAccessed>
    <b:MonthAccessed>January</b:MonthAccessed>
    <b:DayAccessed>5</b:DayAccessed>
    <b:RefOrder>4</b:RefOrder>
  </b:Source>
  <b:Source>
    <b:Tag>hou21</b:Tag>
    <b:SourceType>InternetSite</b:SourceType>
    <b:Guid>{3D04D885-F42B-964A-A9BA-030528DDA91A}</b:Guid>
    <b:Author>
      <b:Author>
        <b:Corporate>House Law Team</b:Corporate>
      </b:Author>
    </b:Author>
    <b:Title>R V Morris [1983]</b:Title>
    <b:URL>https://www.lawteacher.net/cases/r-v-morris.php</b:URL>
    <b:Year>2021</b:Year>
    <b:YearAccessed>2022</b:YearAccessed>
    <b:MonthAccessed>January</b:MonthAccessed>
    <b:DayAccessed>6</b:DayAccessed>
    <b:RefOrder>5</b:RefOrder>
  </b:Source>
  <b:Source>
    <b:Tag>Hou21</b:Tag>
    <b:SourceType>InternetSite</b:SourceType>
    <b:Guid>{FAB0C398-DF72-2F42-B033-2A4218C3054F}</b:Guid>
    <b:Author>
      <b:Author>
        <b:Corporate>House Law Team</b:Corporate>
      </b:Author>
    </b:Author>
    <b:Title>R V Ghosh- 1982</b:Title>
    <b:URL>https://www.lawteacher.net/cases/r-v-ghosh.php</b:URL>
    <b:Year>2021</b:Year>
    <b:YearAccessed>2022</b:YearAccessed>
    <b:MonthAccessed>January</b:MonthAccessed>
    <b:DayAccessed>6</b:DayAccessed>
    <b:RefOrder>6</b:RefOrder>
  </b:Source>
  <b:Source>
    <b:Tag>Hou211</b:Tag>
    <b:SourceType>InternetSite</b:SourceType>
    <b:Guid>{5E99140D-A57B-7E4A-9EF9-CC93C5FC8D20}</b:Guid>
    <b:Author>
      <b:Author>
        <b:Corporate>House Law Team</b:Corporate>
      </b:Author>
    </b:Author>
    <b:Title>R v Allen 1998</b:Title>
    <b:URL>https://www.lawteacher.net/cases/intoxication-cases.php</b:URL>
    <b:Year>2021</b:Year>
    <b:YearAccessed>2022</b:YearAccessed>
    <b:MonthAccessed>January</b:MonthAccessed>
    <b:DayAccessed>7</b:DayAccessed>
    <b:RefOrder>8</b:RefOrder>
  </b:Source>
  <b:Source>
    <b:Tag>Hou19</b:Tag>
    <b:SourceType>InternetSite</b:SourceType>
    <b:Guid>{B865CF9F-F04A-6742-99F5-827F4CCF57BF}</b:Guid>
    <b:Author>
      <b:Author>
        <b:Corporate>House of Law</b:Corporate>
      </b:Author>
    </b:Author>
    <b:Title>R V Hardie- 1985</b:Title>
    <b:URL>https://www.lawteacher.net/cases/r-v-hardie.php</b:URL>
    <b:Year>2019</b:Year>
    <b:YearAccessed>2022</b:YearAccessed>
    <b:MonthAccessed>January</b:MonthAccessed>
    <b:DayAccessed>3</b:DayAccessed>
    <b:RefOrder>7</b:RefOrder>
  </b:Source>
  <b:Source>
    <b:Tag>IPS98</b:Tag>
    <b:SourceType>InternetSite</b:SourceType>
    <b:Guid>{544FD6F2-6B9F-8D47-9821-132893A36F93}</b:Guid>
    <b:Author>
      <b:Author>
        <b:Corporate>IPSA LOQUITUR</b:Corporate>
      </b:Author>
    </b:Author>
    <b:Title>Gayford v Chouler</b:Title>
    <b:URL>https://ipsaloquitur.com/criminal-law/cases/gayford-v-chouler/</b:URL>
    <b:Year>2021</b:Year>
    <b:YearAccessed>2022</b:YearAccessed>
    <b:MonthAccessed>January</b:MonthAccessed>
    <b:DayAccessed>6</b:DayAccessed>
    <b:RefOrder>9</b:RefOrder>
  </b:Source>
  <b:Source>
    <b:Tag>Cor21</b:Tag>
    <b:SourceType>InternetSite</b:SourceType>
    <b:Guid>{166B1F39-A89D-EB4C-BCB7-2448DFFBDBCA}</b:Guid>
    <b:Author>
      <b:Author>
        <b:NameList>
          <b:Person>
            <b:Last>Wilson</b:Last>
            <b:First>Cory</b:First>
          </b:Person>
        </b:NameList>
      </b:Author>
    </b:Author>
    <b:Title>What are the defences to theft?</b:Title>
    <b:URL>https://wilsoncriminaldefence.com/faqs/what-are-defences-to-theft/</b:URL>
    <b:Year>2021</b:Year>
    <b:YearAccessed>2022</b:YearAccessed>
    <b:MonthAccessed>January</b:MonthAccessed>
    <b:DayAccessed>7</b:DayAccessed>
    <b:RefOrder>10</b:RefOrder>
  </b:Source>
  <b:Source>
    <b:Tag>GOV031</b:Tag>
    <b:SourceType>InternetSite</b:SourceType>
    <b:Guid>{B07A4271-6D55-CF45-87A4-7B331724E997}</b:Guid>
    <b:Author>
      <b:Author>
        <b:Corporate>GOV.UK</b:Corporate>
      </b:Author>
    </b:Author>
    <b:Title>Sexual Offences Act 2003</b:Title>
    <b:URL>https://www.legislation.gov.uk/ukpga/2003/42/section/61/notes</b:URL>
    <b:Year>2003</b:Year>
    <b:YearAccessed>2022</b:YearAccessed>
    <b:MonthAccessed>January</b:MonthAccessed>
    <b:DayAccessed>5</b:DayAccessed>
    <b:RefOrder>12</b:RefOrder>
  </b:Source>
  <b:Source>
    <b:Tag>GOV18</b:Tag>
    <b:SourceType>InternetSite</b:SourceType>
    <b:Guid>{0AA4A437-4326-2040-9485-50909912C7FC}</b:Guid>
    <b:Author>
      <b:Author>
        <b:Corporate>GOV.UK</b:Corporate>
      </b:Author>
    </b:Author>
    <b:Title>Intoxication</b:Title>
    <b:URL>https://www.cps.gov.uk/legal-guidance/intoxication</b:URL>
    <b:Year>2018</b:Year>
    <b:YearAccessed>2022</b:YearAccessed>
    <b:MonthAccessed>January</b:MonthAccessed>
    <b:DayAccessed>6</b:DayAccessed>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4698BA-DBBD-584D-AAC1-3C8783E1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1697</Words>
  <Characters>9679</Characters>
  <Application>Microsoft Office Word</Application>
  <DocSecurity>0</DocSecurity>
  <Lines>80</Lines>
  <Paragraphs>22</Paragraphs>
  <ScaleCrop>false</ScaleCrop>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Assignment 2: Scenario Question</dc:title>
  <dc:subject>By James Hudson</dc:subject>
  <dc:creator>Microsoft Office User</dc:creator>
  <cp:keywords/>
  <dc:description/>
  <cp:lastModifiedBy>Microsoft Office User</cp:lastModifiedBy>
  <cp:revision>2</cp:revision>
  <dcterms:created xsi:type="dcterms:W3CDTF">2022-01-07T15:28:00Z</dcterms:created>
  <dcterms:modified xsi:type="dcterms:W3CDTF">2022-01-07T15:28:00Z</dcterms:modified>
</cp:coreProperties>
</file>