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E068C" w14:textId="49B47306" w:rsidR="003D1463" w:rsidRDefault="004B52BC" w:rsidP="00990683">
      <w:pPr>
        <w:spacing w:line="480" w:lineRule="auto"/>
        <w:jc w:val="center"/>
      </w:pPr>
      <w:bookmarkStart w:id="0" w:name="_GoBack"/>
      <w:r>
        <w:t xml:space="preserve">Journal of </w:t>
      </w:r>
      <w:r w:rsidR="00990683">
        <w:t>actions during the module:</w:t>
      </w:r>
    </w:p>
    <w:p w14:paraId="0A855144" w14:textId="77777777" w:rsidR="00C438B3" w:rsidRDefault="00C438B3" w:rsidP="00990683">
      <w:pPr>
        <w:spacing w:line="480" w:lineRule="auto"/>
        <w:jc w:val="center"/>
      </w:pPr>
    </w:p>
    <w:p w14:paraId="0191229A" w14:textId="65CE373A" w:rsidR="004B52BC" w:rsidRDefault="004B52BC" w:rsidP="00990683">
      <w:pPr>
        <w:spacing w:line="480" w:lineRule="auto"/>
      </w:pPr>
      <w:r>
        <w:t>Action: attempting to negotiate a trade deal with Rhodes, after they declared a ceasefire with Macedon.</w:t>
      </w:r>
    </w:p>
    <w:p w14:paraId="332989BB" w14:textId="238BFB13" w:rsidR="004B52BC" w:rsidRDefault="004B52BC" w:rsidP="00990683">
      <w:pPr>
        <w:spacing w:line="480" w:lineRule="auto"/>
      </w:pPr>
      <w:r>
        <w:t>Historical precedent for this move: Rhodes and Pergamon have historically been allies</w:t>
      </w:r>
      <w:r w:rsidR="00053705">
        <w:rPr>
          <w:rStyle w:val="FootnoteReference"/>
        </w:rPr>
        <w:footnoteReference w:id="1"/>
      </w:r>
      <w:r>
        <w:t xml:space="preserve"> </w:t>
      </w:r>
      <w:r w:rsidR="0015393C">
        <w:t xml:space="preserve">and </w:t>
      </w:r>
      <w:r>
        <w:t>it would only be logical for us to negotiate more trade deals and to potentially secure their alliance against the Seleucids</w:t>
      </w:r>
      <w:r w:rsidR="00053705">
        <w:t>.</w:t>
      </w:r>
    </w:p>
    <w:p w14:paraId="7FB66C89" w14:textId="21AA32A7" w:rsidR="00A32211" w:rsidRPr="008B4CB0" w:rsidRDefault="004B52BC" w:rsidP="00990683">
      <w:pPr>
        <w:spacing w:line="480" w:lineRule="auto"/>
      </w:pPr>
      <w:r>
        <w:t xml:space="preserve">Evidence and </w:t>
      </w:r>
      <w:r w:rsidR="0015393C">
        <w:t>real-life</w:t>
      </w:r>
      <w:r>
        <w:t xml:space="preserve"> comparison:</w:t>
      </w:r>
      <w:r w:rsidR="00624874">
        <w:t xml:space="preserve"> Polybius</w:t>
      </w:r>
      <w:r w:rsidR="000E3B28">
        <w:t xml:space="preserve"> makes </w:t>
      </w:r>
      <w:r w:rsidR="00624874">
        <w:t xml:space="preserve">references </w:t>
      </w:r>
      <w:r w:rsidR="00990683">
        <w:t xml:space="preserve">to </w:t>
      </w:r>
      <w:r w:rsidR="00624874">
        <w:t xml:space="preserve">trade deals with Rhodes that entail the </w:t>
      </w:r>
      <w:r w:rsidR="00C030B1">
        <w:t xml:space="preserve">gifting of 100,000 </w:t>
      </w:r>
      <w:proofErr w:type="spellStart"/>
      <w:r w:rsidR="00C030B1" w:rsidRPr="00C030B1">
        <w:rPr>
          <w:i/>
        </w:rPr>
        <w:t>medimnoi</w:t>
      </w:r>
      <w:proofErr w:type="spellEnd"/>
      <w:r w:rsidR="00C030B1">
        <w:rPr>
          <w:i/>
        </w:rPr>
        <w:t xml:space="preserve"> </w:t>
      </w:r>
      <w:r w:rsidR="00C030B1">
        <w:t>of grain as a gift to Pergamon.</w:t>
      </w:r>
      <w:r w:rsidR="000E3B28">
        <w:rPr>
          <w:rStyle w:val="FootnoteReference"/>
        </w:rPr>
        <w:footnoteReference w:id="2"/>
      </w:r>
      <w:r w:rsidR="00C030B1">
        <w:t xml:space="preserve"> </w:t>
      </w:r>
      <w:r w:rsidR="00E96317">
        <w:t>Also</w:t>
      </w:r>
      <w:r w:rsidR="008B4CB0">
        <w:t>,</w:t>
      </w:r>
      <w:r w:rsidR="00E96317">
        <w:t xml:space="preserve"> it</w:t>
      </w:r>
      <w:r w:rsidR="008B4CB0">
        <w:t xml:space="preserve"> is realistically reasonable that the Macedonians</w:t>
      </w:r>
      <w:r w:rsidR="0015393C">
        <w:t xml:space="preserve"> </w:t>
      </w:r>
      <w:r w:rsidR="009159D0">
        <w:t xml:space="preserve">are </w:t>
      </w:r>
      <w:r w:rsidR="0015393C">
        <w:t>allied</w:t>
      </w:r>
      <w:r w:rsidR="008B4CB0">
        <w:t xml:space="preserve"> with the Rhodians. With Macedonian king Demetrios I of Macedon giving a gift of 200,000 </w:t>
      </w:r>
      <w:proofErr w:type="spellStart"/>
      <w:r w:rsidR="008B4CB0" w:rsidRPr="008B4CB0">
        <w:rPr>
          <w:i/>
        </w:rPr>
        <w:t>medimnoi</w:t>
      </w:r>
      <w:proofErr w:type="spellEnd"/>
      <w:r w:rsidR="008B4CB0">
        <w:t xml:space="preserve"> of wheat and 100,000 </w:t>
      </w:r>
      <w:proofErr w:type="spellStart"/>
      <w:r w:rsidR="008B4CB0">
        <w:rPr>
          <w:i/>
        </w:rPr>
        <w:t>medimnoi</w:t>
      </w:r>
      <w:proofErr w:type="spellEnd"/>
      <w:r w:rsidR="008B4CB0">
        <w:rPr>
          <w:i/>
        </w:rPr>
        <w:t xml:space="preserve"> </w:t>
      </w:r>
      <w:r w:rsidR="008B4CB0">
        <w:t>of barley</w:t>
      </w:r>
      <w:r w:rsidR="00A32211">
        <w:t xml:space="preserve"> to the Rhodians it is not unreasonable to presume that Rhodes could turn to the side of the Macedonians, as they have done now. Perhaps because of this evidence</w:t>
      </w:r>
      <w:r w:rsidR="009159D0">
        <w:t>,</w:t>
      </w:r>
      <w:r w:rsidR="00A32211">
        <w:t xml:space="preserve"> we as Pergamon, should have been prepared</w:t>
      </w:r>
      <w:r w:rsidR="003F3E7F">
        <w:t xml:space="preserve"> for such an eventuality and been more forward in our negotiations </w:t>
      </w:r>
      <w:r w:rsidR="009159D0">
        <w:t>with</w:t>
      </w:r>
      <w:r w:rsidR="003F3E7F">
        <w:t xml:space="preserve"> Rhodes.</w:t>
      </w:r>
    </w:p>
    <w:p w14:paraId="39479CAF" w14:textId="5D46F08D" w:rsidR="004B52BC" w:rsidRDefault="004B52BC" w:rsidP="00990683">
      <w:pPr>
        <w:spacing w:line="480" w:lineRule="auto"/>
      </w:pPr>
      <w:r>
        <w:t>Effect</w:t>
      </w:r>
      <w:r w:rsidR="00636BCA">
        <w:t xml:space="preserve"> of this decision: Negotiations took an unwelcome turn</w:t>
      </w:r>
      <w:r w:rsidR="009159D0">
        <w:t>,</w:t>
      </w:r>
      <w:r w:rsidR="00636BCA">
        <w:t xml:space="preserve"> as Macedon clearly presented more favourable and beneficial terms to Rhodes</w:t>
      </w:r>
      <w:r w:rsidR="009159D0">
        <w:t>;</w:t>
      </w:r>
      <w:r w:rsidR="00636BCA">
        <w:t xml:space="preserve"> our alliance</w:t>
      </w:r>
      <w:r w:rsidR="00990683">
        <w:t xml:space="preserve"> with</w:t>
      </w:r>
      <w:r w:rsidR="00636BCA">
        <w:t xml:space="preserve"> them may have been squandered.</w:t>
      </w:r>
    </w:p>
    <w:p w14:paraId="524164CA" w14:textId="77777777" w:rsidR="001E600D" w:rsidRDefault="001E600D" w:rsidP="00990683">
      <w:pPr>
        <w:spacing w:line="480" w:lineRule="auto"/>
      </w:pPr>
    </w:p>
    <w:p w14:paraId="1F5F2D7C" w14:textId="19CFC190" w:rsidR="00636BCA" w:rsidRDefault="00636BCA" w:rsidP="00990683">
      <w:pPr>
        <w:spacing w:line="480" w:lineRule="auto"/>
      </w:pPr>
      <w:bookmarkStart w:id="1" w:name="_Hlk512250101"/>
      <w:r>
        <w:t>Action: Negotiating a potential alliance with Pontus.</w:t>
      </w:r>
    </w:p>
    <w:p w14:paraId="1638D303" w14:textId="452C0840" w:rsidR="00636BCA" w:rsidRDefault="00636BCA" w:rsidP="00990683">
      <w:pPr>
        <w:spacing w:line="480" w:lineRule="auto"/>
      </w:pPr>
      <w:r>
        <w:t xml:space="preserve">Historical Precedent for the move: Pergamon did indeed move to try and form an </w:t>
      </w:r>
      <w:r w:rsidR="0083393E">
        <w:t>anti-Seleucid</w:t>
      </w:r>
      <w:r>
        <w:t xml:space="preserve"> leag</w:t>
      </w:r>
      <w:r w:rsidR="00E729F9">
        <w:t>ue</w:t>
      </w:r>
      <w:r w:rsidR="009159D0">
        <w:t xml:space="preserve"> and</w:t>
      </w:r>
      <w:r w:rsidR="00E729F9">
        <w:t xml:space="preserve"> although this ultimately failed in reality</w:t>
      </w:r>
      <w:r w:rsidR="009159D0">
        <w:t>,</w:t>
      </w:r>
      <w:r w:rsidR="00E729F9">
        <w:t xml:space="preserve"> it is </w:t>
      </w:r>
      <w:r w:rsidR="009159D0">
        <w:t xml:space="preserve">still </w:t>
      </w:r>
      <w:r w:rsidR="00E729F9">
        <w:t>worth an attempt at doing this.</w:t>
      </w:r>
      <w:r w:rsidR="00F973BF">
        <w:rPr>
          <w:rStyle w:val="FootnoteReference"/>
        </w:rPr>
        <w:footnoteReference w:id="3"/>
      </w:r>
    </w:p>
    <w:p w14:paraId="2145EAF9" w14:textId="00E4094E" w:rsidR="00E729F9" w:rsidRDefault="00E729F9" w:rsidP="00990683">
      <w:pPr>
        <w:spacing w:line="480" w:lineRule="auto"/>
      </w:pPr>
      <w:r>
        <w:lastRenderedPageBreak/>
        <w:t>Evidence and real</w:t>
      </w:r>
      <w:r w:rsidR="001E600D">
        <w:t>-</w:t>
      </w:r>
      <w:r>
        <w:t>life comparison</w:t>
      </w:r>
      <w:r w:rsidR="003F3E7F">
        <w:t xml:space="preserve">: Whilst there is no direct reference </w:t>
      </w:r>
      <w:r w:rsidR="004F56A4">
        <w:t xml:space="preserve">to Pontus </w:t>
      </w:r>
      <w:r w:rsidR="003723A0">
        <w:t>and Pergamon negotiating directly</w:t>
      </w:r>
      <w:r w:rsidR="001E600D">
        <w:t>,</w:t>
      </w:r>
      <w:r w:rsidR="003723A0">
        <w:t xml:space="preserve"> it is not unreasonable to </w:t>
      </w:r>
      <w:r w:rsidR="009159D0">
        <w:t>suppose</w:t>
      </w:r>
      <w:r w:rsidR="003723A0">
        <w:t xml:space="preserve"> that </w:t>
      </w:r>
      <w:r w:rsidR="007A3EFC">
        <w:t>potential alliances are possible</w:t>
      </w:r>
      <w:r w:rsidR="001E600D">
        <w:t>. A</w:t>
      </w:r>
      <w:r w:rsidR="007A3EFC">
        <w:t>fter all</w:t>
      </w:r>
      <w:r w:rsidR="009159D0">
        <w:t>,</w:t>
      </w:r>
      <w:r w:rsidR="007A3EFC">
        <w:t xml:space="preserve"> the forty thousand strong Seleucid army that began to march through Asia minor clearly threatened all factions on the Anatolian coastline including those that would normally be hostile to us</w:t>
      </w:r>
      <w:r w:rsidR="001E600D">
        <w:t>;</w:t>
      </w:r>
      <w:r w:rsidR="007A3EFC">
        <w:t xml:space="preserve"> like Bithynia </w:t>
      </w:r>
      <w:r w:rsidR="0083393E">
        <w:t xml:space="preserve">(as they are a Macedonian satrapy) </w:t>
      </w:r>
      <w:r w:rsidR="009159D0">
        <w:t xml:space="preserve">who </w:t>
      </w:r>
      <w:r w:rsidR="0083393E">
        <w:t>could potentially ally with us in an anti-Seleucid league should the circumstances arise</w:t>
      </w:r>
      <w:r w:rsidR="009159D0">
        <w:t xml:space="preserve">. </w:t>
      </w:r>
      <w:r w:rsidR="0083393E">
        <w:t xml:space="preserve"> </w:t>
      </w:r>
      <w:r w:rsidR="00580663">
        <w:t xml:space="preserve">Moreover, </w:t>
      </w:r>
      <w:r w:rsidR="0083393E">
        <w:t>there is evidence that such a thing exists</w:t>
      </w:r>
      <w:r w:rsidR="00580663">
        <w:t>,</w:t>
      </w:r>
      <w:r w:rsidR="0083393E">
        <w:t xml:space="preserve"> for example </w:t>
      </w:r>
      <w:r w:rsidR="009777AD">
        <w:t xml:space="preserve">Allen talks about how Pergamon attempted to form alliances with Bithynia to secure the Anatolian coastline, so it is </w:t>
      </w:r>
      <w:r w:rsidR="00580663">
        <w:t xml:space="preserve">clearly </w:t>
      </w:r>
      <w:r w:rsidR="009777AD">
        <w:t>possible for such a thing to occur.</w:t>
      </w:r>
      <w:r w:rsidR="00F973BF">
        <w:rPr>
          <w:rStyle w:val="FootnoteReference"/>
        </w:rPr>
        <w:footnoteReference w:id="4"/>
      </w:r>
    </w:p>
    <w:p w14:paraId="62EEEC74" w14:textId="3B683E92" w:rsidR="005031E9" w:rsidRDefault="005031E9" w:rsidP="00990683">
      <w:pPr>
        <w:spacing w:line="480" w:lineRule="auto"/>
      </w:pPr>
      <w:r>
        <w:t>Effect of this action</w:t>
      </w:r>
      <w:r w:rsidR="00837657">
        <w:t xml:space="preserve">: </w:t>
      </w:r>
      <w:bookmarkEnd w:id="1"/>
      <w:r w:rsidR="00837657">
        <w:t>Pontus remained fairly indifferent to us, most likely because the Seleucids are not threatening them directly as of yet</w:t>
      </w:r>
      <w:r w:rsidR="009777AD">
        <w:t>.</w:t>
      </w:r>
    </w:p>
    <w:p w14:paraId="12B0038C" w14:textId="77777777" w:rsidR="001E600D" w:rsidRDefault="001E600D" w:rsidP="00990683">
      <w:pPr>
        <w:spacing w:line="480" w:lineRule="auto"/>
      </w:pPr>
    </w:p>
    <w:p w14:paraId="71025BA9" w14:textId="77777777" w:rsidR="00653D4C" w:rsidRDefault="00837657" w:rsidP="00990683">
      <w:pPr>
        <w:spacing w:line="480" w:lineRule="auto"/>
      </w:pPr>
      <w:r>
        <w:t xml:space="preserve">Action: Marrying Berenice the younger, sister of Ptolemy IV, securing a marriage alliance between Egypt </w:t>
      </w:r>
      <w:r w:rsidR="00782548">
        <w:t>and Pergamon.</w:t>
      </w:r>
      <w:r w:rsidR="00686D07">
        <w:t xml:space="preserve"> </w:t>
      </w:r>
    </w:p>
    <w:p w14:paraId="297E4BDF" w14:textId="1994A6F7" w:rsidR="00960F4E" w:rsidRPr="00960F4E" w:rsidRDefault="00960F4E" w:rsidP="00990683">
      <w:pPr>
        <w:spacing w:line="480" w:lineRule="auto"/>
        <w:rPr>
          <w:color w:val="FF0000"/>
        </w:rPr>
      </w:pPr>
      <w:r w:rsidRPr="00960F4E">
        <w:rPr>
          <w:color w:val="FF0000"/>
        </w:rPr>
        <w:t xml:space="preserve">Historical Precedent for the move: </w:t>
      </w:r>
      <w:r w:rsidR="00821C5F">
        <w:rPr>
          <w:color w:val="FF0000"/>
        </w:rPr>
        <w:t xml:space="preserve">show evidence of historic marriage between cultures to provide allegiances </w:t>
      </w:r>
    </w:p>
    <w:p w14:paraId="181DA341" w14:textId="11698735" w:rsidR="00050922" w:rsidRPr="00050922" w:rsidRDefault="00960F4E" w:rsidP="00990683">
      <w:pPr>
        <w:spacing w:line="480" w:lineRule="auto"/>
      </w:pPr>
      <w:r w:rsidRPr="00050922">
        <w:t xml:space="preserve">Evidence and real-life comparison: </w:t>
      </w:r>
      <w:r w:rsidR="002224BA">
        <w:t>I</w:t>
      </w:r>
      <w:r w:rsidR="00050922" w:rsidRPr="00050922">
        <w:t>nter-marrying between the Pergamese royal family and the Ptolemaic court</w:t>
      </w:r>
      <w:r w:rsidR="002224BA">
        <w:t xml:space="preserve"> is </w:t>
      </w:r>
      <w:r w:rsidR="00050922" w:rsidRPr="00050922">
        <w:t xml:space="preserve">a move no doubt intended to maintain an alliance and thus increase Ptolemy’s influence in Asia Minor. </w:t>
      </w:r>
      <w:r w:rsidR="002224BA">
        <w:t>This</w:t>
      </w:r>
      <w:r w:rsidR="00050922" w:rsidRPr="00050922">
        <w:t xml:space="preserve"> move </w:t>
      </w:r>
      <w:r w:rsidR="002224BA">
        <w:t xml:space="preserve">is </w:t>
      </w:r>
      <w:r w:rsidR="00050922" w:rsidRPr="00050922">
        <w:t>similar to how the real life Seleucid King Antiochus VIII Epiphanes married Cleopatra Selene I of Egypt in order to gain influence over Egypt in 103 BC,</w:t>
      </w:r>
      <w:r w:rsidR="00E0243D">
        <w:rPr>
          <w:rStyle w:val="FootnoteReference"/>
        </w:rPr>
        <w:footnoteReference w:id="5"/>
      </w:r>
      <w:r w:rsidR="00050922" w:rsidRPr="00050922">
        <w:t xml:space="preserve"> this also served the same purpose of creating an alliance that meant that courts could influence the other</w:t>
      </w:r>
      <w:r w:rsidR="00F60C87">
        <w:t>,</w:t>
      </w:r>
      <w:r w:rsidR="00050922" w:rsidRPr="00050922">
        <w:t xml:space="preserve"> as during that time</w:t>
      </w:r>
      <w:r w:rsidR="00F60C87">
        <w:t>,</w:t>
      </w:r>
      <w:r w:rsidR="00050922" w:rsidRPr="00050922">
        <w:t xml:space="preserve"> Antiochus VIII of Syria was fighting a civil war against his brother Antiochus IX whilst also strengthening her position against her recently divorced husband in Ptolemy </w:t>
      </w:r>
      <w:r w:rsidR="00050922" w:rsidRPr="00050922">
        <w:lastRenderedPageBreak/>
        <w:t>IX.  This clearly is the inspiration for the political dealings and the intent behind the marriage alliance</w:t>
      </w:r>
      <w:r w:rsidR="002224BA">
        <w:t>.</w:t>
      </w:r>
    </w:p>
    <w:p w14:paraId="24A79AE5" w14:textId="28D6F61C" w:rsidR="00960F4E" w:rsidRDefault="00960F4E" w:rsidP="00990683">
      <w:pPr>
        <w:spacing w:line="480" w:lineRule="auto"/>
      </w:pPr>
      <w:r w:rsidRPr="005044EB">
        <w:t>Effect of this action:</w:t>
      </w:r>
      <w:r w:rsidR="00821C5F" w:rsidRPr="005044EB">
        <w:t xml:space="preserve"> to gain access to information, and power and potentials for the future.</w:t>
      </w:r>
    </w:p>
    <w:p w14:paraId="3CE03823" w14:textId="59AC65E3" w:rsidR="00821C5F" w:rsidRDefault="00821C5F" w:rsidP="00990683">
      <w:pPr>
        <w:spacing w:line="480" w:lineRule="auto"/>
      </w:pPr>
      <w:r>
        <w:t xml:space="preserve">Action: </w:t>
      </w:r>
      <w:r w:rsidR="00990F7C">
        <w:t xml:space="preserve">Eumenes </w:t>
      </w:r>
      <w:r w:rsidR="0076246E">
        <w:t>(</w:t>
      </w:r>
      <w:r w:rsidR="00990F7C">
        <w:t>my character)</w:t>
      </w:r>
      <w:r>
        <w:t xml:space="preserve"> intend</w:t>
      </w:r>
      <w:r w:rsidR="00990F7C">
        <w:t>s</w:t>
      </w:r>
      <w:r>
        <w:t xml:space="preserve"> to seize the throne of the Ptolemies, as I have control over his army and also since he is unlikely to have any popularity with the native Egyptians. </w:t>
      </w:r>
    </w:p>
    <w:p w14:paraId="31435C31" w14:textId="14050BCD" w:rsidR="00821C5F" w:rsidRDefault="00821C5F" w:rsidP="00990683">
      <w:pPr>
        <w:spacing w:line="480" w:lineRule="auto"/>
      </w:pPr>
      <w:r>
        <w:t xml:space="preserve">Moreover, as marching his entire army to fight the Seleucids is not exactly a sound move, as it leaves the entirety of Egypt vulnerable to rebellion, </w:t>
      </w:r>
      <w:r w:rsidR="00990F7C">
        <w:t>the</w:t>
      </w:r>
      <w:r>
        <w:t xml:space="preserve"> aim </w:t>
      </w:r>
      <w:r w:rsidR="00990F7C">
        <w:t xml:space="preserve">is </w:t>
      </w:r>
      <w:r>
        <w:t xml:space="preserve">to capitalise heavily on this. Also, it is highly likely that the Ptolemaic army’s morale is fairly low as it had/has been stuck outside </w:t>
      </w:r>
      <w:proofErr w:type="spellStart"/>
      <w:r>
        <w:t>Loadicea</w:t>
      </w:r>
      <w:proofErr w:type="spellEnd"/>
      <w:r>
        <w:t xml:space="preserve"> for an entire year and is about to go into a ‘meat grinder’ type battle with Seleucid king Antiochus III and the vast majority of his forces. If it transpires that the army supports </w:t>
      </w:r>
      <w:r w:rsidR="00990F7C">
        <w:t>E</w:t>
      </w:r>
      <w:r w:rsidR="00120CD4">
        <w:t>umenes</w:t>
      </w:r>
      <w:r>
        <w:t xml:space="preserve"> over Ptolemy IV, then </w:t>
      </w:r>
      <w:r w:rsidR="00120CD4">
        <w:t>he will</w:t>
      </w:r>
      <w:r>
        <w:t xml:space="preserve"> have the power and authority to launch a coup and use </w:t>
      </w:r>
      <w:r w:rsidR="00120CD4">
        <w:t>his</w:t>
      </w:r>
      <w:r>
        <w:t xml:space="preserve"> wife Berenice and child (hopefully) to claim the throne.</w:t>
      </w:r>
    </w:p>
    <w:p w14:paraId="275FBEFC" w14:textId="54AA0BA4" w:rsidR="00DE6ECB" w:rsidRDefault="00DE6ECB" w:rsidP="00990683">
      <w:pPr>
        <w:spacing w:line="480" w:lineRule="auto"/>
      </w:pPr>
      <w:r w:rsidRPr="00DE6ECB">
        <w:t>Historical Precedent and rationale for this move: The Ptolemies are notorious for killing each other off</w:t>
      </w:r>
      <w:r>
        <w:t>,</w:t>
      </w:r>
      <w:r w:rsidRPr="00DE6ECB">
        <w:t xml:space="preserve"> to maintain or enhance their own power. </w:t>
      </w:r>
      <w:r>
        <w:t>I</w:t>
      </w:r>
      <w:r w:rsidRPr="00DE6ECB">
        <w:t>n the later era of the Ptolemies, Cleopatra herself murdered her own sister and fought against her own brother on the side of Julius Caesar.</w:t>
      </w:r>
      <w:r w:rsidR="00EB5122">
        <w:rPr>
          <w:rStyle w:val="FootnoteReference"/>
        </w:rPr>
        <w:footnoteReference w:id="6"/>
      </w:r>
      <w:r w:rsidRPr="00DE6ECB">
        <w:t xml:space="preserve"> So, it is not exactly unheard of </w:t>
      </w:r>
      <w:r w:rsidR="0036341E">
        <w:t xml:space="preserve">for the </w:t>
      </w:r>
      <w:r w:rsidRPr="00DE6ECB">
        <w:t>Ptolem</w:t>
      </w:r>
      <w:r w:rsidR="0036341E">
        <w:t>ies to be</w:t>
      </w:r>
      <w:r w:rsidRPr="00DE6ECB">
        <w:t xml:space="preserve"> killing each other for their own benefit. The main justification for killing Ptolemy IV</w:t>
      </w:r>
      <w:r w:rsidR="00F83F9E">
        <w:t>,</w:t>
      </w:r>
      <w:r w:rsidR="000A2CB1">
        <w:t xml:space="preserve"> is</w:t>
      </w:r>
      <w:r w:rsidRPr="00DE6ECB">
        <w:t xml:space="preserve"> the fact that historically</w:t>
      </w:r>
      <w:r w:rsidR="00F83F9E">
        <w:t>,</w:t>
      </w:r>
      <w:r w:rsidRPr="00DE6ECB">
        <w:t xml:space="preserve"> Ptolemy IV did not exactly have a good reputation</w:t>
      </w:r>
      <w:r w:rsidR="0036341E">
        <w:t>,</w:t>
      </w:r>
      <w:r w:rsidR="000A2CB1">
        <w:rPr>
          <w:rStyle w:val="FootnoteReference"/>
        </w:rPr>
        <w:footnoteReference w:id="7"/>
      </w:r>
      <w:r w:rsidR="0036341E">
        <w:t xml:space="preserve"> and </w:t>
      </w:r>
      <w:r w:rsidRPr="00DE6ECB">
        <w:t>in general his actions of invading the Seleucid kingdom</w:t>
      </w:r>
      <w:r w:rsidR="00E0243D">
        <w:t xml:space="preserve"> in the module</w:t>
      </w:r>
      <w:r w:rsidR="0036341E">
        <w:t xml:space="preserve"> would cause this</w:t>
      </w:r>
      <w:r w:rsidRPr="00DE6ECB">
        <w:t xml:space="preserve">. Ptolemy himself fought with his own brother, </w:t>
      </w:r>
      <w:r w:rsidR="0036341E">
        <w:t>which,</w:t>
      </w:r>
      <w:r w:rsidRPr="00DE6ECB">
        <w:t xml:space="preserve"> according to inscriptions recorded by historian Austin, would </w:t>
      </w:r>
      <w:r w:rsidR="00EF2529">
        <w:t xml:space="preserve">therefore </w:t>
      </w:r>
      <w:r w:rsidRPr="00DE6ECB">
        <w:t>justify fighting against him for the same reasons his brother did.</w:t>
      </w:r>
      <w:r w:rsidR="000A2CB1">
        <w:rPr>
          <w:rStyle w:val="FootnoteReference"/>
        </w:rPr>
        <w:footnoteReference w:id="8"/>
      </w:r>
      <w:r w:rsidRPr="00DE6ECB">
        <w:t xml:space="preserve"> </w:t>
      </w:r>
    </w:p>
    <w:p w14:paraId="6DB52EF6" w14:textId="056F9825" w:rsidR="00782548" w:rsidRDefault="00DE6ECB" w:rsidP="00990683">
      <w:pPr>
        <w:spacing w:line="480" w:lineRule="auto"/>
      </w:pPr>
      <w:r>
        <w:t>Evidence of real-life comparison:</w:t>
      </w:r>
      <w:r w:rsidR="00686D07">
        <w:t xml:space="preserve"> </w:t>
      </w:r>
      <w:r w:rsidR="00653D4C">
        <w:t>M</w:t>
      </w:r>
      <w:r w:rsidR="005E5621">
        <w:t>arriage alliances are commonplace in the Hellenic World</w:t>
      </w:r>
      <w:r w:rsidR="00E47C96">
        <w:rPr>
          <w:rStyle w:val="FootnoteReference"/>
        </w:rPr>
        <w:footnoteReference w:id="9"/>
      </w:r>
      <w:r w:rsidR="005E5621">
        <w:t xml:space="preserve">, </w:t>
      </w:r>
      <w:r w:rsidR="009777AD">
        <w:t>w</w:t>
      </w:r>
      <w:r w:rsidR="005E5621">
        <w:t>hilst it is quite unusual that the Ptolemies</w:t>
      </w:r>
      <w:r w:rsidR="00686D07">
        <w:t>,</w:t>
      </w:r>
      <w:r w:rsidR="005E5621">
        <w:t xml:space="preserve"> who are normally keen on keeping their bloodline pure </w:t>
      </w:r>
      <w:r w:rsidR="005E5621">
        <w:lastRenderedPageBreak/>
        <w:t>(through incest)</w:t>
      </w:r>
      <w:r w:rsidR="00686D07">
        <w:t>,</w:t>
      </w:r>
      <w:r w:rsidR="000013F5">
        <w:t xml:space="preserve"> but it is certainly possible, since at this time the Ptolemies do not really have a strong general to lead their army against the Seleucids</w:t>
      </w:r>
      <w:r w:rsidR="00E47C96">
        <w:t xml:space="preserve"> (in the context of the module)</w:t>
      </w:r>
      <w:r w:rsidR="000013F5">
        <w:t>.</w:t>
      </w:r>
      <w:r w:rsidR="009777AD">
        <w:t xml:space="preserve"> For example</w:t>
      </w:r>
      <w:r w:rsidR="00A80067">
        <w:t>,</w:t>
      </w:r>
      <w:r w:rsidR="009777AD">
        <w:t xml:space="preserve"> at the battle of Raphia</w:t>
      </w:r>
      <w:r w:rsidR="00653D4C">
        <w:t>,</w:t>
      </w:r>
      <w:r w:rsidR="009777AD">
        <w:t xml:space="preserve"> the </w:t>
      </w:r>
      <w:r w:rsidR="00EF6AB6">
        <w:t xml:space="preserve">Ptolemaic king Ptolemy IV used only his advisors </w:t>
      </w:r>
      <w:r w:rsidR="00226F6D">
        <w:t>in the fighting</w:t>
      </w:r>
      <w:r w:rsidR="00686D07">
        <w:t>,</w:t>
      </w:r>
      <w:r w:rsidR="00226F6D">
        <w:t xml:space="preserve"> so having someone else who is a general to lead his armies is perhaps justifiable since it would make sense for him to get someone else to lead his </w:t>
      </w:r>
      <w:r w:rsidR="00A80067">
        <w:t>seventy-five</w:t>
      </w:r>
      <w:r w:rsidR="00226F6D">
        <w:t xml:space="preserve"> thousand</w:t>
      </w:r>
      <w:r w:rsidR="00A80067">
        <w:t xml:space="preserve"> strong army.</w:t>
      </w:r>
      <w:r w:rsidR="00E47C96">
        <w:rPr>
          <w:rStyle w:val="FootnoteReference"/>
        </w:rPr>
        <w:footnoteReference w:id="10"/>
      </w:r>
    </w:p>
    <w:p w14:paraId="321E5FD6" w14:textId="734648EC" w:rsidR="00DE6ECB" w:rsidRDefault="00653D4C" w:rsidP="00990683">
      <w:pPr>
        <w:spacing w:line="480" w:lineRule="auto"/>
      </w:pPr>
      <w:r>
        <w:t>Effect of this</w:t>
      </w:r>
      <w:r w:rsidR="000D4AF3">
        <w:t xml:space="preserve"> action: </w:t>
      </w:r>
      <w:r w:rsidR="005044EB">
        <w:t xml:space="preserve">In Eumenes’ position, as the brother-in-law to Ptolemy IV, married to Berenice the daughter of Ptolemy III and being given command of the armies of Ptolemaic Egypt and being ordered to attempt to invade </w:t>
      </w:r>
      <w:proofErr w:type="spellStart"/>
      <w:r w:rsidR="005044EB">
        <w:t>Seleukis</w:t>
      </w:r>
      <w:proofErr w:type="spellEnd"/>
      <w:r w:rsidR="005044EB">
        <w:t>, if in any circumstance the King gives a General entire command of his army that General essentially has more power than he does.</w:t>
      </w:r>
      <w:r w:rsidR="00DE6ECB" w:rsidRPr="00DE6ECB">
        <w:t xml:space="preserve"> </w:t>
      </w:r>
      <w:r w:rsidR="00DE6ECB">
        <w:t>N</w:t>
      </w:r>
      <w:r w:rsidR="00DE6ECB" w:rsidRPr="00DE6ECB">
        <w:t xml:space="preserve">ow that </w:t>
      </w:r>
      <w:r w:rsidR="00120CD4">
        <w:t>Eumenes is</w:t>
      </w:r>
      <w:r w:rsidR="00DE6ECB" w:rsidRPr="00DE6ECB">
        <w:t xml:space="preserve"> in Ptolemy’s army, if </w:t>
      </w:r>
      <w:r w:rsidR="00120CD4">
        <w:t>he</w:t>
      </w:r>
      <w:r w:rsidR="00DE6ECB" w:rsidRPr="00DE6ECB">
        <w:t xml:space="preserve"> can get the respect and command over the men over his army, </w:t>
      </w:r>
      <w:r w:rsidR="00120CD4">
        <w:t>he</w:t>
      </w:r>
      <w:r w:rsidR="00DE6ECB" w:rsidRPr="00DE6ECB">
        <w:t xml:space="preserve"> could easily mutiny the army or arrange for </w:t>
      </w:r>
      <w:r w:rsidR="00120CD4">
        <w:t>Ptolemy</w:t>
      </w:r>
      <w:r w:rsidR="00DE6ECB" w:rsidRPr="00DE6ECB">
        <w:t xml:space="preserve"> to die in a seemingly accidental way and declare </w:t>
      </w:r>
      <w:r w:rsidR="00120CD4">
        <w:t>Eumenes’</w:t>
      </w:r>
      <w:r w:rsidR="00DE6ECB" w:rsidRPr="00DE6ECB">
        <w:t xml:space="preserve"> new wife, Berenice, Queen</w:t>
      </w:r>
      <w:r w:rsidR="00DE6ECB">
        <w:t>,</w:t>
      </w:r>
      <w:r w:rsidR="00DE6ECB" w:rsidRPr="00DE6ECB">
        <w:t xml:space="preserve"> and rule through</w:t>
      </w:r>
      <w:r w:rsidR="00DE6ECB">
        <w:t xml:space="preserve"> her</w:t>
      </w:r>
      <w:r w:rsidR="00DE6ECB" w:rsidRPr="00DE6ECB">
        <w:t xml:space="preserve">. However, it is far more likely that </w:t>
      </w:r>
      <w:r w:rsidR="00120CD4">
        <w:t>Eumenes</w:t>
      </w:r>
      <w:r w:rsidR="00DE6ECB" w:rsidRPr="00DE6ECB">
        <w:t xml:space="preserve"> will just coup </w:t>
      </w:r>
      <w:r w:rsidR="00120CD4">
        <w:t>Ptolemy</w:t>
      </w:r>
      <w:r w:rsidR="00DE6ECB" w:rsidRPr="00DE6ECB">
        <w:t xml:space="preserve">, by bribing the satrapies of </w:t>
      </w:r>
      <w:proofErr w:type="spellStart"/>
      <w:r w:rsidR="00DE6ECB" w:rsidRPr="00DE6ECB">
        <w:t>Coele</w:t>
      </w:r>
      <w:proofErr w:type="spellEnd"/>
      <w:r w:rsidR="00DE6ECB" w:rsidRPr="00DE6ECB">
        <w:t xml:space="preserve">-Syria and Alexandria. </w:t>
      </w:r>
    </w:p>
    <w:p w14:paraId="1EB8FA4A" w14:textId="77777777" w:rsidR="002224BA" w:rsidRDefault="002224BA" w:rsidP="00990683">
      <w:pPr>
        <w:spacing w:line="480" w:lineRule="auto"/>
      </w:pPr>
    </w:p>
    <w:p w14:paraId="461513BC" w14:textId="0ED35312" w:rsidR="00821C5F" w:rsidRDefault="002224BA" w:rsidP="00990683">
      <w:pPr>
        <w:spacing w:line="480" w:lineRule="auto"/>
      </w:pPr>
      <w:r>
        <w:t>Action:</w:t>
      </w:r>
      <w:r w:rsidR="005044EB">
        <w:t xml:space="preserve"> </w:t>
      </w:r>
      <w:r w:rsidR="00821C5F">
        <w:t>The attempted assassination of Ptolemy IV</w:t>
      </w:r>
      <w:r w:rsidR="00120CD4">
        <w:t xml:space="preserve"> (</w:t>
      </w:r>
      <w:r w:rsidR="00821C5F">
        <w:t>reasons for attempting to do so, why it failed and historical comparisons and justifications</w:t>
      </w:r>
      <w:r w:rsidR="00120CD4">
        <w:t>)</w:t>
      </w:r>
      <w:r w:rsidR="00821C5F">
        <w:t>.</w:t>
      </w:r>
    </w:p>
    <w:p w14:paraId="54ABAEE6" w14:textId="795EA7AA" w:rsidR="00960F4E" w:rsidRPr="003C0A33" w:rsidRDefault="00960F4E" w:rsidP="00990683">
      <w:pPr>
        <w:spacing w:line="480" w:lineRule="auto"/>
      </w:pPr>
      <w:bookmarkStart w:id="2" w:name="_Hlk512278530"/>
      <w:r w:rsidRPr="003C0A33">
        <w:t xml:space="preserve">Historical Precedent for the move: </w:t>
      </w:r>
      <w:r w:rsidR="003C0A33" w:rsidRPr="003C0A33">
        <w:t>the fighting between the two brothers of Ptolemy IX and Ptolemy X, as Ptolemy X deposed his own brother and fought and lost a subsequent civil war</w:t>
      </w:r>
      <w:r w:rsidR="003C0A33" w:rsidRPr="003C0A33">
        <w:rPr>
          <w:rStyle w:val="FootnoteReference"/>
        </w:rPr>
        <w:footnoteReference w:id="11"/>
      </w:r>
    </w:p>
    <w:p w14:paraId="6631C2A7" w14:textId="77254A22" w:rsidR="00053705" w:rsidRDefault="005044EB" w:rsidP="00990683">
      <w:pPr>
        <w:spacing w:line="480" w:lineRule="auto"/>
      </w:pPr>
      <w:r w:rsidRPr="005044EB">
        <w:t>E</w:t>
      </w:r>
      <w:r w:rsidR="003C0A33">
        <w:t>v</w:t>
      </w:r>
      <w:r w:rsidRPr="005044EB">
        <w:t>idence and real-life comparison</w:t>
      </w:r>
      <w:bookmarkEnd w:id="2"/>
      <w:r w:rsidRPr="005044EB">
        <w:t xml:space="preserve">: </w:t>
      </w:r>
      <w:r w:rsidR="00053705">
        <w:t>Interestingly Ptolemy’s IV foolhardiness in political machinations was very similar to the reality</w:t>
      </w:r>
      <w:r w:rsidR="00CB28B0">
        <w:t>;</w:t>
      </w:r>
      <w:r w:rsidR="00053705">
        <w:t xml:space="preserve"> Polybius describes Ptolemy as ‘never making an effort’ when ruling Egypt.</w:t>
      </w:r>
      <w:r w:rsidR="00053705">
        <w:rPr>
          <w:rStyle w:val="FootnoteReference"/>
        </w:rPr>
        <w:footnoteReference w:id="12"/>
      </w:r>
      <w:r w:rsidR="00053705">
        <w:t xml:space="preserve"> Thus this would justify </w:t>
      </w:r>
      <w:r w:rsidR="00120CD4">
        <w:t xml:space="preserve">Eumenes </w:t>
      </w:r>
      <w:r w:rsidR="00053705">
        <w:t xml:space="preserve">wanting to kill him, since along with the fact that his entire army is fighting a war in a foreign land when most of the Ptolemaic army was </w:t>
      </w:r>
      <w:proofErr w:type="spellStart"/>
      <w:r w:rsidR="00053705">
        <w:t>Machimoi</w:t>
      </w:r>
      <w:proofErr w:type="spellEnd"/>
      <w:r w:rsidR="00053705">
        <w:t xml:space="preserve"> </w:t>
      </w:r>
      <w:proofErr w:type="spellStart"/>
      <w:r w:rsidR="00053705">
        <w:t>Phalangitai</w:t>
      </w:r>
      <w:proofErr w:type="spellEnd"/>
      <w:r w:rsidR="00053705">
        <w:t xml:space="preserve"> </w:t>
      </w:r>
      <w:r w:rsidR="00053705">
        <w:lastRenderedPageBreak/>
        <w:t>(Native Egyptian)</w:t>
      </w:r>
      <w:r w:rsidR="00053705">
        <w:rPr>
          <w:rStyle w:val="FootnoteReference"/>
        </w:rPr>
        <w:footnoteReference w:id="13"/>
      </w:r>
      <w:r w:rsidR="00053705">
        <w:t xml:space="preserve"> who are unlikely to have been willing to invade a land which it is known for having a large army and </w:t>
      </w:r>
      <w:r w:rsidR="007C70C6">
        <w:t>because</w:t>
      </w:r>
      <w:r w:rsidR="00053705">
        <w:t xml:space="preserve"> the siege of </w:t>
      </w:r>
      <w:proofErr w:type="spellStart"/>
      <w:r w:rsidR="00053705">
        <w:t>Loadice</w:t>
      </w:r>
      <w:proofErr w:type="spellEnd"/>
      <w:r w:rsidR="00053705">
        <w:t xml:space="preserve"> lasted an entire year and the threat of a ‘meat-grinder’ battle looming</w:t>
      </w:r>
      <w:r w:rsidR="005B1B14">
        <w:t>, as Raphia ultimately was</w:t>
      </w:r>
      <w:r w:rsidR="00053705">
        <w:t>.</w:t>
      </w:r>
      <w:r w:rsidR="005B1B14">
        <w:rPr>
          <w:rStyle w:val="FootnoteReference"/>
        </w:rPr>
        <w:footnoteReference w:id="14"/>
      </w:r>
      <w:r w:rsidR="00053705">
        <w:t xml:space="preserve"> They were unlikely to be aggravated if the </w:t>
      </w:r>
      <w:r w:rsidR="007C70C6">
        <w:t>K</w:t>
      </w:r>
      <w:r w:rsidR="00053705">
        <w:t>ing who had led them died</w:t>
      </w:r>
      <w:r w:rsidR="008B55F0">
        <w:t xml:space="preserve"> of non-suspicious circumstances</w:t>
      </w:r>
      <w:r w:rsidR="00053705">
        <w:t xml:space="preserve">, </w:t>
      </w:r>
      <w:r w:rsidR="00054570">
        <w:t xml:space="preserve">and </w:t>
      </w:r>
      <w:r w:rsidR="00053705">
        <w:t>from there</w:t>
      </w:r>
      <w:r w:rsidR="00054570">
        <w:t>,</w:t>
      </w:r>
      <w:r w:rsidR="00053705">
        <w:t xml:space="preserve"> nothing would have stopped Eumenes taking the throne of Egypt with Berenice the younger. Although the assassination would need to be discreet</w:t>
      </w:r>
      <w:r w:rsidR="00C25D51">
        <w:t>,</w:t>
      </w:r>
      <w:r w:rsidR="00053705">
        <w:t xml:space="preserve"> since as a foreign crown prince</w:t>
      </w:r>
      <w:r w:rsidR="000A15E2">
        <w:t>,</w:t>
      </w:r>
      <w:r w:rsidR="00053705">
        <w:t xml:space="preserve"> to have my name associated with the killing would have caused huge unrest with the Egyptians, similarly to how after the assassination of Caesar, Brutus and Cassius did not anticipate Caesar’s level of support and paid for it with their lives.</w:t>
      </w:r>
    </w:p>
    <w:p w14:paraId="1E055F4E" w14:textId="695654F4" w:rsidR="00053705" w:rsidRDefault="005044EB" w:rsidP="00990683">
      <w:pPr>
        <w:spacing w:line="480" w:lineRule="auto"/>
      </w:pPr>
      <w:bookmarkStart w:id="3" w:name="_Hlk512278709"/>
      <w:r w:rsidRPr="005044EB">
        <w:t>Effect of this action:</w:t>
      </w:r>
      <w:r>
        <w:t xml:space="preserve"> </w:t>
      </w:r>
      <w:bookmarkEnd w:id="3"/>
      <w:r w:rsidR="00053705">
        <w:t>Once the plans to assassinate Ptolemy had been put in place</w:t>
      </w:r>
      <w:r w:rsidR="000A15E2">
        <w:t>,</w:t>
      </w:r>
      <w:r w:rsidR="00053705">
        <w:t xml:space="preserve"> </w:t>
      </w:r>
      <w:r w:rsidR="00864B30">
        <w:t>Eumenes would</w:t>
      </w:r>
      <w:r w:rsidR="00053705">
        <w:t xml:space="preserve"> set about making sure allies in his court had been secured. </w:t>
      </w:r>
      <w:r w:rsidR="00864B30">
        <w:t>Eumenes will send</w:t>
      </w:r>
      <w:r w:rsidR="00053705">
        <w:t xml:space="preserve"> out letters to the satrapies of </w:t>
      </w:r>
      <w:proofErr w:type="spellStart"/>
      <w:r w:rsidR="00053705">
        <w:t>Coele</w:t>
      </w:r>
      <w:proofErr w:type="spellEnd"/>
      <w:r w:rsidR="00053705">
        <w:t>-Syria and Alexandria</w:t>
      </w:r>
      <w:r w:rsidR="000A15E2">
        <w:t>,</w:t>
      </w:r>
      <w:r w:rsidR="00053705">
        <w:t xml:space="preserve"> aiming to have their support once Ptolemy died</w:t>
      </w:r>
      <w:r w:rsidR="00864B30">
        <w:t>,</w:t>
      </w:r>
      <w:r w:rsidR="00053705">
        <w:t xml:space="preserve"> which would have made </w:t>
      </w:r>
      <w:r w:rsidR="00864B30">
        <w:t>the</w:t>
      </w:r>
      <w:r w:rsidR="00053705">
        <w:t xml:space="preserve"> ascension to the throne of Egypt all the </w:t>
      </w:r>
      <w:r w:rsidR="000A15E2">
        <w:t>easier</w:t>
      </w:r>
      <w:r w:rsidR="00053705">
        <w:t>. Throughout history attempts have been made by numerous would</w:t>
      </w:r>
      <w:r w:rsidR="00690DC0">
        <w:t>-</w:t>
      </w:r>
      <w:r w:rsidR="00053705">
        <w:t>be kings to secure support for their claim</w:t>
      </w:r>
      <w:r w:rsidR="00864B30">
        <w:t>,</w:t>
      </w:r>
      <w:r w:rsidR="00053705">
        <w:t xml:space="preserve"> such as Ptolemy IX </w:t>
      </w:r>
      <w:proofErr w:type="spellStart"/>
      <w:r w:rsidR="00053705">
        <w:t>Phsycon</w:t>
      </w:r>
      <w:proofErr w:type="spellEnd"/>
      <w:r w:rsidR="00053705">
        <w:t xml:space="preserve"> going to Alexandria for support against usurper Ptolemy X. In the letters </w:t>
      </w:r>
      <w:r w:rsidR="00864B30">
        <w:t>Eumenes sends he will make</w:t>
      </w:r>
      <w:r w:rsidR="00053705">
        <w:t xml:space="preserve"> sure that </w:t>
      </w:r>
      <w:r w:rsidR="00864B30">
        <w:t>he does</w:t>
      </w:r>
      <w:r w:rsidR="00053705">
        <w:t xml:space="preserve"> not directly infer any attempt at assassination</w:t>
      </w:r>
      <w:r w:rsidR="00864B30">
        <w:t>. T</w:t>
      </w:r>
      <w:r w:rsidR="00053705">
        <w:t>he replies</w:t>
      </w:r>
      <w:r w:rsidR="00864B30">
        <w:t xml:space="preserve"> are</w:t>
      </w:r>
      <w:r w:rsidR="00053705">
        <w:t xml:space="preserve"> positive as they too were not in favour of Ptolemy</w:t>
      </w:r>
      <w:r w:rsidR="000A15E2">
        <w:t>;</w:t>
      </w:r>
      <w:r w:rsidR="00053705">
        <w:t xml:space="preserve"> </w:t>
      </w:r>
      <w:proofErr w:type="spellStart"/>
      <w:r w:rsidR="00053705">
        <w:t>Coele</w:t>
      </w:r>
      <w:proofErr w:type="spellEnd"/>
      <w:r w:rsidR="00053705">
        <w:t xml:space="preserve"> Syria demanded Damascus be annexed and control given to them and </w:t>
      </w:r>
      <w:r w:rsidR="00864B30">
        <w:t>Eumenes</w:t>
      </w:r>
      <w:r w:rsidR="00053705">
        <w:t xml:space="preserve"> accepted their offer.</w:t>
      </w:r>
    </w:p>
    <w:p w14:paraId="4F25F69F" w14:textId="300616A4" w:rsidR="00053705" w:rsidRDefault="00053705" w:rsidP="00990683">
      <w:pPr>
        <w:spacing w:line="480" w:lineRule="auto"/>
      </w:pPr>
      <w:r>
        <w:t>However ultimately, despite the plan being well planned out</w:t>
      </w:r>
      <w:r w:rsidR="000A15E2">
        <w:t>,</w:t>
      </w:r>
      <w:r>
        <w:t xml:space="preserve"> it ultimately failed because </w:t>
      </w:r>
      <w:r w:rsidR="00864B30">
        <w:t xml:space="preserve">Eumenes </w:t>
      </w:r>
      <w:r>
        <w:t xml:space="preserve">was caught in the act of poisoning his stock of food. What this effectively shows is that at any time plots can go wrong and entire dynasties can live or die in one single moment. Perhaps </w:t>
      </w:r>
      <w:r w:rsidR="00864B30">
        <w:t>my decision, in the role of Eumenes, was</w:t>
      </w:r>
      <w:r>
        <w:t xml:space="preserve"> however too quick in killing Ptolemy, as in retrospect</w:t>
      </w:r>
      <w:r w:rsidR="000A15E2">
        <w:t>,</w:t>
      </w:r>
      <w:r>
        <w:t xml:space="preserve"> Ptolemy would have likely died by other means, such as </w:t>
      </w:r>
      <w:r w:rsidR="00864B30">
        <w:t>from</w:t>
      </w:r>
      <w:r>
        <w:t xml:space="preserve"> the Seleucid army, rebellions in Alexandria</w:t>
      </w:r>
      <w:r w:rsidR="00864B30">
        <w:t>,</w:t>
      </w:r>
      <w:r>
        <w:t xml:space="preserve"> or to another plot altogether</w:t>
      </w:r>
      <w:r w:rsidR="00A96FD2">
        <w:t>. I</w:t>
      </w:r>
      <w:r>
        <w:t xml:space="preserve">t was clear that Ptolemy had many enemies within his own court, </w:t>
      </w:r>
      <w:r w:rsidR="00864B30">
        <w:t>because</w:t>
      </w:r>
      <w:r>
        <w:t xml:space="preserve"> </w:t>
      </w:r>
      <w:r>
        <w:lastRenderedPageBreak/>
        <w:t xml:space="preserve">otherwise </w:t>
      </w:r>
      <w:r w:rsidR="00A96FD2">
        <w:t>Eumenes</w:t>
      </w:r>
      <w:r>
        <w:t xml:space="preserve"> would not have garnered the support that </w:t>
      </w:r>
      <w:r w:rsidR="00A96FD2">
        <w:t>he</w:t>
      </w:r>
      <w:r>
        <w:t xml:space="preserve"> did so easily. Ptolemy was so unpopular</w:t>
      </w:r>
      <w:r w:rsidR="000A15E2">
        <w:t>,</w:t>
      </w:r>
      <w:r>
        <w:t xml:space="preserve"> that chances are</w:t>
      </w:r>
      <w:r w:rsidR="000A15E2">
        <w:t>,</w:t>
      </w:r>
      <w:r>
        <w:t xml:space="preserve"> </w:t>
      </w:r>
      <w:r w:rsidR="00A96FD2">
        <w:t>Eumenes</w:t>
      </w:r>
      <w:r>
        <w:t xml:space="preserve"> might have even had more success </w:t>
      </w:r>
      <w:r w:rsidR="00A96FD2">
        <w:t xml:space="preserve">by </w:t>
      </w:r>
      <w:r>
        <w:t>just causing a mutiny in Ptolem</w:t>
      </w:r>
      <w:r w:rsidR="00A96FD2">
        <w:t>y’</w:t>
      </w:r>
      <w:r>
        <w:t xml:space="preserve">s army, similarly to how the Alexander the </w:t>
      </w:r>
      <w:r w:rsidR="00A96FD2">
        <w:t>G</w:t>
      </w:r>
      <w:r>
        <w:t xml:space="preserve">reat’s army mutinied at </w:t>
      </w:r>
      <w:proofErr w:type="spellStart"/>
      <w:r>
        <w:t>Opis</w:t>
      </w:r>
      <w:proofErr w:type="spellEnd"/>
      <w:r>
        <w:t xml:space="preserve"> where Alexander’s troops were too tired and sick of war to go any further,</w:t>
      </w:r>
      <w:r>
        <w:rPr>
          <w:rStyle w:val="FootnoteReference"/>
        </w:rPr>
        <w:footnoteReference w:id="15"/>
      </w:r>
      <w:r>
        <w:t xml:space="preserve"> and launching a coup against the Ptolemies that way. If </w:t>
      </w:r>
      <w:r w:rsidR="00A96FD2">
        <w:t>Eumenes</w:t>
      </w:r>
      <w:r>
        <w:t xml:space="preserve"> gained the support of the army then </w:t>
      </w:r>
      <w:r w:rsidR="00A96FD2">
        <w:t>he</w:t>
      </w:r>
      <w:r>
        <w:t xml:space="preserve"> would have been in a great position to win the oncoming civil war and usurp the throne of Egypt. But ultimately, </w:t>
      </w:r>
      <w:r w:rsidR="00A96FD2">
        <w:t>he</w:t>
      </w:r>
      <w:r>
        <w:t xml:space="preserve"> was unlucky as the plot was found out</w:t>
      </w:r>
      <w:r w:rsidR="00A96FD2">
        <w:t>;</w:t>
      </w:r>
      <w:r>
        <w:t xml:space="preserve"> th</w:t>
      </w:r>
      <w:r w:rsidR="00A96FD2">
        <w:t>is turn in fortune was</w:t>
      </w:r>
      <w:r>
        <w:t xml:space="preserve"> itself inspired by the attempt by Seleucid king Antiochus </w:t>
      </w:r>
      <w:proofErr w:type="spellStart"/>
      <w:r>
        <w:t>Grypus</w:t>
      </w:r>
      <w:proofErr w:type="spellEnd"/>
      <w:r>
        <w:t xml:space="preserve"> to kill his half-brother, but </w:t>
      </w:r>
      <w:r w:rsidR="00A96FD2">
        <w:t xml:space="preserve">he </w:t>
      </w:r>
      <w:r>
        <w:t>was found out and war was declared</w:t>
      </w:r>
      <w:r>
        <w:rPr>
          <w:rStyle w:val="FootnoteReference"/>
        </w:rPr>
        <w:footnoteReference w:id="16"/>
      </w:r>
      <w:r>
        <w:t xml:space="preserve">. In many ways then </w:t>
      </w:r>
      <w:r w:rsidR="00A96FD2">
        <w:t>Eumenes’</w:t>
      </w:r>
      <w:r>
        <w:t xml:space="preserve"> plot was exactly the same and yet failed rather more spectacularly than the historical plot it was based on.</w:t>
      </w:r>
    </w:p>
    <w:p w14:paraId="5A0D93BF" w14:textId="77777777" w:rsidR="00A96FD2" w:rsidRDefault="00A96FD2" w:rsidP="00990683">
      <w:pPr>
        <w:spacing w:line="480" w:lineRule="auto"/>
      </w:pPr>
    </w:p>
    <w:p w14:paraId="4B2FE3BA" w14:textId="23C04FD8" w:rsidR="00B80A9B" w:rsidRDefault="00305C5A" w:rsidP="00990683">
      <w:pPr>
        <w:spacing w:line="480" w:lineRule="auto"/>
      </w:pPr>
      <w:r>
        <w:t xml:space="preserve">The Next Phase: </w:t>
      </w:r>
      <w:r w:rsidR="00B80A9B">
        <w:t xml:space="preserve">Once I had died as Eumenes of Pergamon </w:t>
      </w:r>
      <w:r w:rsidR="002A528D">
        <w:t>I was given the kingdom of Galatia</w:t>
      </w:r>
      <w:r>
        <w:t>. A</w:t>
      </w:r>
      <w:r w:rsidR="002A528D">
        <w:t>fter research</w:t>
      </w:r>
      <w:r w:rsidR="005723A5">
        <w:t>,</w:t>
      </w:r>
      <w:r w:rsidR="002A528D">
        <w:t xml:space="preserve"> </w:t>
      </w:r>
      <w:r>
        <w:t xml:space="preserve">I </w:t>
      </w:r>
      <w:r w:rsidR="002A528D">
        <w:t>discovered how the King of one of the Galatian tribes</w:t>
      </w:r>
      <w:r>
        <w:t>,</w:t>
      </w:r>
      <w:r w:rsidR="002A528D">
        <w:t xml:space="preserve"> </w:t>
      </w:r>
      <w:proofErr w:type="spellStart"/>
      <w:r w:rsidR="002A528D">
        <w:t>Ortiagon</w:t>
      </w:r>
      <w:proofErr w:type="spellEnd"/>
      <w:r w:rsidR="002A528D">
        <w:t xml:space="preserve"> of the </w:t>
      </w:r>
      <w:proofErr w:type="spellStart"/>
      <w:r w:rsidR="002A528D">
        <w:t>Tolistobogoi</w:t>
      </w:r>
      <w:proofErr w:type="spellEnd"/>
      <w:r w:rsidR="002A528D">
        <w:t xml:space="preserve"> tribe</w:t>
      </w:r>
      <w:r>
        <w:t>,</w:t>
      </w:r>
      <w:r w:rsidR="002A528D">
        <w:t xml:space="preserve"> had </w:t>
      </w:r>
      <w:r w:rsidR="005723A5">
        <w:t xml:space="preserve">made </w:t>
      </w:r>
      <w:r w:rsidR="002A528D">
        <w:t xml:space="preserve">an unsuccessful attempt </w:t>
      </w:r>
      <w:r w:rsidR="00276E0E">
        <w:t>to unite the Galatian tribes</w:t>
      </w:r>
      <w:r>
        <w:t>;</w:t>
      </w:r>
      <w:r w:rsidR="00132164">
        <w:rPr>
          <w:rStyle w:val="FootnoteReference"/>
        </w:rPr>
        <w:footnoteReference w:id="17"/>
      </w:r>
      <w:r w:rsidR="00276E0E">
        <w:t xml:space="preserve"> </w:t>
      </w:r>
      <w:r w:rsidR="005723A5">
        <w:t>o</w:t>
      </w:r>
      <w:r w:rsidR="00276E0E">
        <w:t xml:space="preserve">f which there are three known </w:t>
      </w:r>
      <w:r w:rsidR="00132164">
        <w:t>major tribes</w:t>
      </w:r>
      <w:r>
        <w:t>:</w:t>
      </w:r>
      <w:r w:rsidR="00132164">
        <w:t xml:space="preserve"> the </w:t>
      </w:r>
      <w:proofErr w:type="spellStart"/>
      <w:r w:rsidR="00132164">
        <w:t>Tectosages</w:t>
      </w:r>
      <w:proofErr w:type="spellEnd"/>
      <w:r w:rsidR="00132164">
        <w:t xml:space="preserve">, the </w:t>
      </w:r>
      <w:proofErr w:type="spellStart"/>
      <w:r w:rsidR="00132164">
        <w:t>Tolistobogii</w:t>
      </w:r>
      <w:proofErr w:type="spellEnd"/>
      <w:r w:rsidR="00132164">
        <w:t xml:space="preserve">, and the </w:t>
      </w:r>
      <w:proofErr w:type="spellStart"/>
      <w:r w:rsidR="00132164">
        <w:t>Trocmer</w:t>
      </w:r>
      <w:proofErr w:type="spellEnd"/>
      <w:r w:rsidR="00132164">
        <w:t>.</w:t>
      </w:r>
      <w:r w:rsidR="00544D9A">
        <w:rPr>
          <w:rStyle w:val="FootnoteReference"/>
        </w:rPr>
        <w:footnoteReference w:id="18"/>
      </w:r>
      <w:r w:rsidR="00544D9A">
        <w:t xml:space="preserve"> Th</w:t>
      </w:r>
      <w:r w:rsidR="00D83BB3">
        <w:t>ese</w:t>
      </w:r>
      <w:r w:rsidR="00544D9A">
        <w:t xml:space="preserve"> tribes are </w:t>
      </w:r>
      <w:r>
        <w:t>r</w:t>
      </w:r>
      <w:r w:rsidR="00544D9A">
        <w:t xml:space="preserve">oughly 10,000 fighting men strong each, based on the numbers of Galatians that attempted to invade Pergamon in </w:t>
      </w:r>
      <w:r w:rsidR="00ED0A99">
        <w:t xml:space="preserve">271 BC at the battle of the River </w:t>
      </w:r>
      <w:proofErr w:type="spellStart"/>
      <w:r w:rsidR="00ED0A99">
        <w:t>Caicus</w:t>
      </w:r>
      <w:proofErr w:type="spellEnd"/>
      <w:r w:rsidR="00ED0A99">
        <w:t>.</w:t>
      </w:r>
      <w:r>
        <w:t>;</w:t>
      </w:r>
      <w:r w:rsidR="00ED0A99">
        <w:rPr>
          <w:rStyle w:val="FootnoteReference"/>
        </w:rPr>
        <w:footnoteReference w:id="19"/>
      </w:r>
      <w:r w:rsidR="00ED0A99">
        <w:t xml:space="preserve"> </w:t>
      </w:r>
      <w:r>
        <w:t>this</w:t>
      </w:r>
      <w:r w:rsidR="00ED0A99">
        <w:t xml:space="preserve"> was just one tribe, the </w:t>
      </w:r>
      <w:proofErr w:type="spellStart"/>
      <w:r w:rsidR="00ED0A99">
        <w:t>Tectosages</w:t>
      </w:r>
      <w:proofErr w:type="spellEnd"/>
      <w:r w:rsidR="00D83BB3">
        <w:t>. Since</w:t>
      </w:r>
      <w:r w:rsidR="00ED0A99">
        <w:t xml:space="preserve"> very little else is known about </w:t>
      </w:r>
      <w:r w:rsidR="00902149">
        <w:t>the Galatians in terms of ancient sources</w:t>
      </w:r>
      <w:r w:rsidR="00D83BB3">
        <w:t>, i</w:t>
      </w:r>
      <w:r w:rsidR="00902149">
        <w:t xml:space="preserve">t is thus reasonable to </w:t>
      </w:r>
      <w:r w:rsidR="00D83BB3">
        <w:t xml:space="preserve">suppose </w:t>
      </w:r>
      <w:r w:rsidR="00902149">
        <w:t xml:space="preserve">that since </w:t>
      </w:r>
      <w:r w:rsidR="00FB0B6F">
        <w:t>one Galati</w:t>
      </w:r>
      <w:r>
        <w:t>a</w:t>
      </w:r>
      <w:r w:rsidR="00FB0B6F">
        <w:t>n tribe was 10,000 combined</w:t>
      </w:r>
      <w:r>
        <w:t>,</w:t>
      </w:r>
      <w:r w:rsidR="00FB0B6F">
        <w:t xml:space="preserve"> they would have had a military strength of roughly 30,000</w:t>
      </w:r>
      <w:r w:rsidR="00EE1BAC">
        <w:t xml:space="preserve"> together. This is especially likely</w:t>
      </w:r>
      <w:r w:rsidR="005723A5">
        <w:t>,</w:t>
      </w:r>
      <w:r w:rsidR="00EE1BAC">
        <w:t xml:space="preserve"> considering how, in the Courts and Society</w:t>
      </w:r>
      <w:r w:rsidR="00FB0B6F">
        <w:t xml:space="preserve"> module</w:t>
      </w:r>
      <w:r w:rsidR="00EE1BAC">
        <w:t xml:space="preserve"> experience,</w:t>
      </w:r>
      <w:r w:rsidR="00FB0B6F">
        <w:t xml:space="preserve"> </w:t>
      </w:r>
      <w:proofErr w:type="spellStart"/>
      <w:r w:rsidR="00FB0B6F">
        <w:t>Ortiagon</w:t>
      </w:r>
      <w:proofErr w:type="spellEnd"/>
      <w:r w:rsidR="00C301E1">
        <w:t xml:space="preserve"> </w:t>
      </w:r>
      <w:r w:rsidR="00FB0B6F">
        <w:t xml:space="preserve">has managed to succeed in unifying the Galatian tribes and thus </w:t>
      </w:r>
      <w:r w:rsidR="00EE1BAC">
        <w:t>he could</w:t>
      </w:r>
      <w:r w:rsidR="00FB0B6F">
        <w:t xml:space="preserve"> proceed to expand.</w:t>
      </w:r>
    </w:p>
    <w:p w14:paraId="15637D6B" w14:textId="15AEA437" w:rsidR="00FB0B6F" w:rsidRDefault="00FB0B6F" w:rsidP="00990683">
      <w:pPr>
        <w:spacing w:line="480" w:lineRule="auto"/>
      </w:pPr>
      <w:r>
        <w:lastRenderedPageBreak/>
        <w:t xml:space="preserve">First action as </w:t>
      </w:r>
      <w:proofErr w:type="spellStart"/>
      <w:r>
        <w:t>Ortiagon</w:t>
      </w:r>
      <w:proofErr w:type="spellEnd"/>
      <w:r>
        <w:t xml:space="preserve">: Upon hearing </w:t>
      </w:r>
      <w:proofErr w:type="gramStart"/>
      <w:r>
        <w:t>rather</w:t>
      </w:r>
      <w:proofErr w:type="gramEnd"/>
      <w:r>
        <w:t xml:space="preserve"> promising offers from Ptolemy IV to join a war </w:t>
      </w:r>
      <w:r w:rsidR="002E4E26">
        <w:t xml:space="preserve">against the Seleucid king </w:t>
      </w:r>
      <w:proofErr w:type="spellStart"/>
      <w:r w:rsidR="002E4E26">
        <w:t>Antiochos</w:t>
      </w:r>
      <w:proofErr w:type="spellEnd"/>
      <w:r w:rsidR="004B7FE7">
        <w:t>,</w:t>
      </w:r>
      <w:r w:rsidR="0058389F">
        <w:t xml:space="preserve"> which entailed becoming satrapy of </w:t>
      </w:r>
      <w:proofErr w:type="spellStart"/>
      <w:r w:rsidR="0058389F">
        <w:t>Coele</w:t>
      </w:r>
      <w:proofErr w:type="spellEnd"/>
      <w:r w:rsidR="0058389F">
        <w:t>-Syria</w:t>
      </w:r>
      <w:r w:rsidR="00D83BB3">
        <w:t xml:space="preserve">, </w:t>
      </w:r>
      <w:r w:rsidR="004B7FE7">
        <w:t>my character</w:t>
      </w:r>
      <w:r w:rsidR="00A55F37">
        <w:t xml:space="preserve"> had historical reason to not trust the Ptolemies, since Ptolemy IV’s grandson</w:t>
      </w:r>
      <w:r w:rsidR="004B7FE7">
        <w:t>,</w:t>
      </w:r>
      <w:r w:rsidR="00A55F37">
        <w:t xml:space="preserve"> </w:t>
      </w:r>
      <w:r w:rsidR="00E47399">
        <w:t xml:space="preserve">Ptolemy II </w:t>
      </w:r>
      <w:proofErr w:type="spellStart"/>
      <w:r w:rsidR="00E47399">
        <w:t>Philadelphus</w:t>
      </w:r>
      <w:proofErr w:type="spellEnd"/>
      <w:r w:rsidR="004B7FE7">
        <w:t>,</w:t>
      </w:r>
      <w:r w:rsidR="00E47399">
        <w:t xml:space="preserve"> had previously betrayed the Galatians by leaving the entire tribe on the Island of Cyprus</w:t>
      </w:r>
      <w:r w:rsidR="004B7FE7">
        <w:t xml:space="preserve">. They were left </w:t>
      </w:r>
      <w:r w:rsidR="00E47399">
        <w:t xml:space="preserve">to starve as their loyalty was not guaranteed </w:t>
      </w:r>
      <w:r w:rsidR="002D6C0C">
        <w:t xml:space="preserve">and they were </w:t>
      </w:r>
      <w:r w:rsidR="008F1613">
        <w:t xml:space="preserve">at </w:t>
      </w:r>
      <w:r w:rsidR="002D6C0C">
        <w:t xml:space="preserve">a loose end. This thus justifies my decision to not accept their offer to go to war. </w:t>
      </w:r>
    </w:p>
    <w:p w14:paraId="750915C7" w14:textId="5975AE9A" w:rsidR="00641A52" w:rsidRDefault="00641A52" w:rsidP="00990683">
      <w:pPr>
        <w:spacing w:line="480" w:lineRule="auto"/>
      </w:pPr>
      <w:r>
        <w:t>Action: Unifying Galatia and Hellenising them</w:t>
      </w:r>
    </w:p>
    <w:p w14:paraId="17697FDD" w14:textId="2DC54BC5" w:rsidR="006276DB" w:rsidRDefault="00460DBB" w:rsidP="00990683">
      <w:pPr>
        <w:spacing w:line="480" w:lineRule="auto"/>
      </w:pPr>
      <w:r>
        <w:t xml:space="preserve">Historical Precedent for the move: </w:t>
      </w:r>
      <w:r w:rsidR="006276DB">
        <w:t xml:space="preserve">The historical character that I used as a precedence for unifying the Galatians, </w:t>
      </w:r>
      <w:proofErr w:type="spellStart"/>
      <w:r w:rsidR="006276DB">
        <w:t>Ortiagon</w:t>
      </w:r>
      <w:proofErr w:type="spellEnd"/>
      <w:r w:rsidR="006276DB">
        <w:t xml:space="preserve">, was a chieftain of the Galatian </w:t>
      </w:r>
      <w:proofErr w:type="spellStart"/>
      <w:r w:rsidR="006276DB">
        <w:t>Tolistobogii</w:t>
      </w:r>
      <w:proofErr w:type="spellEnd"/>
      <w:r w:rsidR="006276DB">
        <w:t xml:space="preserve"> tribe and according to Polybius was ‘</w:t>
      </w:r>
      <w:r w:rsidR="006276DB" w:rsidRPr="007D7E5E">
        <w:t>being liberal, magnanimous, possessed of sagacity and winning manners; and above all, brave and skilful in war.</w:t>
      </w:r>
      <w:r w:rsidR="006276DB">
        <w:t>’</w:t>
      </w:r>
      <w:r w:rsidR="006276DB">
        <w:rPr>
          <w:rStyle w:val="FootnoteReference"/>
        </w:rPr>
        <w:footnoteReference w:id="20"/>
      </w:r>
      <w:r w:rsidR="006276DB">
        <w:t xml:space="preserve"> I have therefore used this as a justification to unify the Galatians, whom for decades prior to 225 BC ha</w:t>
      </w:r>
      <w:r w:rsidR="004B7FE7">
        <w:t>d</w:t>
      </w:r>
      <w:r w:rsidR="006276DB">
        <w:t xml:space="preserve"> constantly fought over land to raid and later settle</w:t>
      </w:r>
      <w:r w:rsidR="004B7FE7">
        <w:t>, s</w:t>
      </w:r>
      <w:r w:rsidR="006276DB">
        <w:t xml:space="preserve">uch as the rich and fertile </w:t>
      </w:r>
      <w:proofErr w:type="spellStart"/>
      <w:r w:rsidR="006276DB">
        <w:t>Caicus</w:t>
      </w:r>
      <w:proofErr w:type="spellEnd"/>
      <w:r w:rsidR="006276DB">
        <w:t xml:space="preserve"> valley in 241 BC</w:t>
      </w:r>
      <w:r w:rsidR="006276DB">
        <w:rPr>
          <w:rStyle w:val="FootnoteReference"/>
        </w:rPr>
        <w:footnoteReference w:id="21"/>
      </w:r>
      <w:r w:rsidR="006276DB">
        <w:t xml:space="preserve"> and of Bithynia</w:t>
      </w:r>
      <w:r w:rsidR="00836FB6">
        <w:t>,</w:t>
      </w:r>
      <w:r w:rsidR="006276DB">
        <w:t xml:space="preserve"> with its access to Black Sea trade</w:t>
      </w:r>
      <w:r w:rsidR="006276DB">
        <w:rPr>
          <w:rStyle w:val="FootnoteReference"/>
        </w:rPr>
        <w:footnoteReference w:id="22"/>
      </w:r>
      <w:r w:rsidR="006276DB">
        <w:t xml:space="preserve">. Historian Rankin also discusses the fact that </w:t>
      </w:r>
      <w:proofErr w:type="spellStart"/>
      <w:r w:rsidR="006276DB">
        <w:t>Ortiagon</w:t>
      </w:r>
      <w:proofErr w:type="spellEnd"/>
      <w:r w:rsidR="006276DB">
        <w:t xml:space="preserve"> was ‘evidently thinking in terms of the typical Hellenistic kingdom.’</w:t>
      </w:r>
      <w:r w:rsidR="006276DB">
        <w:rPr>
          <w:rStyle w:val="FootnoteReference"/>
        </w:rPr>
        <w:footnoteReference w:id="23"/>
      </w:r>
      <w:r w:rsidR="006276DB">
        <w:t xml:space="preserve"> The reasons for why the real-life </w:t>
      </w:r>
      <w:proofErr w:type="spellStart"/>
      <w:r w:rsidR="006276DB">
        <w:t>Oritiagon</w:t>
      </w:r>
      <w:proofErr w:type="spellEnd"/>
      <w:r w:rsidR="006276DB">
        <w:t xml:space="preserve"> wanted this to happen are the exact same as why I want them to happen. That being</w:t>
      </w:r>
      <w:r w:rsidR="00EE6ED2">
        <w:t>,</w:t>
      </w:r>
      <w:r w:rsidR="006276DB">
        <w:t xml:space="preserve"> that if the Galatian tribes unite under one banner</w:t>
      </w:r>
      <w:r w:rsidR="00EE6ED2">
        <w:t>,</w:t>
      </w:r>
      <w:r w:rsidR="006276DB">
        <w:t xml:space="preserve"> they would be of much more potency in terms of military power, since prior to my ascendancy as Galatian king they mostly served as either mercenaries or as guardians of the tribe</w:t>
      </w:r>
      <w:r w:rsidR="006276DB">
        <w:rPr>
          <w:rStyle w:val="FootnoteReference"/>
        </w:rPr>
        <w:footnoteReference w:id="24"/>
      </w:r>
      <w:r w:rsidR="006276DB">
        <w:t xml:space="preserve"> and thus did not </w:t>
      </w:r>
      <w:r w:rsidR="000B4153">
        <w:t>coordinate</w:t>
      </w:r>
      <w:r w:rsidR="006276DB">
        <w:t>. Unification would naturally therefore increase military potential in terms of sheer numbers</w:t>
      </w:r>
      <w:r w:rsidR="000B4153">
        <w:t>,</w:t>
      </w:r>
      <w:r w:rsidR="006276DB">
        <w:t xml:space="preserve"> and although not as disciplined as the hoplites that Hellenic city states like Pergamon possesses, in an open engagement when battle lines break down, Galatians were notoriously ferocious fighters</w:t>
      </w:r>
      <w:r w:rsidR="006276DB">
        <w:rPr>
          <w:rStyle w:val="FootnoteReference"/>
        </w:rPr>
        <w:footnoteReference w:id="25"/>
      </w:r>
      <w:r w:rsidR="006276DB">
        <w:t>. Another justification for Hellenising and unifying the Galatian tribes</w:t>
      </w:r>
      <w:r w:rsidR="00BC00FD">
        <w:t>,</w:t>
      </w:r>
      <w:r w:rsidR="006276DB">
        <w:t xml:space="preserve"> is that it </w:t>
      </w:r>
      <w:r w:rsidR="006276DB">
        <w:lastRenderedPageBreak/>
        <w:t>would increase our diplomatic and political standing with Hellenic factions such as Pergamon, the Seleucids and Pontus, meaning that we can foster trade deals and alliances much more easily.</w:t>
      </w:r>
      <w:r w:rsidR="000F172A">
        <w:rPr>
          <w:rStyle w:val="FootnoteReference"/>
        </w:rPr>
        <w:footnoteReference w:id="26"/>
      </w:r>
      <w:r w:rsidR="000F172A">
        <w:t xml:space="preserve"> </w:t>
      </w:r>
      <w:r w:rsidR="006276DB">
        <w:t xml:space="preserve">Since we would have similar gods and culture, an example backing </w:t>
      </w:r>
      <w:r w:rsidR="000B4153">
        <w:t>the potential for this to have happened  is the</w:t>
      </w:r>
      <w:r w:rsidR="006276DB">
        <w:t xml:space="preserve"> justification </w:t>
      </w:r>
      <w:r w:rsidR="000B4153">
        <w:t>found in</w:t>
      </w:r>
      <w:r w:rsidR="006276DB">
        <w:t xml:space="preserve"> the spread </w:t>
      </w:r>
      <w:r w:rsidR="000B4153">
        <w:t xml:space="preserve">of </w:t>
      </w:r>
      <w:r w:rsidR="006276DB">
        <w:t>worship</w:t>
      </w:r>
      <w:r w:rsidR="000B4153">
        <w:t xml:space="preserve"> for</w:t>
      </w:r>
      <w:r w:rsidR="006276DB">
        <w:t xml:space="preserve"> the Celtic god of fertility</w:t>
      </w:r>
      <w:r w:rsidR="000B4153">
        <w:t>,</w:t>
      </w:r>
      <w:r w:rsidR="006276DB">
        <w:t xml:space="preserve"> </w:t>
      </w:r>
      <w:proofErr w:type="spellStart"/>
      <w:r w:rsidR="006276DB">
        <w:t>Epona</w:t>
      </w:r>
      <w:proofErr w:type="spellEnd"/>
      <w:r w:rsidR="000B4153">
        <w:t>,</w:t>
      </w:r>
      <w:r w:rsidR="006276DB">
        <w:t xml:space="preserve"> whose worship spread even to the Romans.</w:t>
      </w:r>
      <w:r w:rsidR="006276DB">
        <w:rPr>
          <w:rStyle w:val="FootnoteReference"/>
        </w:rPr>
        <w:footnoteReference w:id="27"/>
      </w:r>
      <w:r w:rsidR="006276DB">
        <w:t xml:space="preserve"> Thus</w:t>
      </w:r>
      <w:r w:rsidR="000B4153">
        <w:t>,</w:t>
      </w:r>
      <w:r w:rsidR="006276DB">
        <w:t xml:space="preserve"> by mixing the two cultures of Celt</w:t>
      </w:r>
      <w:r w:rsidR="000B4153">
        <w:t>s</w:t>
      </w:r>
      <w:r w:rsidR="006276DB">
        <w:t xml:space="preserve"> and Hellen</w:t>
      </w:r>
      <w:r w:rsidR="000B4153">
        <w:t>ists</w:t>
      </w:r>
      <w:r w:rsidR="00EE6ED2">
        <w:t>,</w:t>
      </w:r>
      <w:r w:rsidR="006276DB">
        <w:t xml:space="preserve"> we can be far more integrated with Hellenic society</w:t>
      </w:r>
      <w:r>
        <w:t xml:space="preserve">; </w:t>
      </w:r>
      <w:r w:rsidR="006276DB">
        <w:t>as the events of the</w:t>
      </w:r>
      <w:r w:rsidR="000B4153">
        <w:t xml:space="preserve"> </w:t>
      </w:r>
      <w:r>
        <w:t>Courts</w:t>
      </w:r>
      <w:r w:rsidR="000B4153">
        <w:t xml:space="preserve"> and Society</w:t>
      </w:r>
      <w:r w:rsidR="006276DB">
        <w:t xml:space="preserve"> module have shown</w:t>
      </w:r>
      <w:r>
        <w:t>,</w:t>
      </w:r>
      <w:r w:rsidR="006276DB">
        <w:t xml:space="preserve"> with the Pergamese allying with us to remove the threat to them from the Bithynian’s</w:t>
      </w:r>
      <w:r>
        <w:t>. This was done</w:t>
      </w:r>
      <w:r w:rsidR="006276DB">
        <w:t xml:space="preserve"> by paying us </w:t>
      </w:r>
      <w:r>
        <w:t>1,000</w:t>
      </w:r>
      <w:r w:rsidR="006276DB">
        <w:t xml:space="preserve"> talents</w:t>
      </w:r>
      <w:r>
        <w:t>,</w:t>
      </w:r>
      <w:r w:rsidR="006276DB">
        <w:t xml:space="preserve"> and by even using us as a neutral moderator for negotiations between the Ptolemaic court of Berenice and Attalus II, with both even trusting us with the </w:t>
      </w:r>
      <w:r>
        <w:t xml:space="preserve">care of the </w:t>
      </w:r>
      <w:r w:rsidR="006276DB">
        <w:t>Ptolemaic heir</w:t>
      </w:r>
      <w:r>
        <w:t>,</w:t>
      </w:r>
      <w:r w:rsidR="006276DB">
        <w:t xml:space="preserve"> Ptolemy Attalus. There is also evidence of the Galatians successfully Hellenising in real life</w:t>
      </w:r>
      <w:r>
        <w:t xml:space="preserve">, because </w:t>
      </w:r>
      <w:r w:rsidR="006276DB">
        <w:t xml:space="preserve">in the first century BC they became known as the </w:t>
      </w:r>
      <w:proofErr w:type="spellStart"/>
      <w:r w:rsidR="006276DB">
        <w:t>Hellenogalatai</w:t>
      </w:r>
      <w:proofErr w:type="spellEnd"/>
      <w:r w:rsidR="006276DB">
        <w:t xml:space="preserve"> and were fully integrated into Hellenic society.</w:t>
      </w:r>
      <w:r w:rsidR="006276DB">
        <w:rPr>
          <w:rStyle w:val="FootnoteReference"/>
        </w:rPr>
        <w:footnoteReference w:id="28"/>
      </w:r>
      <w:r w:rsidR="006276DB">
        <w:t xml:space="preserve"> This thus justifies my </w:t>
      </w:r>
      <w:r>
        <w:t xml:space="preserve">decisions and </w:t>
      </w:r>
      <w:r w:rsidR="006276DB">
        <w:t xml:space="preserve">actions </w:t>
      </w:r>
      <w:r>
        <w:t xml:space="preserve">when taking on the role </w:t>
      </w:r>
      <w:r w:rsidR="006276DB">
        <w:t xml:space="preserve">as </w:t>
      </w:r>
      <w:proofErr w:type="spellStart"/>
      <w:r w:rsidR="006276DB">
        <w:t>Ortiagon</w:t>
      </w:r>
      <w:proofErr w:type="spellEnd"/>
      <w:r w:rsidR="006276DB">
        <w:t xml:space="preserve"> in this module.</w:t>
      </w:r>
    </w:p>
    <w:p w14:paraId="19A576D4" w14:textId="3043F4B6" w:rsidR="00186949" w:rsidRDefault="00460DBB" w:rsidP="00990683">
      <w:pPr>
        <w:spacing w:line="480" w:lineRule="auto"/>
      </w:pPr>
      <w:r w:rsidRPr="00460DBB">
        <w:t xml:space="preserve">Evidence and real-life comparison: </w:t>
      </w:r>
      <w:r w:rsidR="00186949">
        <w:t>The offer by the Pergamese king Attalus I to raid Bithynia however, was completely reasonable, since Galatians are recorded in Polybius as having raided the area and even attempted invasion and settlement, the deal was sweetened even more greatly by Attalus promising funding of one thousand talents</w:t>
      </w:r>
      <w:r w:rsidR="00FF73E9">
        <w:t>.</w:t>
      </w:r>
      <w:r w:rsidR="00562B5F">
        <w:rPr>
          <w:rStyle w:val="FootnoteReference"/>
        </w:rPr>
        <w:footnoteReference w:id="29"/>
      </w:r>
    </w:p>
    <w:p w14:paraId="1628DD02" w14:textId="77777777" w:rsidR="00FF73E9" w:rsidRDefault="00FF73E9" w:rsidP="00990683">
      <w:pPr>
        <w:spacing w:line="480" w:lineRule="auto"/>
      </w:pPr>
    </w:p>
    <w:p w14:paraId="510661D2" w14:textId="77777777" w:rsidR="00FF73E9" w:rsidRDefault="00FF73E9" w:rsidP="00990683">
      <w:pPr>
        <w:spacing w:line="480" w:lineRule="auto"/>
      </w:pPr>
    </w:p>
    <w:p w14:paraId="7BCC4F98" w14:textId="69AA2412" w:rsidR="00186949" w:rsidRDefault="00FF73E9" w:rsidP="00990683">
      <w:pPr>
        <w:spacing w:line="480" w:lineRule="auto"/>
      </w:pPr>
      <w:r w:rsidRPr="005044EB">
        <w:t>Effect of this action:</w:t>
      </w:r>
      <w:r>
        <w:t xml:space="preserve"> </w:t>
      </w:r>
      <w:r w:rsidR="00186949">
        <w:t>After the successful invasion of Bithynia</w:t>
      </w:r>
      <w:r>
        <w:t>,</w:t>
      </w:r>
      <w:r w:rsidR="00186949">
        <w:t xml:space="preserve"> with an army of 25,000</w:t>
      </w:r>
      <w:r>
        <w:t>,</w:t>
      </w:r>
      <w:r w:rsidR="00186949">
        <w:t xml:space="preserve"> that lasted </w:t>
      </w:r>
      <w:r>
        <w:t>three</w:t>
      </w:r>
      <w:r w:rsidR="00186949">
        <w:t xml:space="preserve"> years and at a loss of roughly 4,000 men to sieges</w:t>
      </w:r>
      <w:r>
        <w:t>,</w:t>
      </w:r>
      <w:r w:rsidR="00186949">
        <w:t xml:space="preserve"> and 6,000 in a pitched battle outside Nicomedia, the </w:t>
      </w:r>
      <w:r>
        <w:t>c</w:t>
      </w:r>
      <w:r w:rsidR="00186949">
        <w:t xml:space="preserve">ity was secured. I left a garrison of 5,000 men in Bithynia to suppress any revolts, </w:t>
      </w:r>
      <w:r w:rsidR="00186949">
        <w:lastRenderedPageBreak/>
        <w:t xml:space="preserve">however as the Bithynian king </w:t>
      </w:r>
      <w:proofErr w:type="spellStart"/>
      <w:r w:rsidR="00186949">
        <w:t>Prusias</w:t>
      </w:r>
      <w:proofErr w:type="spellEnd"/>
      <w:r w:rsidR="00186949">
        <w:t xml:space="preserve"> and his entire army had been crushed, the resettlement of the Galatian people in that area could now begin, with the building of temples to the mountain god </w:t>
      </w:r>
      <w:proofErr w:type="spellStart"/>
      <w:r w:rsidR="00186949">
        <w:t>Sybele</w:t>
      </w:r>
      <w:proofErr w:type="spellEnd"/>
      <w:r w:rsidR="00186949">
        <w:t>.</w:t>
      </w:r>
    </w:p>
    <w:p w14:paraId="7AD3A40D" w14:textId="68E965B7" w:rsidR="00BB2EDD" w:rsidRDefault="002B145A" w:rsidP="00990683">
      <w:pPr>
        <w:spacing w:line="480" w:lineRule="auto"/>
      </w:pPr>
      <w:r>
        <w:t xml:space="preserve">Events beyond my control then came to the forefront. Ptolemy IV was eventually assassinated by his sister Berenice the </w:t>
      </w:r>
      <w:r w:rsidR="00FF73E9">
        <w:t>Y</w:t>
      </w:r>
      <w:r>
        <w:t>ounger</w:t>
      </w:r>
      <w:r w:rsidR="00FF73E9">
        <w:t xml:space="preserve">, </w:t>
      </w:r>
      <w:r>
        <w:t>and because of agreements between her and Attalus 1</w:t>
      </w:r>
      <w:r w:rsidR="00FF73E9">
        <w:t xml:space="preserve">, </w:t>
      </w:r>
      <w:r w:rsidR="003F61EF">
        <w:t>I was naturally allied with her</w:t>
      </w:r>
      <w:r w:rsidR="00FF73E9">
        <w:t>,</w:t>
      </w:r>
      <w:r w:rsidR="003F61EF">
        <w:t xml:space="preserve"> and once that happened</w:t>
      </w:r>
      <w:r w:rsidR="002342FF">
        <w:t>,</w:t>
      </w:r>
      <w:r w:rsidR="003F61EF">
        <w:t xml:space="preserve"> </w:t>
      </w:r>
      <w:r w:rsidR="00D84461">
        <w:t xml:space="preserve">she offered to pay Galatia 500 talents a year for their continued support. </w:t>
      </w:r>
    </w:p>
    <w:p w14:paraId="79C25798" w14:textId="39D9312B" w:rsidR="00113225" w:rsidRDefault="00113225" w:rsidP="00990683">
      <w:pPr>
        <w:spacing w:line="480" w:lineRule="auto"/>
      </w:pPr>
      <w:r>
        <w:t xml:space="preserve">After the death of </w:t>
      </w:r>
      <w:proofErr w:type="spellStart"/>
      <w:r>
        <w:t>Antiochos</w:t>
      </w:r>
      <w:proofErr w:type="spellEnd"/>
      <w:r>
        <w:t xml:space="preserve"> and the </w:t>
      </w:r>
      <w:r w:rsidR="00FF73E9">
        <w:t>subsequent</w:t>
      </w:r>
      <w:r>
        <w:t xml:space="preserve"> Seleucid wars of Succession</w:t>
      </w:r>
      <w:r w:rsidR="00FF73E9">
        <w:t>,</w:t>
      </w:r>
      <w:r>
        <w:t xml:space="preserve"> I pledged myself to the legitimate heir to the Seleucid throne, the aim being to secure Seleucid help</w:t>
      </w:r>
      <w:r w:rsidR="00FF73E9">
        <w:t>,</w:t>
      </w:r>
      <w:r>
        <w:t xml:space="preserve"> because Berenice offered financial support for this move to spite the attempted grand alliance with the Seleucid </w:t>
      </w:r>
      <w:r w:rsidR="00573A2F">
        <w:t xml:space="preserve">with </w:t>
      </w:r>
      <w:r>
        <w:t>usurper that Ptolemy IV had attempted.</w:t>
      </w:r>
    </w:p>
    <w:p w14:paraId="7B1BDA61" w14:textId="5CF00195" w:rsidR="00326E30" w:rsidRDefault="00113225" w:rsidP="00990683">
      <w:pPr>
        <w:spacing w:line="480" w:lineRule="auto"/>
      </w:pPr>
      <w:r>
        <w:t>After the assassination of the legitimate heir by the usurper</w:t>
      </w:r>
      <w:r w:rsidR="002342FF">
        <w:t>,</w:t>
      </w:r>
      <w:r>
        <w:t xml:space="preserve"> it put the Galatians in a precarious position, as technically we were at war </w:t>
      </w:r>
      <w:r w:rsidR="00573A2F">
        <w:t>with the Seleucids, thus I had to posture for allies and there was a natural one in Pergamon</w:t>
      </w:r>
      <w:r w:rsidR="00B72E1A">
        <w:t>,</w:t>
      </w:r>
      <w:r w:rsidR="00573A2F">
        <w:t xml:space="preserve"> since they had paid us and supported Galatia</w:t>
      </w:r>
      <w:r w:rsidR="00B72E1A">
        <w:t>,</w:t>
      </w:r>
      <w:r w:rsidR="00573A2F">
        <w:t xml:space="preserve"> and I was allied to them through marriage to the </w:t>
      </w:r>
      <w:r w:rsidR="00B72E1A">
        <w:t>Q</w:t>
      </w:r>
      <w:r w:rsidR="00573A2F">
        <w:t xml:space="preserve">ueen of Pergamon’s </w:t>
      </w:r>
      <w:r w:rsidR="00B72E1A">
        <w:t>s</w:t>
      </w:r>
      <w:r w:rsidR="00573A2F">
        <w:t>ister, as they had been working with Macedon, a grand alliance had formed against the Seleucid usurper</w:t>
      </w:r>
      <w:r w:rsidR="00326E30">
        <w:t>.</w:t>
      </w:r>
    </w:p>
    <w:p w14:paraId="54A714AC" w14:textId="77777777" w:rsidR="001D7605" w:rsidRDefault="001D7605" w:rsidP="00990683">
      <w:pPr>
        <w:spacing w:line="480" w:lineRule="auto"/>
      </w:pPr>
    </w:p>
    <w:p w14:paraId="735AD8B9" w14:textId="77777777" w:rsidR="001D7605" w:rsidRDefault="001D7605" w:rsidP="00990683">
      <w:pPr>
        <w:spacing w:line="480" w:lineRule="auto"/>
      </w:pPr>
    </w:p>
    <w:p w14:paraId="4F1E06FE" w14:textId="77777777" w:rsidR="001D7605" w:rsidRDefault="001D7605" w:rsidP="00990683">
      <w:pPr>
        <w:spacing w:line="480" w:lineRule="auto"/>
      </w:pPr>
    </w:p>
    <w:p w14:paraId="5046CB72" w14:textId="77777777" w:rsidR="001D7605" w:rsidRDefault="001D7605" w:rsidP="00990683">
      <w:pPr>
        <w:spacing w:line="480" w:lineRule="auto"/>
      </w:pPr>
    </w:p>
    <w:p w14:paraId="275D7FDB" w14:textId="04F8909F" w:rsidR="001D7605" w:rsidRDefault="001D7605" w:rsidP="00990683">
      <w:pPr>
        <w:spacing w:line="480" w:lineRule="auto"/>
      </w:pPr>
    </w:p>
    <w:bookmarkEnd w:id="0"/>
    <w:p w14:paraId="4ED0E540" w14:textId="3EF798A6" w:rsidR="00990683" w:rsidRDefault="00990683"/>
    <w:p w14:paraId="3BA7EE53" w14:textId="346EADB6" w:rsidR="00990683" w:rsidRDefault="00990683"/>
    <w:p w14:paraId="150AE481" w14:textId="5DECE3FB" w:rsidR="00990683" w:rsidRDefault="00990683"/>
    <w:p w14:paraId="63F2FA16" w14:textId="7B70F907" w:rsidR="00990683" w:rsidRDefault="00990683"/>
    <w:p w14:paraId="380E75FB" w14:textId="1DD10284" w:rsidR="00990683" w:rsidRDefault="00990683"/>
    <w:p w14:paraId="765A3DBE" w14:textId="7EFFA046" w:rsidR="00990683" w:rsidRDefault="00990683"/>
    <w:p w14:paraId="2FB4A02E" w14:textId="3F71DD34" w:rsidR="00990683" w:rsidRDefault="00990683"/>
    <w:p w14:paraId="0E3FDB3A" w14:textId="42C9F08D" w:rsidR="00990683" w:rsidRDefault="00990683"/>
    <w:p w14:paraId="581E18B4" w14:textId="15A6962C" w:rsidR="00990683" w:rsidRDefault="00990683"/>
    <w:p w14:paraId="32DBD53A" w14:textId="368FD13C" w:rsidR="00990683" w:rsidRDefault="00990683"/>
    <w:p w14:paraId="465AC95B" w14:textId="23EB8ABE" w:rsidR="00990683" w:rsidRDefault="00990683"/>
    <w:p w14:paraId="1E3656F8" w14:textId="25B3278F" w:rsidR="00990683" w:rsidRDefault="00990683"/>
    <w:p w14:paraId="65016D04" w14:textId="02C02B04" w:rsidR="00990683" w:rsidRDefault="00990683"/>
    <w:p w14:paraId="213EF5E6" w14:textId="076C29F0" w:rsidR="00990683" w:rsidRDefault="00990683"/>
    <w:p w14:paraId="5B919B33" w14:textId="7BFBEA83" w:rsidR="00990683" w:rsidRDefault="00990683"/>
    <w:p w14:paraId="0A608E84" w14:textId="35481939" w:rsidR="00990683" w:rsidRDefault="00990683"/>
    <w:p w14:paraId="29FC6D2F" w14:textId="53F576DE" w:rsidR="00990683" w:rsidRDefault="00990683"/>
    <w:p w14:paraId="0ADE17D7" w14:textId="054549E2" w:rsidR="00990683" w:rsidRDefault="00990683"/>
    <w:p w14:paraId="4E300E1C" w14:textId="249A2C0E" w:rsidR="00990683" w:rsidRDefault="00990683"/>
    <w:p w14:paraId="4998CD6F" w14:textId="060DE595" w:rsidR="00990683" w:rsidRDefault="00990683"/>
    <w:p w14:paraId="5E2D38D4" w14:textId="07EA0399" w:rsidR="00990683" w:rsidRDefault="00990683"/>
    <w:p w14:paraId="4694FD53" w14:textId="77777777" w:rsidR="001D7605" w:rsidRDefault="001D7605"/>
    <w:p w14:paraId="613A5D46" w14:textId="4EA90E43" w:rsidR="00326E30" w:rsidRDefault="00326E30">
      <w:r>
        <w:t>Bibliography:</w:t>
      </w:r>
    </w:p>
    <w:p w14:paraId="4427A305" w14:textId="77777777" w:rsidR="0091232F" w:rsidRDefault="00326E30">
      <w:r>
        <w:t>Ancient Sources:</w:t>
      </w:r>
    </w:p>
    <w:p w14:paraId="5CCC7E25" w14:textId="648EA4B0" w:rsidR="00326E30" w:rsidRDefault="00326E30">
      <w:r>
        <w:t>Appian</w:t>
      </w:r>
      <w:r w:rsidR="0091232F">
        <w:t xml:space="preserve">. </w:t>
      </w:r>
      <w:proofErr w:type="spellStart"/>
      <w:r w:rsidR="0091232F" w:rsidRPr="0091232F">
        <w:rPr>
          <w:i/>
        </w:rPr>
        <w:t>Syriaca</w:t>
      </w:r>
      <w:proofErr w:type="spellEnd"/>
      <w:r w:rsidR="0091232F">
        <w:rPr>
          <w:i/>
        </w:rPr>
        <w:t xml:space="preserve">. </w:t>
      </w:r>
      <w:proofErr w:type="spellStart"/>
      <w:proofErr w:type="gramStart"/>
      <w:r w:rsidR="0043060D">
        <w:t>H.White</w:t>
      </w:r>
      <w:proofErr w:type="spellEnd"/>
      <w:proofErr w:type="gramEnd"/>
      <w:r w:rsidR="0043060D">
        <w:t xml:space="preserve"> (trans). 1899. New York. The Macmillan Company. </w:t>
      </w:r>
    </w:p>
    <w:p w14:paraId="4F50E77A" w14:textId="43A09DCC" w:rsidR="0043060D" w:rsidRPr="00B106D4" w:rsidRDefault="0043060D">
      <w:proofErr w:type="spellStart"/>
      <w:r>
        <w:t>Pausanius</w:t>
      </w:r>
      <w:proofErr w:type="spellEnd"/>
      <w:r>
        <w:t xml:space="preserve">. </w:t>
      </w:r>
      <w:r>
        <w:rPr>
          <w:i/>
        </w:rPr>
        <w:t>Description of Greece</w:t>
      </w:r>
      <w:r w:rsidR="00B106D4">
        <w:rPr>
          <w:i/>
        </w:rPr>
        <w:t xml:space="preserve">. </w:t>
      </w:r>
      <w:r w:rsidR="00B106D4">
        <w:t>W.H.S Jones. Cambridge. Harvard University Press.</w:t>
      </w:r>
    </w:p>
    <w:p w14:paraId="4B95A974" w14:textId="69368593" w:rsidR="0043060D" w:rsidRDefault="0043060D">
      <w:r>
        <w:t xml:space="preserve">Polybius. </w:t>
      </w:r>
      <w:r>
        <w:rPr>
          <w:i/>
        </w:rPr>
        <w:t xml:space="preserve">The Histories. </w:t>
      </w:r>
      <w:r>
        <w:t>W.R. Paton (trans). 1925. London: William Heinemann.</w:t>
      </w:r>
    </w:p>
    <w:p w14:paraId="6BAF37B5" w14:textId="10771925" w:rsidR="00AF7740" w:rsidRDefault="00AF7740">
      <w:r>
        <w:t xml:space="preserve">Strabo. </w:t>
      </w:r>
      <w:proofErr w:type="spellStart"/>
      <w:r>
        <w:rPr>
          <w:i/>
        </w:rPr>
        <w:t>Geographica</w:t>
      </w:r>
      <w:proofErr w:type="spellEnd"/>
      <w:r>
        <w:rPr>
          <w:i/>
        </w:rPr>
        <w:t xml:space="preserve">. </w:t>
      </w:r>
      <w:r>
        <w:t>H.L. Jones. (trans). 1917. Harvard: Harvard University Press</w:t>
      </w:r>
    </w:p>
    <w:p w14:paraId="1F1ADCA0" w14:textId="249F26C6" w:rsidR="0043060D" w:rsidRDefault="00B106D4">
      <w:r>
        <w:t>Modern Scholarship:</w:t>
      </w:r>
    </w:p>
    <w:p w14:paraId="089F3C9F" w14:textId="18180096" w:rsidR="0066313A" w:rsidRDefault="0066313A">
      <w:r>
        <w:t xml:space="preserve">Allen. R.E. 1983. </w:t>
      </w:r>
      <w:r>
        <w:rPr>
          <w:i/>
        </w:rPr>
        <w:t xml:space="preserve">The </w:t>
      </w:r>
      <w:proofErr w:type="spellStart"/>
      <w:r>
        <w:rPr>
          <w:i/>
        </w:rPr>
        <w:t>Attalid</w:t>
      </w:r>
      <w:proofErr w:type="spellEnd"/>
      <w:r>
        <w:rPr>
          <w:i/>
        </w:rPr>
        <w:t xml:space="preserve"> Kingdom. A Constitutional History.</w:t>
      </w:r>
      <w:r>
        <w:t xml:space="preserve"> Clarendon Press. Oxford.</w:t>
      </w:r>
    </w:p>
    <w:p w14:paraId="3E595BC3" w14:textId="3170B8DE" w:rsidR="00833E5B" w:rsidRDefault="00833E5B">
      <w:r>
        <w:t xml:space="preserve">Austin. M. 1981. </w:t>
      </w:r>
      <w:r>
        <w:rPr>
          <w:i/>
        </w:rPr>
        <w:t xml:space="preserve">The Hellenistic World from Alexander to the Roman Conquest. </w:t>
      </w:r>
      <w:r>
        <w:t>Cambridge: Cambridge University Press.</w:t>
      </w:r>
    </w:p>
    <w:p w14:paraId="4C70FD61" w14:textId="1C776678" w:rsidR="000E3B28" w:rsidRDefault="000E3B28">
      <w:proofErr w:type="spellStart"/>
      <w:r>
        <w:t>Erksine</w:t>
      </w:r>
      <w:proofErr w:type="spellEnd"/>
      <w:r>
        <w:t xml:space="preserve">. A. 2009. </w:t>
      </w:r>
      <w:r>
        <w:rPr>
          <w:i/>
        </w:rPr>
        <w:t xml:space="preserve">A companion to the Hellenistic World. </w:t>
      </w:r>
      <w:r>
        <w:t>Oxford: Blackwell Publishing.</w:t>
      </w:r>
    </w:p>
    <w:p w14:paraId="2BA2D6EC" w14:textId="3B907777" w:rsidR="00562B5F" w:rsidRPr="00562B5F" w:rsidRDefault="00562B5F">
      <w:r>
        <w:t xml:space="preserve">Errington. R.M. 2008. </w:t>
      </w:r>
      <w:r>
        <w:rPr>
          <w:i/>
        </w:rPr>
        <w:t xml:space="preserve">A History of the Hellenistic World 323-30 BC </w:t>
      </w:r>
      <w:r>
        <w:t>Oxford: Blackwell Publishing</w:t>
      </w:r>
    </w:p>
    <w:p w14:paraId="62AD240B" w14:textId="35C59EFD" w:rsidR="00B06F51" w:rsidRDefault="00833E5B" w:rsidP="000A2B5F">
      <w:pPr>
        <w:pStyle w:val="NoSpacing"/>
        <w:spacing w:after="240"/>
        <w:rPr>
          <w:lang w:eastAsia="en-GB"/>
        </w:rPr>
      </w:pPr>
      <w:r>
        <w:lastRenderedPageBreak/>
        <w:t>Fischer-Bovet.</w:t>
      </w:r>
      <w:r w:rsidR="00D64480">
        <w:t xml:space="preserve"> C.</w:t>
      </w:r>
      <w:r>
        <w:t xml:space="preserve"> 2014. </w:t>
      </w:r>
      <w:r w:rsidR="00B06F51" w:rsidRPr="00B06F51">
        <w:rPr>
          <w:i/>
          <w:lang w:eastAsia="en-GB"/>
        </w:rPr>
        <w:t>Army and Society in Ptolemaic Egypt</w:t>
      </w:r>
      <w:r w:rsidR="00B06F51">
        <w:rPr>
          <w:lang w:eastAsia="en-GB"/>
        </w:rPr>
        <w:t>. Cambridge: Cambridge University Press.</w:t>
      </w:r>
    </w:p>
    <w:p w14:paraId="7971301D" w14:textId="12B010E1" w:rsidR="00EA5334" w:rsidRDefault="00EA5334" w:rsidP="000A2B5F">
      <w:pPr>
        <w:pStyle w:val="NoSpacing"/>
        <w:spacing w:after="240"/>
        <w:rPr>
          <w:lang w:eastAsia="en-GB"/>
        </w:rPr>
      </w:pPr>
      <w:r>
        <w:rPr>
          <w:lang w:eastAsia="en-GB"/>
        </w:rPr>
        <w:t xml:space="preserve">Green. M. 1995. </w:t>
      </w:r>
      <w:r w:rsidRPr="00EA5334">
        <w:rPr>
          <w:i/>
          <w:lang w:eastAsia="en-GB"/>
        </w:rPr>
        <w:t>C</w:t>
      </w:r>
      <w:r w:rsidR="0066313A">
        <w:rPr>
          <w:i/>
          <w:lang w:eastAsia="en-GB"/>
        </w:rPr>
        <w:t>e</w:t>
      </w:r>
      <w:r w:rsidRPr="00EA5334">
        <w:rPr>
          <w:i/>
          <w:lang w:eastAsia="en-GB"/>
        </w:rPr>
        <w:t>ltic goddesses: warriors, virgins, and mothers</w:t>
      </w:r>
      <w:r>
        <w:rPr>
          <w:i/>
          <w:lang w:eastAsia="en-GB"/>
        </w:rPr>
        <w:t xml:space="preserve">. </w:t>
      </w:r>
      <w:r>
        <w:rPr>
          <w:lang w:eastAsia="en-GB"/>
        </w:rPr>
        <w:t>London: Routledge</w:t>
      </w:r>
    </w:p>
    <w:p w14:paraId="5705C0A5" w14:textId="7626B1B5" w:rsidR="0066313A" w:rsidRDefault="0066313A" w:rsidP="0066313A">
      <w:r>
        <w:t xml:space="preserve">Hansen. E. V. 1947. </w:t>
      </w:r>
      <w:r>
        <w:rPr>
          <w:i/>
        </w:rPr>
        <w:t xml:space="preserve">The </w:t>
      </w:r>
      <w:proofErr w:type="spellStart"/>
      <w:r>
        <w:rPr>
          <w:i/>
        </w:rPr>
        <w:t>Attalids</w:t>
      </w:r>
      <w:proofErr w:type="spellEnd"/>
      <w:r>
        <w:rPr>
          <w:i/>
        </w:rPr>
        <w:t xml:space="preserve"> of Pergamon. </w:t>
      </w:r>
      <w:r>
        <w:t>New York: Cornell University Press.</w:t>
      </w:r>
    </w:p>
    <w:p w14:paraId="0C604C2C" w14:textId="46BC5C7C" w:rsidR="00BC7031" w:rsidRPr="00BC7031" w:rsidRDefault="00BC7031" w:rsidP="000A2B5F">
      <w:pPr>
        <w:pStyle w:val="NoSpacing"/>
        <w:spacing w:after="240"/>
        <w:rPr>
          <w:lang w:eastAsia="en-GB"/>
        </w:rPr>
      </w:pPr>
      <w:r>
        <w:rPr>
          <w:lang w:eastAsia="en-GB"/>
        </w:rPr>
        <w:t xml:space="preserve">Hazzard. R. A. 2000. </w:t>
      </w:r>
      <w:r w:rsidRPr="00BC7031">
        <w:rPr>
          <w:i/>
          <w:lang w:eastAsia="en-GB"/>
        </w:rPr>
        <w:t>Imagination of a Monarchy: Studies in Ptolemaic Propaganda</w:t>
      </w:r>
      <w:r>
        <w:rPr>
          <w:i/>
          <w:lang w:eastAsia="en-GB"/>
        </w:rPr>
        <w:t xml:space="preserve">. </w:t>
      </w:r>
      <w:r>
        <w:rPr>
          <w:lang w:eastAsia="en-GB"/>
        </w:rPr>
        <w:t>Toronto: University of Toronto Press</w:t>
      </w:r>
    </w:p>
    <w:p w14:paraId="2F73D8E8" w14:textId="5A833F21" w:rsidR="00BC7031" w:rsidRPr="00EA5334" w:rsidRDefault="00EA5334" w:rsidP="00EA5334">
      <w:r>
        <w:t xml:space="preserve">Head. D. 1982. </w:t>
      </w:r>
      <w:r>
        <w:rPr>
          <w:i/>
        </w:rPr>
        <w:t xml:space="preserve">Armies of the Macedonian and Punic Wars 359 BC to 146 BC. </w:t>
      </w:r>
      <w:r>
        <w:t>London: Wargames Research group</w:t>
      </w:r>
    </w:p>
    <w:p w14:paraId="45F26AC1" w14:textId="45DC46E9" w:rsidR="006276DB" w:rsidRDefault="00D64480" w:rsidP="000A2B5F">
      <w:pPr>
        <w:pStyle w:val="NoSpacing"/>
        <w:spacing w:after="240"/>
        <w:rPr>
          <w:lang w:eastAsia="en-GB"/>
        </w:rPr>
      </w:pPr>
      <w:proofErr w:type="spellStart"/>
      <w:r>
        <w:rPr>
          <w:lang w:eastAsia="en-GB"/>
        </w:rPr>
        <w:t>Holbl</w:t>
      </w:r>
      <w:proofErr w:type="spellEnd"/>
      <w:r>
        <w:rPr>
          <w:lang w:eastAsia="en-GB"/>
        </w:rPr>
        <w:t xml:space="preserve">. G. 2001 </w:t>
      </w:r>
      <w:r>
        <w:rPr>
          <w:i/>
          <w:lang w:eastAsia="en-GB"/>
        </w:rPr>
        <w:t xml:space="preserve">A History of the Ptolemaic Empire. </w:t>
      </w:r>
      <w:r>
        <w:rPr>
          <w:lang w:eastAsia="en-GB"/>
        </w:rPr>
        <w:t>London: Routledge.</w:t>
      </w:r>
    </w:p>
    <w:p w14:paraId="160E907E" w14:textId="4966B2AE" w:rsidR="00B06F51" w:rsidRPr="00833E5B" w:rsidRDefault="00B06F51" w:rsidP="00B06F51">
      <w:pPr>
        <w:spacing w:after="0"/>
        <w:rPr>
          <w:lang w:eastAsia="en-GB"/>
        </w:rPr>
      </w:pPr>
    </w:p>
    <w:tbl>
      <w:tblPr>
        <w:tblW w:w="15705" w:type="dxa"/>
        <w:tblCellSpacing w:w="0" w:type="dxa"/>
        <w:tblCellMar>
          <w:left w:w="0" w:type="dxa"/>
          <w:right w:w="0" w:type="dxa"/>
        </w:tblCellMar>
        <w:tblLook w:val="04A0" w:firstRow="1" w:lastRow="0" w:firstColumn="1" w:lastColumn="0" w:noHBand="0" w:noVBand="1"/>
      </w:tblPr>
      <w:tblGrid>
        <w:gridCol w:w="15705"/>
      </w:tblGrid>
      <w:tr w:rsidR="00833E5B" w:rsidRPr="00833E5B" w14:paraId="447D30BF" w14:textId="77777777" w:rsidTr="00833E5B">
        <w:trPr>
          <w:tblCellSpacing w:w="0" w:type="dxa"/>
        </w:trPr>
        <w:tc>
          <w:tcPr>
            <w:tcW w:w="0" w:type="auto"/>
            <w:hideMark/>
          </w:tcPr>
          <w:p w14:paraId="31DE9EC1" w14:textId="7425C457" w:rsidR="00833E5B" w:rsidRPr="00833E5B" w:rsidRDefault="00833E5B" w:rsidP="00833E5B">
            <w:pPr>
              <w:spacing w:after="315" w:line="240" w:lineRule="auto"/>
              <w:outlineLvl w:val="0"/>
              <w:rPr>
                <w:rFonts w:ascii="Times New Roman" w:eastAsia="Times New Roman" w:hAnsi="Times New Roman" w:cs="Times New Roman"/>
                <w:b/>
                <w:bCs/>
                <w:kern w:val="36"/>
                <w:sz w:val="48"/>
                <w:szCs w:val="48"/>
                <w:lang w:eastAsia="en-GB"/>
              </w:rPr>
            </w:pPr>
          </w:p>
        </w:tc>
      </w:tr>
    </w:tbl>
    <w:p w14:paraId="3B8039C3" w14:textId="59A9D1F3" w:rsidR="00833E5B" w:rsidRDefault="00B06F51">
      <w:r>
        <w:t>B. Bar-</w:t>
      </w:r>
      <w:proofErr w:type="spellStart"/>
      <w:r>
        <w:t>Kochva</w:t>
      </w:r>
      <w:proofErr w:type="spellEnd"/>
      <w:r>
        <w:t>.</w:t>
      </w:r>
      <w:r w:rsidR="000A2B5F">
        <w:t xml:space="preserve"> 1976</w:t>
      </w:r>
      <w:r>
        <w:rPr>
          <w:i/>
        </w:rPr>
        <w:t xml:space="preserve"> </w:t>
      </w:r>
      <w:r w:rsidRPr="00B06F51">
        <w:rPr>
          <w:i/>
        </w:rPr>
        <w:t>The Seleucid Army: Organization and Tactics in the Great Campaigns</w:t>
      </w:r>
      <w:r w:rsidR="000A2B5F">
        <w:rPr>
          <w:i/>
        </w:rPr>
        <w:t xml:space="preserve">. </w:t>
      </w:r>
      <w:r w:rsidR="000A2B5F">
        <w:t>Cambridge: Cambridge Classical studies</w:t>
      </w:r>
      <w:r w:rsidR="00EA5334">
        <w:t>.</w:t>
      </w:r>
    </w:p>
    <w:p w14:paraId="0D1DBE5E" w14:textId="0BA2F511" w:rsidR="006276DB" w:rsidRPr="006276DB" w:rsidRDefault="006276DB">
      <w:r>
        <w:t xml:space="preserve">Rankin. D. 1996 </w:t>
      </w:r>
      <w:r>
        <w:rPr>
          <w:i/>
        </w:rPr>
        <w:t xml:space="preserve">Celts and the Classical World. </w:t>
      </w:r>
      <w:r>
        <w:t>London: Routledge</w:t>
      </w:r>
    </w:p>
    <w:p w14:paraId="6D79E1FE" w14:textId="3FDA8CD3" w:rsidR="00B106D4" w:rsidRDefault="00B106D4">
      <w:proofErr w:type="spellStart"/>
      <w:r>
        <w:t>Rostovstzeff</w:t>
      </w:r>
      <w:proofErr w:type="spellEnd"/>
      <w:r w:rsidR="00833E5B">
        <w:t>. M</w:t>
      </w:r>
      <w:r w:rsidR="00833E5B" w:rsidRPr="00833E5B">
        <w:rPr>
          <w:i/>
        </w:rPr>
        <w:t>.</w:t>
      </w:r>
      <w:r w:rsidR="00833E5B">
        <w:rPr>
          <w:i/>
        </w:rPr>
        <w:t xml:space="preserve"> </w:t>
      </w:r>
      <w:r w:rsidR="00833E5B">
        <w:t>1941.</w:t>
      </w:r>
      <w:r w:rsidR="00833E5B" w:rsidRPr="00833E5B">
        <w:rPr>
          <w:i/>
        </w:rPr>
        <w:t xml:space="preserve"> Social and Economic History of the Hellenistic World</w:t>
      </w:r>
      <w:r w:rsidR="00833E5B">
        <w:rPr>
          <w:i/>
        </w:rPr>
        <w:t xml:space="preserve">. </w:t>
      </w:r>
      <w:r w:rsidR="00833E5B">
        <w:t>London: Clarendon Press</w:t>
      </w:r>
    </w:p>
    <w:p w14:paraId="1B9BB77A" w14:textId="1A837E9A" w:rsidR="00833E5B" w:rsidRDefault="00365A3D">
      <w:proofErr w:type="spellStart"/>
      <w:r>
        <w:t>Strootman</w:t>
      </w:r>
      <w:proofErr w:type="spellEnd"/>
      <w:r>
        <w:t xml:space="preserve">. R. 2005. </w:t>
      </w:r>
      <w:r>
        <w:rPr>
          <w:i/>
        </w:rPr>
        <w:t xml:space="preserve">Kings against Celts. </w:t>
      </w:r>
      <w:r>
        <w:t>Leiden: Brill</w:t>
      </w:r>
    </w:p>
    <w:p w14:paraId="419C90CB" w14:textId="591E5C4D" w:rsidR="00365A3D" w:rsidRPr="0066313A" w:rsidRDefault="00365A3D">
      <w:r>
        <w:t>Tinsley. B</w:t>
      </w:r>
      <w:r w:rsidRPr="00365A3D">
        <w:rPr>
          <w:i/>
        </w:rPr>
        <w:t>.</w:t>
      </w:r>
      <w:r w:rsidR="0066313A">
        <w:t xml:space="preserve"> 2006.</w:t>
      </w:r>
      <w:r w:rsidRPr="00365A3D">
        <w:rPr>
          <w:i/>
        </w:rPr>
        <w:t xml:space="preserve"> Reconstructing Western Civilization: Irreverent Essays on Antiquity.</w:t>
      </w:r>
      <w:r>
        <w:rPr>
          <w:i/>
        </w:rPr>
        <w:t xml:space="preserve"> </w:t>
      </w:r>
      <w:r w:rsidR="0066313A">
        <w:t>S</w:t>
      </w:r>
      <w:r w:rsidR="0066313A" w:rsidRPr="0066313A">
        <w:t>usquehanna</w:t>
      </w:r>
      <w:r w:rsidR="0066313A">
        <w:t>. Susquehanna University Press.</w:t>
      </w:r>
    </w:p>
    <w:p w14:paraId="0A7D57B4" w14:textId="7188B78C" w:rsidR="0043060D" w:rsidRPr="0066313A" w:rsidRDefault="00833E5B">
      <w:r w:rsidRPr="0066313A">
        <w:t xml:space="preserve"> </w:t>
      </w:r>
    </w:p>
    <w:sectPr w:rsidR="0043060D" w:rsidRPr="006631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E9D84" w14:textId="77777777" w:rsidR="00BC00FD" w:rsidRDefault="00BC00FD" w:rsidP="00132164">
      <w:pPr>
        <w:spacing w:after="0" w:line="240" w:lineRule="auto"/>
      </w:pPr>
      <w:r>
        <w:separator/>
      </w:r>
    </w:p>
  </w:endnote>
  <w:endnote w:type="continuationSeparator" w:id="0">
    <w:p w14:paraId="400B8D62" w14:textId="77777777" w:rsidR="00BC00FD" w:rsidRDefault="00BC00FD" w:rsidP="00132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D5740" w14:textId="77777777" w:rsidR="00BC00FD" w:rsidRDefault="00BC00FD" w:rsidP="00132164">
      <w:pPr>
        <w:spacing w:after="0" w:line="240" w:lineRule="auto"/>
      </w:pPr>
      <w:r>
        <w:separator/>
      </w:r>
    </w:p>
  </w:footnote>
  <w:footnote w:type="continuationSeparator" w:id="0">
    <w:p w14:paraId="711B0AB8" w14:textId="77777777" w:rsidR="00BC00FD" w:rsidRDefault="00BC00FD" w:rsidP="00132164">
      <w:pPr>
        <w:spacing w:after="0" w:line="240" w:lineRule="auto"/>
      </w:pPr>
      <w:r>
        <w:continuationSeparator/>
      </w:r>
    </w:p>
  </w:footnote>
  <w:footnote w:id="1">
    <w:p w14:paraId="4C2BC8F1" w14:textId="19E8AD63" w:rsidR="00BC00FD" w:rsidRDefault="00BC00FD">
      <w:pPr>
        <w:pStyle w:val="FootnoteText"/>
      </w:pPr>
      <w:r>
        <w:rPr>
          <w:rStyle w:val="FootnoteReference"/>
        </w:rPr>
        <w:footnoteRef/>
      </w:r>
      <w:r>
        <w:t xml:space="preserve"> </w:t>
      </w:r>
      <w:proofErr w:type="spellStart"/>
      <w:r>
        <w:t>Rostovstzeff</w:t>
      </w:r>
      <w:proofErr w:type="spellEnd"/>
      <w:r>
        <w:t xml:space="preserve"> 1941 658</w:t>
      </w:r>
    </w:p>
  </w:footnote>
  <w:footnote w:id="2">
    <w:p w14:paraId="7045FC5B" w14:textId="51EF0945" w:rsidR="00BC00FD" w:rsidRDefault="00BC00FD">
      <w:pPr>
        <w:pStyle w:val="FootnoteText"/>
      </w:pPr>
      <w:r>
        <w:rPr>
          <w:rStyle w:val="FootnoteReference"/>
        </w:rPr>
        <w:footnoteRef/>
      </w:r>
      <w:r>
        <w:t xml:space="preserve"> Poly. 31.3-1</w:t>
      </w:r>
    </w:p>
  </w:footnote>
  <w:footnote w:id="3">
    <w:p w14:paraId="45455B69" w14:textId="6BDF8739" w:rsidR="00BC00FD" w:rsidRDefault="00BC00FD">
      <w:pPr>
        <w:pStyle w:val="FootnoteText"/>
      </w:pPr>
      <w:r>
        <w:rPr>
          <w:rStyle w:val="FootnoteReference"/>
        </w:rPr>
        <w:footnoteRef/>
      </w:r>
      <w:r>
        <w:t xml:space="preserve"> Allen 1983 58</w:t>
      </w:r>
    </w:p>
  </w:footnote>
  <w:footnote w:id="4">
    <w:p w14:paraId="4745B181" w14:textId="1165D384" w:rsidR="00BC00FD" w:rsidRDefault="00BC00FD">
      <w:pPr>
        <w:pStyle w:val="FootnoteText"/>
      </w:pPr>
      <w:r>
        <w:rPr>
          <w:rStyle w:val="FootnoteReference"/>
        </w:rPr>
        <w:footnoteRef/>
      </w:r>
      <w:r>
        <w:t xml:space="preserve"> Hansen. 1947. 52</w:t>
      </w:r>
    </w:p>
  </w:footnote>
  <w:footnote w:id="5">
    <w:p w14:paraId="311D79C7" w14:textId="14646475" w:rsidR="00BC00FD" w:rsidRDefault="00BC00FD">
      <w:pPr>
        <w:pStyle w:val="FootnoteText"/>
      </w:pPr>
      <w:r>
        <w:rPr>
          <w:rStyle w:val="FootnoteReference"/>
        </w:rPr>
        <w:footnoteRef/>
      </w:r>
      <w:r>
        <w:t xml:space="preserve"> </w:t>
      </w:r>
      <w:r w:rsidRPr="00E0243D">
        <w:t>Tinsley</w:t>
      </w:r>
      <w:r>
        <w:t>.</w:t>
      </w:r>
      <w:r w:rsidRPr="00E0243D">
        <w:t xml:space="preserve"> 2006</w:t>
      </w:r>
      <w:r>
        <w:t>.</w:t>
      </w:r>
      <w:r w:rsidRPr="00E0243D">
        <w:t xml:space="preserve"> 179</w:t>
      </w:r>
    </w:p>
  </w:footnote>
  <w:footnote w:id="6">
    <w:p w14:paraId="0A706CDE" w14:textId="2A5EEA80" w:rsidR="00BC00FD" w:rsidRDefault="00BC00FD">
      <w:pPr>
        <w:pStyle w:val="FootnoteText"/>
      </w:pPr>
      <w:r>
        <w:rPr>
          <w:rStyle w:val="FootnoteReference"/>
        </w:rPr>
        <w:footnoteRef/>
      </w:r>
      <w:r>
        <w:t xml:space="preserve"> </w:t>
      </w:r>
      <w:proofErr w:type="spellStart"/>
      <w:r>
        <w:t>Holbl</w:t>
      </w:r>
      <w:proofErr w:type="spellEnd"/>
      <w:r>
        <w:t>. 2006. 233</w:t>
      </w:r>
    </w:p>
  </w:footnote>
  <w:footnote w:id="7">
    <w:p w14:paraId="025DD09F" w14:textId="681E089F" w:rsidR="00BC00FD" w:rsidRDefault="00BC00FD">
      <w:pPr>
        <w:pStyle w:val="FootnoteText"/>
      </w:pPr>
      <w:r>
        <w:rPr>
          <w:rStyle w:val="FootnoteReference"/>
        </w:rPr>
        <w:footnoteRef/>
      </w:r>
      <w:r>
        <w:t xml:space="preserve"> Poly. </w:t>
      </w:r>
      <w:r w:rsidRPr="00DE6ECB">
        <w:t>14.12. 3</w:t>
      </w:r>
    </w:p>
  </w:footnote>
  <w:footnote w:id="8">
    <w:p w14:paraId="2866C6F9" w14:textId="297E6C55" w:rsidR="00BC00FD" w:rsidRDefault="00BC00FD">
      <w:pPr>
        <w:pStyle w:val="FootnoteText"/>
      </w:pPr>
      <w:r>
        <w:rPr>
          <w:rStyle w:val="FootnoteReference"/>
        </w:rPr>
        <w:footnoteRef/>
      </w:r>
      <w:r>
        <w:t xml:space="preserve"> Austin. 2006. 183</w:t>
      </w:r>
    </w:p>
  </w:footnote>
  <w:footnote w:id="9">
    <w:p w14:paraId="252C84A2" w14:textId="19AB5A24" w:rsidR="00BC00FD" w:rsidRDefault="00BC00FD">
      <w:pPr>
        <w:pStyle w:val="FootnoteText"/>
      </w:pPr>
      <w:r>
        <w:rPr>
          <w:rStyle w:val="FootnoteReference"/>
        </w:rPr>
        <w:footnoteRef/>
      </w:r>
      <w:r>
        <w:t xml:space="preserve"> </w:t>
      </w:r>
      <w:proofErr w:type="spellStart"/>
      <w:r>
        <w:t>Erksine</w:t>
      </w:r>
      <w:proofErr w:type="spellEnd"/>
      <w:r>
        <w:t xml:space="preserve"> 2009. 326</w:t>
      </w:r>
    </w:p>
  </w:footnote>
  <w:footnote w:id="10">
    <w:p w14:paraId="7BBB35E6" w14:textId="634C6946" w:rsidR="00BC00FD" w:rsidRDefault="00BC00FD">
      <w:pPr>
        <w:pStyle w:val="FootnoteText"/>
      </w:pPr>
      <w:r>
        <w:rPr>
          <w:rStyle w:val="FootnoteReference"/>
        </w:rPr>
        <w:footnoteRef/>
      </w:r>
      <w:r>
        <w:t xml:space="preserve"> Hazzard. 2000. 120</w:t>
      </w:r>
    </w:p>
  </w:footnote>
  <w:footnote w:id="11">
    <w:p w14:paraId="7FC9C39C" w14:textId="1CE07ADF" w:rsidR="00BC00FD" w:rsidRDefault="00BC00FD">
      <w:pPr>
        <w:pStyle w:val="FootnoteText"/>
      </w:pPr>
      <w:r>
        <w:rPr>
          <w:rStyle w:val="FootnoteReference"/>
        </w:rPr>
        <w:footnoteRef/>
      </w:r>
      <w:r>
        <w:t xml:space="preserve"> </w:t>
      </w:r>
      <w:proofErr w:type="spellStart"/>
      <w:r>
        <w:t>Holbl</w:t>
      </w:r>
      <w:proofErr w:type="spellEnd"/>
      <w:r>
        <w:t>. 2006 205</w:t>
      </w:r>
    </w:p>
  </w:footnote>
  <w:footnote w:id="12">
    <w:p w14:paraId="33935873" w14:textId="77777777" w:rsidR="00BC00FD" w:rsidRDefault="00BC00FD" w:rsidP="00053705">
      <w:pPr>
        <w:pStyle w:val="FootnoteText"/>
      </w:pPr>
      <w:r>
        <w:rPr>
          <w:rStyle w:val="FootnoteReference"/>
        </w:rPr>
        <w:footnoteRef/>
      </w:r>
      <w:r>
        <w:t xml:space="preserve"> Poly. Hist. 21.4</w:t>
      </w:r>
    </w:p>
  </w:footnote>
  <w:footnote w:id="13">
    <w:p w14:paraId="36B4F15F" w14:textId="77777777" w:rsidR="00BC00FD" w:rsidRDefault="00BC00FD" w:rsidP="00053705">
      <w:pPr>
        <w:pStyle w:val="FootnoteText"/>
      </w:pPr>
      <w:r>
        <w:rPr>
          <w:rStyle w:val="FootnoteReference"/>
        </w:rPr>
        <w:footnoteRef/>
      </w:r>
      <w:r>
        <w:t xml:space="preserve"> Fischer-Bovet 2015. 19</w:t>
      </w:r>
    </w:p>
  </w:footnote>
  <w:footnote w:id="14">
    <w:p w14:paraId="4D805D2D" w14:textId="049D9FD1" w:rsidR="00BC00FD" w:rsidRDefault="00BC00FD">
      <w:pPr>
        <w:pStyle w:val="FootnoteText"/>
      </w:pPr>
      <w:r>
        <w:rPr>
          <w:rStyle w:val="FootnoteReference"/>
        </w:rPr>
        <w:footnoteRef/>
      </w:r>
      <w:r>
        <w:t xml:space="preserve"> </w:t>
      </w:r>
      <w:proofErr w:type="spellStart"/>
      <w:r>
        <w:t>Erksine</w:t>
      </w:r>
      <w:proofErr w:type="spellEnd"/>
      <w:r>
        <w:t>. 2009. 116</w:t>
      </w:r>
    </w:p>
  </w:footnote>
  <w:footnote w:id="15">
    <w:p w14:paraId="569C88D3" w14:textId="77777777" w:rsidR="00BC00FD" w:rsidRPr="00907FE0" w:rsidRDefault="00BC00FD" w:rsidP="00053705">
      <w:pPr>
        <w:pStyle w:val="FootnoteText"/>
        <w:rPr>
          <w:b/>
        </w:rPr>
      </w:pPr>
      <w:r>
        <w:rPr>
          <w:rStyle w:val="FootnoteReference"/>
        </w:rPr>
        <w:footnoteRef/>
      </w:r>
      <w:r>
        <w:t xml:space="preserve"> </w:t>
      </w:r>
      <w:r w:rsidRPr="00907FE0">
        <w:t>Bar-</w:t>
      </w:r>
      <w:proofErr w:type="spellStart"/>
      <w:r w:rsidRPr="00907FE0">
        <w:t>Kochva</w:t>
      </w:r>
      <w:proofErr w:type="spellEnd"/>
      <w:r>
        <w:t>. 1976. 69</w:t>
      </w:r>
    </w:p>
  </w:footnote>
  <w:footnote w:id="16">
    <w:p w14:paraId="4E39F326" w14:textId="77777777" w:rsidR="00BC00FD" w:rsidRDefault="00BC00FD" w:rsidP="00053705">
      <w:pPr>
        <w:pStyle w:val="FootnoteText"/>
      </w:pPr>
      <w:r>
        <w:rPr>
          <w:rStyle w:val="FootnoteReference"/>
        </w:rPr>
        <w:footnoteRef/>
      </w:r>
      <w:r>
        <w:t xml:space="preserve"> App. Syr. 69</w:t>
      </w:r>
    </w:p>
  </w:footnote>
  <w:footnote w:id="17">
    <w:p w14:paraId="6F8A1574" w14:textId="088CFB44" w:rsidR="00BC00FD" w:rsidRDefault="00BC00FD">
      <w:pPr>
        <w:pStyle w:val="FootnoteText"/>
      </w:pPr>
      <w:r>
        <w:rPr>
          <w:rStyle w:val="FootnoteReference"/>
        </w:rPr>
        <w:footnoteRef/>
      </w:r>
      <w:r>
        <w:t xml:space="preserve"> </w:t>
      </w:r>
      <w:r w:rsidRPr="00132164">
        <w:t>Polybius 22</w:t>
      </w:r>
      <w:r>
        <w:t>.</w:t>
      </w:r>
      <w:r w:rsidRPr="00132164">
        <w:t>21</w:t>
      </w:r>
    </w:p>
  </w:footnote>
  <w:footnote w:id="18">
    <w:p w14:paraId="3AADC849" w14:textId="2F6C3F8E" w:rsidR="00BC00FD" w:rsidRDefault="00BC00FD">
      <w:pPr>
        <w:pStyle w:val="FootnoteText"/>
      </w:pPr>
      <w:r>
        <w:rPr>
          <w:rStyle w:val="FootnoteReference"/>
        </w:rPr>
        <w:footnoteRef/>
      </w:r>
      <w:r>
        <w:t xml:space="preserve"> Polybius. 22. 21</w:t>
      </w:r>
    </w:p>
  </w:footnote>
  <w:footnote w:id="19">
    <w:p w14:paraId="0AFBD1F3" w14:textId="16889704" w:rsidR="00BC00FD" w:rsidRDefault="00BC00FD">
      <w:pPr>
        <w:pStyle w:val="FootnoteText"/>
      </w:pPr>
      <w:r>
        <w:rPr>
          <w:rStyle w:val="FootnoteReference"/>
        </w:rPr>
        <w:footnoteRef/>
      </w:r>
      <w:r>
        <w:t xml:space="preserve"> </w:t>
      </w:r>
      <w:r w:rsidRPr="00ED0A99">
        <w:t>Pausanias, 10.15.3</w:t>
      </w:r>
    </w:p>
  </w:footnote>
  <w:footnote w:id="20">
    <w:p w14:paraId="455AF55C" w14:textId="77777777" w:rsidR="00BC00FD" w:rsidRDefault="00BC00FD" w:rsidP="006276DB">
      <w:pPr>
        <w:pStyle w:val="FootnoteText"/>
      </w:pPr>
      <w:r>
        <w:rPr>
          <w:rStyle w:val="FootnoteReference"/>
        </w:rPr>
        <w:footnoteRef/>
      </w:r>
      <w:r>
        <w:t xml:space="preserve"> Poly. 21.22</w:t>
      </w:r>
    </w:p>
  </w:footnote>
  <w:footnote w:id="21">
    <w:p w14:paraId="4D83AD7A" w14:textId="77777777" w:rsidR="00BC00FD" w:rsidRDefault="00BC00FD" w:rsidP="006276DB">
      <w:pPr>
        <w:pStyle w:val="FootnoteText"/>
      </w:pPr>
      <w:r>
        <w:rPr>
          <w:rStyle w:val="FootnoteReference"/>
        </w:rPr>
        <w:footnoteRef/>
      </w:r>
      <w:r>
        <w:t xml:space="preserve"> </w:t>
      </w:r>
      <w:proofErr w:type="spellStart"/>
      <w:r>
        <w:t>Stra</w:t>
      </w:r>
      <w:proofErr w:type="spellEnd"/>
      <w:r>
        <w:t>.</w:t>
      </w:r>
      <w:r w:rsidRPr="007D7E5E">
        <w:t xml:space="preserve"> 13.4.2</w:t>
      </w:r>
    </w:p>
  </w:footnote>
  <w:footnote w:id="22">
    <w:p w14:paraId="4FA3001B" w14:textId="77777777" w:rsidR="00BC00FD" w:rsidRDefault="00BC00FD" w:rsidP="006276DB">
      <w:pPr>
        <w:pStyle w:val="FootnoteText"/>
      </w:pPr>
      <w:r>
        <w:rPr>
          <w:rStyle w:val="FootnoteReference"/>
        </w:rPr>
        <w:footnoteRef/>
      </w:r>
      <w:r>
        <w:t xml:space="preserve"> Rankin. 1996. 196</w:t>
      </w:r>
    </w:p>
  </w:footnote>
  <w:footnote w:id="23">
    <w:p w14:paraId="3B47DD08" w14:textId="77777777" w:rsidR="00BC00FD" w:rsidRDefault="00BC00FD" w:rsidP="006276DB">
      <w:pPr>
        <w:pStyle w:val="FootnoteText"/>
      </w:pPr>
      <w:r>
        <w:rPr>
          <w:rStyle w:val="FootnoteReference"/>
        </w:rPr>
        <w:footnoteRef/>
      </w:r>
      <w:r>
        <w:t xml:space="preserve"> Rankin. 1996 198</w:t>
      </w:r>
    </w:p>
  </w:footnote>
  <w:footnote w:id="24">
    <w:p w14:paraId="4EF751D9" w14:textId="77777777" w:rsidR="00BC00FD" w:rsidRDefault="00BC00FD" w:rsidP="006276DB">
      <w:pPr>
        <w:pStyle w:val="FootnoteText"/>
      </w:pPr>
      <w:r>
        <w:rPr>
          <w:rStyle w:val="FootnoteReference"/>
        </w:rPr>
        <w:footnoteRef/>
      </w:r>
      <w:r>
        <w:t xml:space="preserve"> Head. 1982. 67</w:t>
      </w:r>
    </w:p>
  </w:footnote>
  <w:footnote w:id="25">
    <w:p w14:paraId="010BD8CA" w14:textId="77777777" w:rsidR="00BC00FD" w:rsidRDefault="00BC00FD" w:rsidP="006276DB">
      <w:pPr>
        <w:pStyle w:val="FootnoteText"/>
      </w:pPr>
      <w:r>
        <w:rPr>
          <w:rStyle w:val="FootnoteReference"/>
        </w:rPr>
        <w:footnoteRef/>
      </w:r>
      <w:r>
        <w:t xml:space="preserve"> Head. 1982 242</w:t>
      </w:r>
    </w:p>
  </w:footnote>
  <w:footnote w:id="26">
    <w:p w14:paraId="3ED47EAC" w14:textId="16CD4082" w:rsidR="000F172A" w:rsidRDefault="000F172A">
      <w:pPr>
        <w:pStyle w:val="FootnoteText"/>
      </w:pPr>
      <w:r>
        <w:rPr>
          <w:rStyle w:val="FootnoteReference"/>
        </w:rPr>
        <w:footnoteRef/>
      </w:r>
      <w:r>
        <w:t xml:space="preserve"> Errington. 2008. 227</w:t>
      </w:r>
    </w:p>
  </w:footnote>
  <w:footnote w:id="27">
    <w:p w14:paraId="3E886086" w14:textId="77777777" w:rsidR="00BC00FD" w:rsidRDefault="00BC00FD" w:rsidP="006276DB">
      <w:pPr>
        <w:pStyle w:val="FootnoteText"/>
      </w:pPr>
      <w:r>
        <w:rPr>
          <w:rStyle w:val="FootnoteReference"/>
        </w:rPr>
        <w:footnoteRef/>
      </w:r>
      <w:r>
        <w:t xml:space="preserve"> Green. 2003. 22</w:t>
      </w:r>
    </w:p>
  </w:footnote>
  <w:footnote w:id="28">
    <w:p w14:paraId="10EBD5CB" w14:textId="77777777" w:rsidR="00BC00FD" w:rsidRDefault="00BC00FD" w:rsidP="006276DB">
      <w:pPr>
        <w:pStyle w:val="FootnoteText"/>
      </w:pPr>
      <w:r>
        <w:rPr>
          <w:rStyle w:val="FootnoteReference"/>
        </w:rPr>
        <w:footnoteRef/>
      </w:r>
      <w:r>
        <w:t xml:space="preserve"> </w:t>
      </w:r>
      <w:proofErr w:type="spellStart"/>
      <w:r>
        <w:t>Strootman</w:t>
      </w:r>
      <w:proofErr w:type="spellEnd"/>
      <w:r>
        <w:t>. 117</w:t>
      </w:r>
    </w:p>
  </w:footnote>
  <w:footnote w:id="29">
    <w:p w14:paraId="3A0FB3D9" w14:textId="3443D980" w:rsidR="00562B5F" w:rsidRDefault="00562B5F">
      <w:pPr>
        <w:pStyle w:val="FootnoteText"/>
      </w:pPr>
      <w:r>
        <w:rPr>
          <w:rStyle w:val="FootnoteReference"/>
        </w:rPr>
        <w:footnoteRef/>
      </w:r>
      <w:r>
        <w:t xml:space="preserve"> Poly. 30.1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2BC"/>
    <w:rsid w:val="000013F5"/>
    <w:rsid w:val="00043693"/>
    <w:rsid w:val="00045AD3"/>
    <w:rsid w:val="00050922"/>
    <w:rsid w:val="00053705"/>
    <w:rsid w:val="00054570"/>
    <w:rsid w:val="00071E30"/>
    <w:rsid w:val="000A15E2"/>
    <w:rsid w:val="000A2B5F"/>
    <w:rsid w:val="000A2CB1"/>
    <w:rsid w:val="000A51AA"/>
    <w:rsid w:val="000B4153"/>
    <w:rsid w:val="000D4AF3"/>
    <w:rsid w:val="000E3B28"/>
    <w:rsid w:val="000F172A"/>
    <w:rsid w:val="000F1E8A"/>
    <w:rsid w:val="000F7CEE"/>
    <w:rsid w:val="00113225"/>
    <w:rsid w:val="0011381E"/>
    <w:rsid w:val="00120CD4"/>
    <w:rsid w:val="00132164"/>
    <w:rsid w:val="0015393C"/>
    <w:rsid w:val="001830EF"/>
    <w:rsid w:val="00186949"/>
    <w:rsid w:val="001C03E5"/>
    <w:rsid w:val="001D7605"/>
    <w:rsid w:val="001E600D"/>
    <w:rsid w:val="002224BA"/>
    <w:rsid w:val="00226F6D"/>
    <w:rsid w:val="002342FF"/>
    <w:rsid w:val="00276E0E"/>
    <w:rsid w:val="00277AAA"/>
    <w:rsid w:val="002A528D"/>
    <w:rsid w:val="002B145A"/>
    <w:rsid w:val="002B7111"/>
    <w:rsid w:val="002D6C0C"/>
    <w:rsid w:val="002E0CE0"/>
    <w:rsid w:val="002E4E26"/>
    <w:rsid w:val="002E5A0F"/>
    <w:rsid w:val="00305C5A"/>
    <w:rsid w:val="003145A7"/>
    <w:rsid w:val="00326E30"/>
    <w:rsid w:val="0036341E"/>
    <w:rsid w:val="00365A3D"/>
    <w:rsid w:val="0036667F"/>
    <w:rsid w:val="003723A0"/>
    <w:rsid w:val="003A46B9"/>
    <w:rsid w:val="003C0A33"/>
    <w:rsid w:val="003D1463"/>
    <w:rsid w:val="003E1261"/>
    <w:rsid w:val="003E6155"/>
    <w:rsid w:val="003F3E7F"/>
    <w:rsid w:val="003F61EF"/>
    <w:rsid w:val="00410046"/>
    <w:rsid w:val="0043060D"/>
    <w:rsid w:val="0043628A"/>
    <w:rsid w:val="00442203"/>
    <w:rsid w:val="00460DBB"/>
    <w:rsid w:val="00485809"/>
    <w:rsid w:val="004B52BC"/>
    <w:rsid w:val="004B7FE7"/>
    <w:rsid w:val="004D5C71"/>
    <w:rsid w:val="004F56A4"/>
    <w:rsid w:val="005031E9"/>
    <w:rsid w:val="005044EB"/>
    <w:rsid w:val="00544D9A"/>
    <w:rsid w:val="00562B5F"/>
    <w:rsid w:val="005723A5"/>
    <w:rsid w:val="00573A2F"/>
    <w:rsid w:val="00580663"/>
    <w:rsid w:val="0058389F"/>
    <w:rsid w:val="005B1B14"/>
    <w:rsid w:val="005B263D"/>
    <w:rsid w:val="005C2251"/>
    <w:rsid w:val="005D3CFA"/>
    <w:rsid w:val="005E3288"/>
    <w:rsid w:val="005E5621"/>
    <w:rsid w:val="005F1847"/>
    <w:rsid w:val="00624874"/>
    <w:rsid w:val="006276DB"/>
    <w:rsid w:val="00632E22"/>
    <w:rsid w:val="00636BCA"/>
    <w:rsid w:val="00641A52"/>
    <w:rsid w:val="00653D4C"/>
    <w:rsid w:val="00656C6D"/>
    <w:rsid w:val="0066313A"/>
    <w:rsid w:val="00686D07"/>
    <w:rsid w:val="00690DC0"/>
    <w:rsid w:val="006B68F7"/>
    <w:rsid w:val="006C09E6"/>
    <w:rsid w:val="00720E7B"/>
    <w:rsid w:val="00750B19"/>
    <w:rsid w:val="0076246E"/>
    <w:rsid w:val="007720F7"/>
    <w:rsid w:val="00772B74"/>
    <w:rsid w:val="00782548"/>
    <w:rsid w:val="007A3EFC"/>
    <w:rsid w:val="007B41AE"/>
    <w:rsid w:val="007C70C6"/>
    <w:rsid w:val="00810061"/>
    <w:rsid w:val="00821C5F"/>
    <w:rsid w:val="0083393E"/>
    <w:rsid w:val="00833E5B"/>
    <w:rsid w:val="00836FB6"/>
    <w:rsid w:val="00837657"/>
    <w:rsid w:val="00846B10"/>
    <w:rsid w:val="00864B30"/>
    <w:rsid w:val="008B4CB0"/>
    <w:rsid w:val="008B55F0"/>
    <w:rsid w:val="008E4722"/>
    <w:rsid w:val="008F1613"/>
    <w:rsid w:val="00902149"/>
    <w:rsid w:val="0091232F"/>
    <w:rsid w:val="009159D0"/>
    <w:rsid w:val="0094252C"/>
    <w:rsid w:val="0094415E"/>
    <w:rsid w:val="00960F4E"/>
    <w:rsid w:val="009729B5"/>
    <w:rsid w:val="009777AD"/>
    <w:rsid w:val="00990683"/>
    <w:rsid w:val="00990F7C"/>
    <w:rsid w:val="009B27E7"/>
    <w:rsid w:val="00A32211"/>
    <w:rsid w:val="00A55F37"/>
    <w:rsid w:val="00A70387"/>
    <w:rsid w:val="00A80067"/>
    <w:rsid w:val="00A96FD2"/>
    <w:rsid w:val="00AB53FD"/>
    <w:rsid w:val="00AF7740"/>
    <w:rsid w:val="00B06F51"/>
    <w:rsid w:val="00B106D4"/>
    <w:rsid w:val="00B325B7"/>
    <w:rsid w:val="00B379D4"/>
    <w:rsid w:val="00B47394"/>
    <w:rsid w:val="00B565B0"/>
    <w:rsid w:val="00B72E1A"/>
    <w:rsid w:val="00B77089"/>
    <w:rsid w:val="00B77B28"/>
    <w:rsid w:val="00B80A2C"/>
    <w:rsid w:val="00B80A9B"/>
    <w:rsid w:val="00BB2EDD"/>
    <w:rsid w:val="00BC00FD"/>
    <w:rsid w:val="00BC3614"/>
    <w:rsid w:val="00BC568D"/>
    <w:rsid w:val="00BC7031"/>
    <w:rsid w:val="00BE782A"/>
    <w:rsid w:val="00BF37A1"/>
    <w:rsid w:val="00C030B1"/>
    <w:rsid w:val="00C1286C"/>
    <w:rsid w:val="00C25D51"/>
    <w:rsid w:val="00C27724"/>
    <w:rsid w:val="00C301E1"/>
    <w:rsid w:val="00C438B3"/>
    <w:rsid w:val="00C805D8"/>
    <w:rsid w:val="00CB28B0"/>
    <w:rsid w:val="00CB5E2A"/>
    <w:rsid w:val="00D32697"/>
    <w:rsid w:val="00D64480"/>
    <w:rsid w:val="00D83BB3"/>
    <w:rsid w:val="00D84461"/>
    <w:rsid w:val="00D84E20"/>
    <w:rsid w:val="00D857F8"/>
    <w:rsid w:val="00D94DC1"/>
    <w:rsid w:val="00D97E58"/>
    <w:rsid w:val="00DB6F9C"/>
    <w:rsid w:val="00DE6ECB"/>
    <w:rsid w:val="00DF4CB9"/>
    <w:rsid w:val="00E0243D"/>
    <w:rsid w:val="00E0328E"/>
    <w:rsid w:val="00E47399"/>
    <w:rsid w:val="00E47C96"/>
    <w:rsid w:val="00E5249C"/>
    <w:rsid w:val="00E729F9"/>
    <w:rsid w:val="00E84BF5"/>
    <w:rsid w:val="00E96317"/>
    <w:rsid w:val="00EA5334"/>
    <w:rsid w:val="00EB5122"/>
    <w:rsid w:val="00ED0A99"/>
    <w:rsid w:val="00EE1BAC"/>
    <w:rsid w:val="00EE1EF1"/>
    <w:rsid w:val="00EE21C7"/>
    <w:rsid w:val="00EE6ED2"/>
    <w:rsid w:val="00EF2529"/>
    <w:rsid w:val="00EF6AB6"/>
    <w:rsid w:val="00F43831"/>
    <w:rsid w:val="00F60C87"/>
    <w:rsid w:val="00F67026"/>
    <w:rsid w:val="00F80356"/>
    <w:rsid w:val="00F83F9E"/>
    <w:rsid w:val="00F973BF"/>
    <w:rsid w:val="00FA47E0"/>
    <w:rsid w:val="00FB0B6F"/>
    <w:rsid w:val="00FC564D"/>
    <w:rsid w:val="00FD6D26"/>
    <w:rsid w:val="00FF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2B9BE"/>
  <w15:chartTrackingRefBased/>
  <w15:docId w15:val="{FF53FD1D-FB8B-47EC-8578-953A0AEF6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33E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78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82A"/>
    <w:rPr>
      <w:rFonts w:ascii="Segoe UI" w:hAnsi="Segoe UI" w:cs="Segoe UI"/>
      <w:sz w:val="18"/>
      <w:szCs w:val="18"/>
    </w:rPr>
  </w:style>
  <w:style w:type="paragraph" w:styleId="FootnoteText">
    <w:name w:val="footnote text"/>
    <w:basedOn w:val="Normal"/>
    <w:link w:val="FootnoteTextChar"/>
    <w:uiPriority w:val="99"/>
    <w:semiHidden/>
    <w:unhideWhenUsed/>
    <w:rsid w:val="001321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164"/>
    <w:rPr>
      <w:sz w:val="20"/>
      <w:szCs w:val="20"/>
    </w:rPr>
  </w:style>
  <w:style w:type="character" w:styleId="FootnoteReference">
    <w:name w:val="footnote reference"/>
    <w:basedOn w:val="DefaultParagraphFont"/>
    <w:uiPriority w:val="99"/>
    <w:semiHidden/>
    <w:unhideWhenUsed/>
    <w:rsid w:val="00132164"/>
    <w:rPr>
      <w:vertAlign w:val="superscript"/>
    </w:rPr>
  </w:style>
  <w:style w:type="paragraph" w:styleId="Header">
    <w:name w:val="header"/>
    <w:basedOn w:val="Normal"/>
    <w:link w:val="HeaderChar"/>
    <w:uiPriority w:val="99"/>
    <w:unhideWhenUsed/>
    <w:rsid w:val="00FB0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B6F"/>
  </w:style>
  <w:style w:type="paragraph" w:styleId="Footer">
    <w:name w:val="footer"/>
    <w:basedOn w:val="Normal"/>
    <w:link w:val="FooterChar"/>
    <w:uiPriority w:val="99"/>
    <w:unhideWhenUsed/>
    <w:rsid w:val="00FB0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B6F"/>
  </w:style>
  <w:style w:type="character" w:styleId="CommentReference">
    <w:name w:val="annotation reference"/>
    <w:basedOn w:val="DefaultParagraphFont"/>
    <w:uiPriority w:val="99"/>
    <w:semiHidden/>
    <w:unhideWhenUsed/>
    <w:rsid w:val="009159D0"/>
    <w:rPr>
      <w:sz w:val="16"/>
      <w:szCs w:val="16"/>
    </w:rPr>
  </w:style>
  <w:style w:type="paragraph" w:styleId="CommentText">
    <w:name w:val="annotation text"/>
    <w:basedOn w:val="Normal"/>
    <w:link w:val="CommentTextChar"/>
    <w:uiPriority w:val="99"/>
    <w:semiHidden/>
    <w:unhideWhenUsed/>
    <w:rsid w:val="009159D0"/>
    <w:pPr>
      <w:spacing w:line="240" w:lineRule="auto"/>
    </w:pPr>
    <w:rPr>
      <w:sz w:val="20"/>
      <w:szCs w:val="20"/>
    </w:rPr>
  </w:style>
  <w:style w:type="character" w:customStyle="1" w:styleId="CommentTextChar">
    <w:name w:val="Comment Text Char"/>
    <w:basedOn w:val="DefaultParagraphFont"/>
    <w:link w:val="CommentText"/>
    <w:uiPriority w:val="99"/>
    <w:semiHidden/>
    <w:rsid w:val="009159D0"/>
    <w:rPr>
      <w:sz w:val="20"/>
      <w:szCs w:val="20"/>
    </w:rPr>
  </w:style>
  <w:style w:type="paragraph" w:styleId="CommentSubject">
    <w:name w:val="annotation subject"/>
    <w:basedOn w:val="CommentText"/>
    <w:next w:val="CommentText"/>
    <w:link w:val="CommentSubjectChar"/>
    <w:uiPriority w:val="99"/>
    <w:semiHidden/>
    <w:unhideWhenUsed/>
    <w:rsid w:val="009159D0"/>
    <w:rPr>
      <w:b/>
      <w:bCs/>
    </w:rPr>
  </w:style>
  <w:style w:type="character" w:customStyle="1" w:styleId="CommentSubjectChar">
    <w:name w:val="Comment Subject Char"/>
    <w:basedOn w:val="CommentTextChar"/>
    <w:link w:val="CommentSubject"/>
    <w:uiPriority w:val="99"/>
    <w:semiHidden/>
    <w:rsid w:val="009159D0"/>
    <w:rPr>
      <w:b/>
      <w:bCs/>
      <w:sz w:val="20"/>
      <w:szCs w:val="20"/>
    </w:rPr>
  </w:style>
  <w:style w:type="paragraph" w:styleId="Revision">
    <w:name w:val="Revision"/>
    <w:hidden/>
    <w:uiPriority w:val="99"/>
    <w:semiHidden/>
    <w:rsid w:val="00053705"/>
    <w:pPr>
      <w:spacing w:after="0" w:line="240" w:lineRule="auto"/>
    </w:pPr>
  </w:style>
  <w:style w:type="character" w:customStyle="1" w:styleId="Heading1Char">
    <w:name w:val="Heading 1 Char"/>
    <w:basedOn w:val="DefaultParagraphFont"/>
    <w:link w:val="Heading1"/>
    <w:uiPriority w:val="9"/>
    <w:rsid w:val="00833E5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33E5B"/>
    <w:rPr>
      <w:color w:val="0000FF"/>
      <w:u w:val="single"/>
    </w:rPr>
  </w:style>
  <w:style w:type="character" w:customStyle="1" w:styleId="fn">
    <w:name w:val="fn"/>
    <w:basedOn w:val="DefaultParagraphFont"/>
    <w:rsid w:val="00833E5B"/>
  </w:style>
  <w:style w:type="paragraph" w:styleId="NoSpacing">
    <w:name w:val="No Spacing"/>
    <w:uiPriority w:val="1"/>
    <w:qFormat/>
    <w:rsid w:val="00B06F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8243">
      <w:bodyDiv w:val="1"/>
      <w:marLeft w:val="0"/>
      <w:marRight w:val="0"/>
      <w:marTop w:val="0"/>
      <w:marBottom w:val="0"/>
      <w:divBdr>
        <w:top w:val="none" w:sz="0" w:space="0" w:color="auto"/>
        <w:left w:val="none" w:sz="0" w:space="0" w:color="auto"/>
        <w:bottom w:val="none" w:sz="0" w:space="0" w:color="auto"/>
        <w:right w:val="none" w:sz="0" w:space="0" w:color="auto"/>
      </w:divBdr>
    </w:div>
    <w:div w:id="195239670">
      <w:bodyDiv w:val="1"/>
      <w:marLeft w:val="0"/>
      <w:marRight w:val="0"/>
      <w:marTop w:val="0"/>
      <w:marBottom w:val="0"/>
      <w:divBdr>
        <w:top w:val="none" w:sz="0" w:space="0" w:color="auto"/>
        <w:left w:val="none" w:sz="0" w:space="0" w:color="auto"/>
        <w:bottom w:val="none" w:sz="0" w:space="0" w:color="auto"/>
        <w:right w:val="none" w:sz="0" w:space="0" w:color="auto"/>
      </w:divBdr>
    </w:div>
    <w:div w:id="530188082">
      <w:bodyDiv w:val="1"/>
      <w:marLeft w:val="0"/>
      <w:marRight w:val="0"/>
      <w:marTop w:val="0"/>
      <w:marBottom w:val="0"/>
      <w:divBdr>
        <w:top w:val="none" w:sz="0" w:space="0" w:color="auto"/>
        <w:left w:val="none" w:sz="0" w:space="0" w:color="auto"/>
        <w:bottom w:val="none" w:sz="0" w:space="0" w:color="auto"/>
        <w:right w:val="none" w:sz="0" w:space="0" w:color="auto"/>
      </w:divBdr>
    </w:div>
    <w:div w:id="991561988">
      <w:bodyDiv w:val="1"/>
      <w:marLeft w:val="0"/>
      <w:marRight w:val="0"/>
      <w:marTop w:val="0"/>
      <w:marBottom w:val="0"/>
      <w:divBdr>
        <w:top w:val="none" w:sz="0" w:space="0" w:color="auto"/>
        <w:left w:val="none" w:sz="0" w:space="0" w:color="auto"/>
        <w:bottom w:val="none" w:sz="0" w:space="0" w:color="auto"/>
        <w:right w:val="none" w:sz="0" w:space="0" w:color="auto"/>
      </w:divBdr>
    </w:div>
    <w:div w:id="1220870804">
      <w:bodyDiv w:val="1"/>
      <w:marLeft w:val="0"/>
      <w:marRight w:val="0"/>
      <w:marTop w:val="0"/>
      <w:marBottom w:val="0"/>
      <w:divBdr>
        <w:top w:val="none" w:sz="0" w:space="0" w:color="auto"/>
        <w:left w:val="none" w:sz="0" w:space="0" w:color="auto"/>
        <w:bottom w:val="none" w:sz="0" w:space="0" w:color="auto"/>
        <w:right w:val="none" w:sz="0" w:space="0" w:color="auto"/>
      </w:divBdr>
      <w:divsChild>
        <w:div w:id="97407438">
          <w:marLeft w:val="0"/>
          <w:marRight w:val="0"/>
          <w:marTop w:val="0"/>
          <w:marBottom w:val="0"/>
          <w:divBdr>
            <w:top w:val="none" w:sz="0" w:space="0" w:color="auto"/>
            <w:left w:val="none" w:sz="0" w:space="0" w:color="auto"/>
            <w:bottom w:val="none" w:sz="0" w:space="0" w:color="auto"/>
            <w:right w:val="none" w:sz="0" w:space="0" w:color="auto"/>
          </w:divBdr>
          <w:divsChild>
            <w:div w:id="1833596656">
              <w:marLeft w:val="0"/>
              <w:marRight w:val="0"/>
              <w:marTop w:val="0"/>
              <w:marBottom w:val="0"/>
              <w:divBdr>
                <w:top w:val="none" w:sz="0" w:space="0" w:color="auto"/>
                <w:left w:val="none" w:sz="0" w:space="0" w:color="auto"/>
                <w:bottom w:val="none" w:sz="0" w:space="0" w:color="auto"/>
                <w:right w:val="none" w:sz="0" w:space="0" w:color="auto"/>
              </w:divBdr>
              <w:divsChild>
                <w:div w:id="32393194">
                  <w:marLeft w:val="0"/>
                  <w:marRight w:val="0"/>
                  <w:marTop w:val="630"/>
                  <w:marBottom w:val="0"/>
                  <w:divBdr>
                    <w:top w:val="none" w:sz="0" w:space="0" w:color="auto"/>
                    <w:left w:val="none" w:sz="0" w:space="0" w:color="auto"/>
                    <w:bottom w:val="none" w:sz="0" w:space="0" w:color="auto"/>
                    <w:right w:val="none" w:sz="0" w:space="0" w:color="auto"/>
                  </w:divBdr>
                  <w:divsChild>
                    <w:div w:id="654720411">
                      <w:marLeft w:val="0"/>
                      <w:marRight w:val="0"/>
                      <w:marTop w:val="0"/>
                      <w:marBottom w:val="0"/>
                      <w:divBdr>
                        <w:top w:val="none" w:sz="0" w:space="0" w:color="auto"/>
                        <w:left w:val="none" w:sz="0" w:space="0" w:color="auto"/>
                        <w:bottom w:val="none" w:sz="0" w:space="0" w:color="auto"/>
                        <w:right w:val="none" w:sz="0" w:space="0" w:color="auto"/>
                      </w:divBdr>
                      <w:divsChild>
                        <w:div w:id="351029564">
                          <w:marLeft w:val="-312"/>
                          <w:marRight w:val="0"/>
                          <w:marTop w:val="0"/>
                          <w:marBottom w:val="0"/>
                          <w:divBdr>
                            <w:top w:val="none" w:sz="0" w:space="0" w:color="auto"/>
                            <w:left w:val="none" w:sz="0" w:space="0" w:color="auto"/>
                            <w:bottom w:val="none" w:sz="0" w:space="0" w:color="auto"/>
                            <w:right w:val="none" w:sz="0" w:space="0" w:color="auto"/>
                          </w:divBdr>
                          <w:divsChild>
                            <w:div w:id="768500029">
                              <w:marLeft w:val="0"/>
                              <w:marRight w:val="0"/>
                              <w:marTop w:val="0"/>
                              <w:marBottom w:val="0"/>
                              <w:divBdr>
                                <w:top w:val="none" w:sz="0" w:space="0" w:color="auto"/>
                                <w:left w:val="none" w:sz="0" w:space="0" w:color="auto"/>
                                <w:bottom w:val="none" w:sz="0" w:space="0" w:color="auto"/>
                                <w:right w:val="none" w:sz="0" w:space="0" w:color="auto"/>
                              </w:divBdr>
                            </w:div>
                            <w:div w:id="454638818">
                              <w:marLeft w:val="0"/>
                              <w:marRight w:val="0"/>
                              <w:marTop w:val="0"/>
                              <w:marBottom w:val="0"/>
                              <w:divBdr>
                                <w:top w:val="none" w:sz="0" w:space="0" w:color="auto"/>
                                <w:left w:val="none" w:sz="0" w:space="0" w:color="auto"/>
                                <w:bottom w:val="none" w:sz="0" w:space="0" w:color="auto"/>
                                <w:right w:val="none" w:sz="0" w:space="0" w:color="auto"/>
                              </w:divBdr>
                              <w:divsChild>
                                <w:div w:id="363799071">
                                  <w:marLeft w:val="0"/>
                                  <w:marRight w:val="0"/>
                                  <w:marTop w:val="0"/>
                                  <w:marBottom w:val="0"/>
                                  <w:divBdr>
                                    <w:top w:val="none" w:sz="0" w:space="0" w:color="auto"/>
                                    <w:left w:val="none" w:sz="0" w:space="0" w:color="auto"/>
                                    <w:bottom w:val="none" w:sz="0" w:space="0" w:color="auto"/>
                                    <w:right w:val="none" w:sz="0" w:space="0" w:color="auto"/>
                                  </w:divBdr>
                                </w:div>
                              </w:divsChild>
                            </w:div>
                            <w:div w:id="1272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918716">
          <w:marLeft w:val="0"/>
          <w:marRight w:val="0"/>
          <w:marTop w:val="0"/>
          <w:marBottom w:val="0"/>
          <w:divBdr>
            <w:top w:val="none" w:sz="0" w:space="0" w:color="auto"/>
            <w:left w:val="none" w:sz="0" w:space="0" w:color="auto"/>
            <w:bottom w:val="none" w:sz="0" w:space="0" w:color="auto"/>
            <w:right w:val="none" w:sz="0" w:space="0" w:color="auto"/>
          </w:divBdr>
          <w:divsChild>
            <w:div w:id="1052734676">
              <w:marLeft w:val="0"/>
              <w:marRight w:val="0"/>
              <w:marTop w:val="0"/>
              <w:marBottom w:val="0"/>
              <w:divBdr>
                <w:top w:val="none" w:sz="0" w:space="0" w:color="auto"/>
                <w:left w:val="none" w:sz="0" w:space="0" w:color="auto"/>
                <w:bottom w:val="none" w:sz="0" w:space="0" w:color="auto"/>
                <w:right w:val="none" w:sz="0" w:space="0" w:color="auto"/>
              </w:divBdr>
              <w:divsChild>
                <w:div w:id="1094203671">
                  <w:marLeft w:val="0"/>
                  <w:marRight w:val="0"/>
                  <w:marTop w:val="0"/>
                  <w:marBottom w:val="0"/>
                  <w:divBdr>
                    <w:top w:val="none" w:sz="0" w:space="0" w:color="auto"/>
                    <w:left w:val="none" w:sz="0" w:space="0" w:color="auto"/>
                    <w:bottom w:val="none" w:sz="0" w:space="0" w:color="auto"/>
                    <w:right w:val="none" w:sz="0" w:space="0" w:color="auto"/>
                  </w:divBdr>
                  <w:divsChild>
                    <w:div w:id="1434742139">
                      <w:marLeft w:val="0"/>
                      <w:marRight w:val="0"/>
                      <w:marTop w:val="0"/>
                      <w:marBottom w:val="0"/>
                      <w:divBdr>
                        <w:top w:val="none" w:sz="0" w:space="0" w:color="auto"/>
                        <w:left w:val="none" w:sz="0" w:space="0" w:color="auto"/>
                        <w:bottom w:val="none" w:sz="0" w:space="0" w:color="auto"/>
                        <w:right w:val="none" w:sz="0" w:space="0" w:color="auto"/>
                      </w:divBdr>
                      <w:divsChild>
                        <w:div w:id="20209206">
                          <w:marLeft w:val="0"/>
                          <w:marRight w:val="0"/>
                          <w:marTop w:val="0"/>
                          <w:marBottom w:val="0"/>
                          <w:divBdr>
                            <w:top w:val="none" w:sz="0" w:space="0" w:color="auto"/>
                            <w:left w:val="none" w:sz="0" w:space="0" w:color="auto"/>
                            <w:bottom w:val="none" w:sz="0" w:space="0" w:color="auto"/>
                            <w:right w:val="none" w:sz="0" w:space="0" w:color="auto"/>
                          </w:divBdr>
                          <w:divsChild>
                            <w:div w:id="20483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7BFF5D-6043-44F7-8C15-10AD0EC4C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3816</TotalTime>
  <Pages>11</Pages>
  <Words>3011</Words>
  <Characters>15445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Raybould</dc:creator>
  <cp:keywords/>
  <dc:description/>
  <cp:lastModifiedBy>Liam Raybould</cp:lastModifiedBy>
  <cp:revision>33</cp:revision>
  <dcterms:created xsi:type="dcterms:W3CDTF">2018-02-28T16:40:00Z</dcterms:created>
  <dcterms:modified xsi:type="dcterms:W3CDTF">2018-04-25T22:00:00Z</dcterms:modified>
</cp:coreProperties>
</file>