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46AA96" w14:textId="77777777" w:rsidR="00C97D77" w:rsidRDefault="00C97D77" w:rsidP="00C97D77">
      <w:pPr>
        <w:jc w:val="center"/>
        <w:rPr>
          <w:rFonts w:eastAsia="Times New Roman" w:cs="Times New Roman"/>
          <w:b/>
          <w:bCs/>
          <w:color w:val="000000"/>
          <w:szCs w:val="24"/>
          <w:lang w:val="en-IN" w:eastAsia="en-IN"/>
        </w:rPr>
      </w:pPr>
    </w:p>
    <w:p w14:paraId="6F0B3054" w14:textId="77777777" w:rsidR="00C97D77" w:rsidRDefault="00C97D77" w:rsidP="00C97D77">
      <w:pPr>
        <w:jc w:val="center"/>
        <w:rPr>
          <w:rFonts w:eastAsia="Times New Roman" w:cs="Times New Roman"/>
          <w:b/>
          <w:bCs/>
          <w:color w:val="000000"/>
          <w:szCs w:val="24"/>
          <w:lang w:val="en-IN" w:eastAsia="en-IN"/>
        </w:rPr>
      </w:pPr>
    </w:p>
    <w:p w14:paraId="1B49FFAD" w14:textId="77777777" w:rsidR="00C97D77" w:rsidRDefault="00B14CE7" w:rsidP="00C97D77">
      <w:pPr>
        <w:jc w:val="center"/>
        <w:rPr>
          <w:rFonts w:eastAsia="Times New Roman" w:cs="Times New Roman"/>
          <w:b/>
          <w:bCs/>
          <w:color w:val="000000"/>
          <w:szCs w:val="24"/>
          <w:lang w:val="en-IN" w:eastAsia="en-IN"/>
        </w:rPr>
      </w:pPr>
      <w:r>
        <w:rPr>
          <w:noProof/>
          <w14:ligatures w14:val="standardContextual"/>
        </w:rPr>
        <w:drawing>
          <wp:inline distT="0" distB="0" distL="0" distR="0" wp14:anchorId="5697D64B" wp14:editId="1A04E379">
            <wp:extent cx="2114550" cy="809625"/>
            <wp:effectExtent l="0" t="0" r="0" b="9525"/>
            <wp:docPr id="146466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66299" name=""/>
                    <pic:cNvPicPr/>
                  </pic:nvPicPr>
                  <pic:blipFill>
                    <a:blip r:embed="rId7"/>
                    <a:stretch>
                      <a:fillRect/>
                    </a:stretch>
                  </pic:blipFill>
                  <pic:spPr>
                    <a:xfrm>
                      <a:off x="0" y="0"/>
                      <a:ext cx="2114550" cy="809625"/>
                    </a:xfrm>
                    <a:prstGeom prst="rect">
                      <a:avLst/>
                    </a:prstGeom>
                  </pic:spPr>
                </pic:pic>
              </a:graphicData>
            </a:graphic>
          </wp:inline>
        </w:drawing>
      </w:r>
    </w:p>
    <w:p w14:paraId="00E25EC0" w14:textId="77777777" w:rsidR="00C97D77" w:rsidRDefault="00C97D77" w:rsidP="00C97D77">
      <w:pPr>
        <w:jc w:val="center"/>
        <w:rPr>
          <w:rFonts w:eastAsia="Times New Roman" w:cs="Times New Roman"/>
          <w:b/>
          <w:bCs/>
          <w:color w:val="000000"/>
          <w:szCs w:val="24"/>
          <w:lang w:val="en-IN" w:eastAsia="en-IN"/>
        </w:rPr>
      </w:pPr>
    </w:p>
    <w:p w14:paraId="0759A97F" w14:textId="77777777" w:rsidR="00C97D77" w:rsidRDefault="00C97D77" w:rsidP="00C97D77">
      <w:pPr>
        <w:jc w:val="center"/>
        <w:rPr>
          <w:rFonts w:eastAsia="Times New Roman" w:cs="Times New Roman"/>
          <w:b/>
          <w:bCs/>
          <w:color w:val="000000"/>
          <w:szCs w:val="24"/>
          <w:lang w:val="en-IN" w:eastAsia="en-IN"/>
        </w:rPr>
      </w:pPr>
    </w:p>
    <w:p w14:paraId="15C81407" w14:textId="77777777" w:rsidR="00C97D77" w:rsidRDefault="00C97D77" w:rsidP="00C97D77">
      <w:pPr>
        <w:jc w:val="center"/>
        <w:rPr>
          <w:rFonts w:eastAsia="Times New Roman" w:cs="Times New Roman"/>
          <w:b/>
          <w:bCs/>
          <w:color w:val="000000"/>
          <w:szCs w:val="24"/>
          <w:lang w:val="en-IN" w:eastAsia="en-IN"/>
        </w:rPr>
      </w:pPr>
    </w:p>
    <w:p w14:paraId="37B519F0" w14:textId="77777777" w:rsidR="00FF2A3E" w:rsidRPr="001436FF" w:rsidRDefault="00B14CE7" w:rsidP="00C97D77">
      <w:pPr>
        <w:jc w:val="center"/>
        <w:rPr>
          <w:rFonts w:eastAsia="Times New Roman" w:cs="Times New Roman"/>
          <w:b/>
          <w:bCs/>
          <w:color w:val="000000"/>
          <w:sz w:val="48"/>
          <w:szCs w:val="48"/>
          <w:lang w:val="en-IN" w:eastAsia="en-IN"/>
        </w:rPr>
      </w:pPr>
      <w:r w:rsidRPr="001436FF">
        <w:rPr>
          <w:rFonts w:eastAsia="Times New Roman" w:cs="Times New Roman"/>
          <w:b/>
          <w:bCs/>
          <w:color w:val="000000"/>
          <w:sz w:val="48"/>
          <w:szCs w:val="48"/>
          <w:lang w:val="en-IN" w:eastAsia="en-IN"/>
        </w:rPr>
        <w:t>Module Title:</w:t>
      </w:r>
      <w:r w:rsidR="00C97D77" w:rsidRPr="001436FF">
        <w:rPr>
          <w:rFonts w:eastAsia="Times New Roman" w:cs="Times New Roman"/>
          <w:b/>
          <w:bCs/>
          <w:color w:val="000000"/>
          <w:sz w:val="48"/>
          <w:szCs w:val="48"/>
          <w:lang w:val="en-IN" w:eastAsia="en-IN"/>
        </w:rPr>
        <w:t xml:space="preserve"> </w:t>
      </w:r>
      <w:r w:rsidR="00C97D77" w:rsidRPr="001436FF">
        <w:rPr>
          <w:b/>
          <w:bCs/>
          <w:sz w:val="48"/>
          <w:szCs w:val="44"/>
          <w:lang w:val="en-IN" w:eastAsia="en-IN"/>
        </w:rPr>
        <w:t>Legal Process</w:t>
      </w:r>
    </w:p>
    <w:p w14:paraId="39B0CFA9" w14:textId="0842C0BE" w:rsidR="00FF2A3E" w:rsidRDefault="00B14CE7" w:rsidP="00C97D77">
      <w:pPr>
        <w:jc w:val="center"/>
        <w:rPr>
          <w:rFonts w:eastAsia="Times New Roman" w:cs="Times New Roman"/>
          <w:b/>
          <w:bCs/>
          <w:color w:val="000000"/>
          <w:sz w:val="48"/>
          <w:szCs w:val="48"/>
          <w:lang w:val="en-IN" w:eastAsia="en-IN"/>
        </w:rPr>
      </w:pPr>
      <w:r w:rsidRPr="001436FF">
        <w:rPr>
          <w:rFonts w:eastAsia="Times New Roman" w:cs="Times New Roman"/>
          <w:b/>
          <w:bCs/>
          <w:color w:val="000000"/>
          <w:sz w:val="48"/>
          <w:szCs w:val="48"/>
          <w:lang w:val="en-IN" w:eastAsia="en-IN"/>
        </w:rPr>
        <w:t>Assignment Title:</w:t>
      </w:r>
    </w:p>
    <w:p w14:paraId="1C693DC8" w14:textId="36B23A7C" w:rsidR="003B6905" w:rsidRPr="001436FF" w:rsidRDefault="00333EBA" w:rsidP="00C97D77">
      <w:pPr>
        <w:jc w:val="center"/>
        <w:rPr>
          <w:rFonts w:eastAsia="Times New Roman" w:cs="Times New Roman"/>
          <w:b/>
          <w:bCs/>
          <w:color w:val="000000"/>
          <w:sz w:val="48"/>
          <w:szCs w:val="48"/>
          <w:lang w:val="en-IN" w:eastAsia="en-IN"/>
        </w:rPr>
      </w:pPr>
      <w:r w:rsidRPr="00333EBA">
        <w:rPr>
          <w:rFonts w:eastAsia="Times New Roman" w:cs="Times New Roman"/>
          <w:b/>
          <w:bCs/>
          <w:color w:val="000000"/>
          <w:sz w:val="48"/>
          <w:szCs w:val="48"/>
          <w:lang w:val="en-IN" w:eastAsia="en-IN"/>
        </w:rPr>
        <w:t xml:space="preserve">Holding the </w:t>
      </w:r>
      <w:proofErr w:type="spellStart"/>
      <w:r w:rsidRPr="00333EBA">
        <w:rPr>
          <w:rFonts w:eastAsia="Times New Roman" w:cs="Times New Roman"/>
          <w:b/>
          <w:bCs/>
          <w:color w:val="000000"/>
          <w:sz w:val="48"/>
          <w:szCs w:val="48"/>
          <w:lang w:val="en-IN" w:eastAsia="en-IN"/>
        </w:rPr>
        <w:t>Uk</w:t>
      </w:r>
      <w:proofErr w:type="spellEnd"/>
      <w:r w:rsidRPr="00333EBA">
        <w:rPr>
          <w:rFonts w:eastAsia="Times New Roman" w:cs="Times New Roman"/>
          <w:b/>
          <w:bCs/>
          <w:color w:val="000000"/>
          <w:sz w:val="48"/>
          <w:szCs w:val="48"/>
          <w:lang w:val="en-IN" w:eastAsia="en-IN"/>
        </w:rPr>
        <w:t xml:space="preserve"> Government to account</w:t>
      </w:r>
    </w:p>
    <w:p w14:paraId="4F1B62DB" w14:textId="77777777" w:rsidR="00FF2A3E" w:rsidRPr="006D2B2C" w:rsidRDefault="00B14CE7" w:rsidP="00C97D77">
      <w:pPr>
        <w:jc w:val="center"/>
        <w:rPr>
          <w:rFonts w:eastAsia="Times New Roman" w:cs="Times New Roman"/>
          <w:color w:val="000000"/>
          <w:szCs w:val="24"/>
          <w:lang w:val="en-IN" w:eastAsia="en-IN"/>
        </w:rPr>
      </w:pPr>
      <w:r w:rsidRPr="006D2B2C">
        <w:rPr>
          <w:rFonts w:eastAsia="Times New Roman" w:cs="Times New Roman"/>
          <w:color w:val="000000"/>
          <w:szCs w:val="24"/>
          <w:lang w:val="en-IN" w:eastAsia="en-IN"/>
        </w:rPr>
        <w:t>Student Name:</w:t>
      </w:r>
      <w:r w:rsidR="00C97D77" w:rsidRPr="006D2B2C">
        <w:rPr>
          <w:rFonts w:eastAsia="Times New Roman" w:cs="Times New Roman"/>
          <w:color w:val="000000"/>
          <w:szCs w:val="24"/>
          <w:lang w:val="en-IN" w:eastAsia="en-IN"/>
        </w:rPr>
        <w:t xml:space="preserve"> </w:t>
      </w:r>
      <w:r w:rsidR="00C97D77" w:rsidRPr="006D2B2C">
        <w:t>Gabriel Calin Moldovan</w:t>
      </w:r>
    </w:p>
    <w:p w14:paraId="68AC4AF1" w14:textId="5BA3A5E3" w:rsidR="00C97D77" w:rsidRPr="006D2B2C" w:rsidRDefault="00B14CE7" w:rsidP="00C97D77">
      <w:pPr>
        <w:jc w:val="center"/>
        <w:rPr>
          <w:rFonts w:eastAsia="Times New Roman" w:cs="Times New Roman"/>
          <w:color w:val="000000"/>
          <w:szCs w:val="24"/>
          <w:lang w:val="en-IN" w:eastAsia="en-IN"/>
        </w:rPr>
      </w:pPr>
      <w:r w:rsidRPr="006D2B2C">
        <w:rPr>
          <w:rFonts w:eastAsia="Times New Roman" w:cs="Times New Roman"/>
          <w:color w:val="000000"/>
          <w:szCs w:val="24"/>
          <w:lang w:val="en-IN" w:eastAsia="en-IN"/>
        </w:rPr>
        <w:t xml:space="preserve">Student </w:t>
      </w:r>
      <w:r w:rsidR="00CB11AD" w:rsidRPr="006D2B2C">
        <w:rPr>
          <w:rFonts w:eastAsia="Times New Roman" w:cs="Times New Roman"/>
          <w:color w:val="000000"/>
          <w:szCs w:val="24"/>
          <w:lang w:val="en-IN" w:eastAsia="en-IN"/>
        </w:rPr>
        <w:t>ID</w:t>
      </w:r>
      <w:r w:rsidRPr="006D2B2C">
        <w:rPr>
          <w:rFonts w:eastAsia="Times New Roman" w:cs="Times New Roman"/>
          <w:color w:val="000000"/>
          <w:szCs w:val="24"/>
          <w:lang w:val="en-IN" w:eastAsia="en-IN"/>
        </w:rPr>
        <w:t>:</w:t>
      </w:r>
      <w:r w:rsidR="00D32520">
        <w:rPr>
          <w:rFonts w:eastAsia="Times New Roman" w:cs="Times New Roman"/>
          <w:color w:val="000000"/>
          <w:szCs w:val="24"/>
          <w:lang w:val="en-IN" w:eastAsia="en-IN"/>
        </w:rPr>
        <w:t xml:space="preserve"> 2314720</w:t>
      </w:r>
    </w:p>
    <w:p w14:paraId="34C3E228" w14:textId="77777777" w:rsidR="00C97D77" w:rsidRDefault="00B14CE7" w:rsidP="00C97D77">
      <w:pPr>
        <w:spacing w:after="160" w:line="259" w:lineRule="auto"/>
        <w:jc w:val="left"/>
        <w:rPr>
          <w:rFonts w:eastAsia="Times New Roman" w:cs="Times New Roman"/>
          <w:b/>
          <w:bCs/>
          <w:color w:val="000000"/>
          <w:szCs w:val="24"/>
          <w:lang w:val="en-IN" w:eastAsia="en-IN"/>
        </w:rPr>
      </w:pPr>
      <w:r>
        <w:rPr>
          <w:rFonts w:eastAsia="Times New Roman" w:cs="Times New Roman"/>
          <w:b/>
          <w:bCs/>
          <w:color w:val="000000"/>
          <w:szCs w:val="24"/>
          <w:lang w:val="en-IN" w:eastAsia="en-IN"/>
        </w:rPr>
        <w:br w:type="page"/>
      </w:r>
    </w:p>
    <w:p w14:paraId="59C7F3DE" w14:textId="77777777" w:rsidR="00A02027" w:rsidRPr="00A02027" w:rsidRDefault="00B14CE7" w:rsidP="00A02027">
      <w:pPr>
        <w:rPr>
          <w:rFonts w:eastAsia="Times New Roman" w:cs="Times New Roman"/>
          <w:szCs w:val="24"/>
          <w:lang w:val="en-IN" w:eastAsia="en-IN"/>
        </w:rPr>
      </w:pPr>
      <w:r w:rsidRPr="00A02027">
        <w:rPr>
          <w:rFonts w:eastAsia="Times New Roman" w:cs="Times New Roman"/>
          <w:b/>
          <w:bCs/>
          <w:color w:val="000000"/>
          <w:szCs w:val="24"/>
          <w:lang w:val="en-IN" w:eastAsia="en-IN"/>
        </w:rPr>
        <w:lastRenderedPageBreak/>
        <w:t>Introduction </w:t>
      </w:r>
    </w:p>
    <w:p w14:paraId="66E37598" w14:textId="77777777" w:rsidR="00A02027" w:rsidRPr="00A02027" w:rsidRDefault="00B14CE7" w:rsidP="00A02027">
      <w:pPr>
        <w:rPr>
          <w:rFonts w:eastAsia="Times New Roman" w:cs="Times New Roman"/>
          <w:szCs w:val="24"/>
          <w:lang w:val="en-IN" w:eastAsia="en-IN"/>
        </w:rPr>
      </w:pPr>
      <w:r w:rsidRPr="00A02027">
        <w:rPr>
          <w:rFonts w:eastAsia="Times New Roman" w:cs="Times New Roman"/>
          <w:color w:val="000000"/>
          <w:szCs w:val="24"/>
          <w:lang w:val="en-IN" w:eastAsia="en-IN"/>
        </w:rPr>
        <w:t xml:space="preserve">Scrutiny ensures the processes in government are clear and accessible to the public so that the public can easily influence and improve the services they get. In this context, the following essay will discuss the definition, role and responsibilities of </w:t>
      </w:r>
      <w:r w:rsidRPr="00A02027">
        <w:rPr>
          <w:rFonts w:eastAsia="Times New Roman" w:cs="Times New Roman"/>
          <w:color w:val="000000"/>
          <w:szCs w:val="24"/>
          <w:shd w:val="clear" w:color="auto" w:fill="FFFFFF"/>
          <w:lang w:val="en-IN" w:eastAsia="en-IN"/>
        </w:rPr>
        <w:t>UK executives. The essay will provide a brief description of the separation of powers theory along with its implication of the process of holding the UK executive to account. In addition to that, the way the executives are held to account will also be discussed in the essay. Besides that, the essay will deliver the advantages and disadvantages of the ways in which the executives are held to account. Further, some reform suggestions will be illustrated in the essay to ensure better development of the nation.</w:t>
      </w:r>
    </w:p>
    <w:p w14:paraId="3F234247" w14:textId="77777777" w:rsidR="000D32BA" w:rsidRDefault="00B14CE7">
      <w:pPr>
        <w:spacing w:after="160" w:line="259" w:lineRule="auto"/>
        <w:jc w:val="left"/>
        <w:rPr>
          <w:rFonts w:eastAsia="Times New Roman" w:cs="Times New Roman"/>
          <w:b/>
          <w:bCs/>
          <w:color w:val="000000"/>
          <w:szCs w:val="24"/>
          <w:lang w:val="en-IN" w:eastAsia="en-IN"/>
        </w:rPr>
      </w:pPr>
      <w:r>
        <w:rPr>
          <w:rFonts w:eastAsia="Times New Roman" w:cs="Times New Roman"/>
          <w:b/>
          <w:bCs/>
          <w:color w:val="000000"/>
          <w:szCs w:val="24"/>
          <w:lang w:val="en-IN" w:eastAsia="en-IN"/>
        </w:rPr>
        <w:br w:type="page"/>
      </w:r>
    </w:p>
    <w:p w14:paraId="46B27383" w14:textId="4E8A9B2D" w:rsidR="00CB11AD" w:rsidRPr="00CB11AD" w:rsidRDefault="00B14CE7" w:rsidP="00A02027">
      <w:pPr>
        <w:rPr>
          <w:rFonts w:eastAsia="Times New Roman" w:cs="Times New Roman"/>
          <w:szCs w:val="24"/>
          <w:lang w:val="en-IN" w:eastAsia="en-IN"/>
        </w:rPr>
      </w:pPr>
      <w:r w:rsidRPr="00A02027">
        <w:rPr>
          <w:rFonts w:eastAsia="Times New Roman" w:cs="Times New Roman"/>
          <w:b/>
          <w:bCs/>
          <w:color w:val="000000"/>
          <w:szCs w:val="24"/>
          <w:lang w:val="en-IN" w:eastAsia="en-IN"/>
        </w:rPr>
        <w:lastRenderedPageBreak/>
        <w:t>Discussion</w:t>
      </w:r>
    </w:p>
    <w:p w14:paraId="47063AA3" w14:textId="77777777" w:rsidR="00CB11AD" w:rsidRPr="00CB11AD" w:rsidRDefault="00B14CE7" w:rsidP="00CB11AD">
      <w:pPr>
        <w:rPr>
          <w:rFonts w:eastAsia="Times New Roman" w:cs="Times New Roman"/>
          <w:szCs w:val="24"/>
          <w:lang w:val="en-US" w:eastAsia="en-US"/>
        </w:rPr>
      </w:pPr>
      <w:r w:rsidRPr="00CB11AD">
        <w:rPr>
          <w:rFonts w:eastAsia="Times New Roman" w:cs="Times New Roman"/>
          <w:color w:val="000000"/>
          <w:szCs w:val="24"/>
          <w:lang w:val="en-US" w:eastAsia="en-US"/>
        </w:rPr>
        <w:t xml:space="preserve">The executive term specifically refers to the governments especially those responsible for making key decisions for the country alongside running it on a daily basis. Within the government system of the UK, the parties with the most seats within the House of Commons are generally identified as suitable candidates for forming a government. The UK government typically includes a prime minister, junior ministers and cabinet ministers </w:t>
      </w:r>
      <w:sdt>
        <w:sdtPr>
          <w:rPr>
            <w:rFonts w:eastAsia="Times New Roman" w:cs="Times New Roman"/>
            <w:color w:val="000000"/>
            <w:szCs w:val="24"/>
            <w:lang w:val="en-US" w:eastAsia="en-US"/>
          </w:rPr>
          <w:id w:val="1811822875"/>
          <w:citation/>
        </w:sdtPr>
        <w:sdtContent>
          <w:r w:rsidRPr="00CB11AD">
            <w:rPr>
              <w:rFonts w:eastAsia="Times New Roman" w:cs="Times New Roman"/>
              <w:color w:val="000000"/>
              <w:szCs w:val="24"/>
              <w:lang w:val="en-US" w:eastAsia="en-US"/>
            </w:rPr>
            <w:fldChar w:fldCharType="begin"/>
          </w:r>
          <w:r w:rsidRPr="00CB11AD">
            <w:rPr>
              <w:rFonts w:eastAsia="Times New Roman" w:cs="Times New Roman"/>
              <w:color w:val="000000"/>
              <w:szCs w:val="24"/>
              <w:lang w:val="en-US" w:eastAsia="en-US"/>
            </w:rPr>
            <w:instrText xml:space="preserve"> CITATION CON24 \l 1033 </w:instrText>
          </w:r>
          <w:r w:rsidRPr="00CB11AD">
            <w:rPr>
              <w:rFonts w:eastAsia="Times New Roman" w:cs="Times New Roman"/>
              <w:color w:val="000000"/>
              <w:szCs w:val="24"/>
              <w:lang w:val="en-US" w:eastAsia="en-US"/>
            </w:rPr>
            <w:fldChar w:fldCharType="separate"/>
          </w:r>
          <w:r w:rsidRPr="00CB11AD">
            <w:rPr>
              <w:rFonts w:eastAsia="Times New Roman" w:cs="Times New Roman"/>
              <w:noProof/>
              <w:color w:val="000000"/>
              <w:szCs w:val="24"/>
              <w:lang w:val="en-US" w:eastAsia="en-US"/>
            </w:rPr>
            <w:t>(CONSOC, 2024)</w:t>
          </w:r>
          <w:r w:rsidRPr="00CB11AD">
            <w:rPr>
              <w:rFonts w:eastAsia="Times New Roman" w:cs="Times New Roman"/>
              <w:color w:val="000000"/>
              <w:szCs w:val="24"/>
              <w:lang w:val="en-US" w:eastAsia="en-US"/>
            </w:rPr>
            <w:fldChar w:fldCharType="end"/>
          </w:r>
        </w:sdtContent>
      </w:sdt>
      <w:r w:rsidRPr="00CB11AD">
        <w:rPr>
          <w:rFonts w:eastAsia="Times New Roman" w:cs="Times New Roman"/>
          <w:color w:val="000000"/>
          <w:szCs w:val="24"/>
          <w:lang w:val="en-US" w:eastAsia="en-US"/>
        </w:rPr>
        <w:t xml:space="preserve">. These individuals are generally selected from the ones that usually sit in parliament more specifically for the winning party. As per the current scenario, Rishi Sunak was elected as the prime minister of the UK on 25th October 2022 and was responsible for selecting the other cabinet ministers. The prime ministers generally act as the leader of the government party. The individuals appointed by the prime minister of the UK include the Chancellor of the Exchequer, responsible for managing and forming economic policies, Home Secretary, Foreign Secretary and more </w:t>
      </w:r>
      <w:sdt>
        <w:sdtPr>
          <w:rPr>
            <w:rFonts w:eastAsia="Times New Roman" w:cs="Times New Roman"/>
            <w:color w:val="000000"/>
            <w:szCs w:val="24"/>
            <w:lang w:val="en-US" w:eastAsia="en-US"/>
          </w:rPr>
          <w:id w:val="-1868665507"/>
          <w:citation/>
        </w:sdtPr>
        <w:sdtContent>
          <w:r w:rsidRPr="00CB11AD">
            <w:rPr>
              <w:rFonts w:eastAsia="Times New Roman" w:cs="Times New Roman"/>
              <w:color w:val="000000"/>
              <w:szCs w:val="24"/>
              <w:lang w:val="en-US" w:eastAsia="en-US"/>
            </w:rPr>
            <w:fldChar w:fldCharType="begin"/>
          </w:r>
          <w:r w:rsidRPr="00CB11AD">
            <w:rPr>
              <w:rFonts w:eastAsia="Times New Roman" w:cs="Times New Roman"/>
              <w:color w:val="000000"/>
              <w:szCs w:val="24"/>
              <w:lang w:val="en-US" w:eastAsia="en-US"/>
            </w:rPr>
            <w:instrText xml:space="preserve"> CITATION Lex24 \l 1033 </w:instrText>
          </w:r>
          <w:r w:rsidRPr="00CB11AD">
            <w:rPr>
              <w:rFonts w:eastAsia="Times New Roman" w:cs="Times New Roman"/>
              <w:color w:val="000000"/>
              <w:szCs w:val="24"/>
              <w:lang w:val="en-US" w:eastAsia="en-US"/>
            </w:rPr>
            <w:fldChar w:fldCharType="separate"/>
          </w:r>
          <w:r w:rsidRPr="00CB11AD">
            <w:rPr>
              <w:rFonts w:eastAsia="Times New Roman" w:cs="Times New Roman"/>
              <w:noProof/>
              <w:color w:val="000000"/>
              <w:szCs w:val="24"/>
              <w:lang w:val="en-US" w:eastAsia="en-US"/>
            </w:rPr>
            <w:t>(LexisNexis, 2024)</w:t>
          </w:r>
          <w:r w:rsidRPr="00CB11AD">
            <w:rPr>
              <w:rFonts w:eastAsia="Times New Roman" w:cs="Times New Roman"/>
              <w:color w:val="000000"/>
              <w:szCs w:val="24"/>
              <w:lang w:val="en-US" w:eastAsia="en-US"/>
            </w:rPr>
            <w:fldChar w:fldCharType="end"/>
          </w:r>
        </w:sdtContent>
      </w:sdt>
      <w:r w:rsidRPr="00CB11AD">
        <w:rPr>
          <w:rFonts w:eastAsia="Times New Roman" w:cs="Times New Roman"/>
          <w:color w:val="000000"/>
          <w:szCs w:val="24"/>
          <w:lang w:val="en-US" w:eastAsia="en-US"/>
        </w:rPr>
        <w:t xml:space="preserve">. The UK executives have to play various kinds of roles and responsibilities within the UK parliamentary system. They usually hold a significant amount of power and are responsible for introducing most of the legislation within the UK. The overall time and agenda of the House of Commons has been controlled by the UK executives. The annual budget also has been set by the UK executives as a part of the UK government alongside planned expenditure on a yearly basis. Various policy decisions regarding health, education and transport also have been taken by the UK executives. The delegated or secondary legislation has helped in carrying out these policies. The power for the development of policies has been granted to the minister or other executive bodies by the Acts of Parliament. This has reduced the need to have a complete process of passing a new statute. The powers of the delegative executives within the UK can be wide while the powers of the ministers cannot go beyond the primary legislation </w:t>
      </w:r>
      <w:sdt>
        <w:sdtPr>
          <w:rPr>
            <w:rFonts w:eastAsia="Times New Roman" w:cs="Times New Roman"/>
            <w:color w:val="000000"/>
            <w:szCs w:val="24"/>
            <w:lang w:val="en-US" w:eastAsia="en-US"/>
          </w:rPr>
          <w:id w:val="-1987465094"/>
          <w:citation/>
        </w:sdtPr>
        <w:sdtContent>
          <w:r w:rsidRPr="00CB11AD">
            <w:rPr>
              <w:rFonts w:eastAsia="Times New Roman" w:cs="Times New Roman"/>
              <w:color w:val="000000"/>
              <w:szCs w:val="24"/>
              <w:lang w:val="en-US" w:eastAsia="en-US"/>
            </w:rPr>
            <w:fldChar w:fldCharType="begin"/>
          </w:r>
          <w:r w:rsidRPr="00CB11AD">
            <w:rPr>
              <w:rFonts w:eastAsia="Times New Roman" w:cs="Times New Roman"/>
              <w:color w:val="000000"/>
              <w:szCs w:val="24"/>
              <w:lang w:val="en-US" w:eastAsia="en-US"/>
            </w:rPr>
            <w:instrText xml:space="preserve">CITATION Law24 \l 1033 </w:instrText>
          </w:r>
          <w:r w:rsidRPr="00CB11AD">
            <w:rPr>
              <w:rFonts w:eastAsia="Times New Roman" w:cs="Times New Roman"/>
              <w:color w:val="000000"/>
              <w:szCs w:val="24"/>
              <w:lang w:val="en-US" w:eastAsia="en-US"/>
            </w:rPr>
            <w:fldChar w:fldCharType="separate"/>
          </w:r>
          <w:r w:rsidRPr="00CB11AD">
            <w:rPr>
              <w:rFonts w:eastAsia="Times New Roman" w:cs="Times New Roman"/>
              <w:noProof/>
              <w:color w:val="000000"/>
              <w:szCs w:val="24"/>
              <w:lang w:val="en-US" w:eastAsia="en-US"/>
            </w:rPr>
            <w:t>(LawWales, 2021)</w:t>
          </w:r>
          <w:r w:rsidRPr="00CB11AD">
            <w:rPr>
              <w:rFonts w:eastAsia="Times New Roman" w:cs="Times New Roman"/>
              <w:color w:val="000000"/>
              <w:szCs w:val="24"/>
              <w:lang w:val="en-US" w:eastAsia="en-US"/>
            </w:rPr>
            <w:fldChar w:fldCharType="end"/>
          </w:r>
        </w:sdtContent>
      </w:sdt>
      <w:r w:rsidRPr="00CB11AD">
        <w:rPr>
          <w:rFonts w:eastAsia="Times New Roman" w:cs="Times New Roman"/>
          <w:color w:val="000000"/>
          <w:szCs w:val="24"/>
          <w:lang w:val="en-US" w:eastAsia="en-US"/>
        </w:rPr>
        <w:t xml:space="preserve">. More specifically the UK executives have the responsibilities of conducting foreign policies, deploying the army, ranting honours, </w:t>
      </w:r>
      <w:r w:rsidRPr="00CB11AD">
        <w:rPr>
          <w:rFonts w:eastAsia="Times New Roman" w:cs="Times New Roman"/>
          <w:color w:val="000000"/>
          <w:szCs w:val="24"/>
          <w:lang w:val="en-US" w:eastAsia="en-US"/>
        </w:rPr>
        <w:lastRenderedPageBreak/>
        <w:t xml:space="preserve">conducting diplomacy and more. Moreover, they act as an administrative head of the UK government. </w:t>
      </w:r>
    </w:p>
    <w:p w14:paraId="55045515" w14:textId="77777777" w:rsidR="00CB11AD" w:rsidRPr="00CB11AD" w:rsidRDefault="00B14CE7" w:rsidP="00CB11AD">
      <w:pPr>
        <w:rPr>
          <w:rFonts w:eastAsia="Times New Roman" w:cs="Times New Roman"/>
          <w:szCs w:val="24"/>
          <w:lang w:val="en-US" w:eastAsia="en-US"/>
        </w:rPr>
      </w:pPr>
      <w:r w:rsidRPr="00CB11AD">
        <w:rPr>
          <w:rFonts w:eastAsia="Times New Roman" w:cs="Times New Roman"/>
          <w:color w:val="000000"/>
          <w:szCs w:val="24"/>
          <w:lang w:val="en-US" w:eastAsia="en-US"/>
        </w:rPr>
        <w:t xml:space="preserve">The separation of power is one fundamental concept noticed first in one of the works of Aristotle and modified by Montesquieu, a French philosopher. The purpose of the separation power theory has been to prevent the abuse of power utilised by a single or group of individuals. This theory has indicated the division of executive, legislative and judicial functions of the government among the independent or separate bodies. This theory has proposed three formulations for the structural mode of powers possessed by the governments. It suggested that a single individual should not serve the three government branches and meddling of a government organ with another government organ should be strictly prohibited </w:t>
      </w:r>
      <w:sdt>
        <w:sdtPr>
          <w:rPr>
            <w:rFonts w:eastAsia="Times New Roman" w:cs="Times New Roman"/>
            <w:color w:val="000000"/>
            <w:szCs w:val="24"/>
            <w:lang w:val="en-US" w:eastAsia="en-US"/>
          </w:rPr>
          <w:id w:val="26692079"/>
          <w:citation/>
        </w:sdtPr>
        <w:sdtContent>
          <w:r w:rsidRPr="00CB11AD">
            <w:rPr>
              <w:rFonts w:eastAsia="Times New Roman" w:cs="Times New Roman"/>
              <w:color w:val="000000"/>
              <w:szCs w:val="24"/>
              <w:lang w:val="en-US" w:eastAsia="en-US"/>
            </w:rPr>
            <w:fldChar w:fldCharType="begin"/>
          </w:r>
          <w:r w:rsidRPr="00CB11AD">
            <w:rPr>
              <w:rFonts w:eastAsia="Times New Roman" w:cs="Times New Roman"/>
              <w:color w:val="000000"/>
              <w:szCs w:val="24"/>
              <w:lang w:val="en-US" w:eastAsia="en-US"/>
            </w:rPr>
            <w:instrText xml:space="preserve"> CITATION GOV24 \l 1033 </w:instrText>
          </w:r>
          <w:r w:rsidRPr="00CB11AD">
            <w:rPr>
              <w:rFonts w:eastAsia="Times New Roman" w:cs="Times New Roman"/>
              <w:color w:val="000000"/>
              <w:szCs w:val="24"/>
              <w:lang w:val="en-US" w:eastAsia="en-US"/>
            </w:rPr>
            <w:fldChar w:fldCharType="separate"/>
          </w:r>
          <w:r w:rsidRPr="00CB11AD">
            <w:rPr>
              <w:rFonts w:eastAsia="Times New Roman" w:cs="Times New Roman"/>
              <w:noProof/>
              <w:color w:val="000000"/>
              <w:szCs w:val="24"/>
              <w:lang w:val="en-US" w:eastAsia="en-US"/>
            </w:rPr>
            <w:t>(GOV.UK, 2024)</w:t>
          </w:r>
          <w:r w:rsidRPr="00CB11AD">
            <w:rPr>
              <w:rFonts w:eastAsia="Times New Roman" w:cs="Times New Roman"/>
              <w:color w:val="000000"/>
              <w:szCs w:val="24"/>
              <w:lang w:val="en-US" w:eastAsia="en-US"/>
            </w:rPr>
            <w:fldChar w:fldCharType="end"/>
          </w:r>
        </w:sdtContent>
      </w:sdt>
      <w:r w:rsidRPr="00CB11AD">
        <w:rPr>
          <w:rFonts w:eastAsia="Times New Roman" w:cs="Times New Roman"/>
          <w:color w:val="000000"/>
          <w:szCs w:val="24"/>
          <w:lang w:val="en-US" w:eastAsia="en-US"/>
        </w:rPr>
        <w:t xml:space="preserve">. It also suggests that one government organ should not perform the specific functions of another government organ. The separation of power helps in reducing the possibility of the governments in terms of arbitrary excesses. This theory can be greatly applicable to the UK executive as it can help in the fair use of power while preventing excessive use of it. As per the UK government, the separation of powers has been operated in a different manner than the other countries having strict forms of separation between the three government branches. However, within the UK the separation of powers can be characterised by the fusion of powers while including a system of balances and checks. Parliamentary scrutiny has been useful for the separation of powers as an oversight over the UK executives </w:t>
      </w:r>
      <w:sdt>
        <w:sdtPr>
          <w:rPr>
            <w:rFonts w:eastAsia="Times New Roman" w:cs="Times New Roman"/>
            <w:color w:val="000000"/>
            <w:szCs w:val="24"/>
            <w:lang w:val="en-US" w:eastAsia="en-US"/>
          </w:rPr>
          <w:id w:val="-1833905897"/>
          <w:citation/>
        </w:sdtPr>
        <w:sdtContent>
          <w:r w:rsidRPr="00CB11AD">
            <w:rPr>
              <w:rFonts w:eastAsia="Times New Roman" w:cs="Times New Roman"/>
              <w:color w:val="000000"/>
              <w:szCs w:val="24"/>
              <w:lang w:val="en-US" w:eastAsia="en-US"/>
            </w:rPr>
            <w:fldChar w:fldCharType="begin"/>
          </w:r>
          <w:r w:rsidRPr="00CB11AD">
            <w:rPr>
              <w:rFonts w:eastAsia="Times New Roman" w:cs="Times New Roman"/>
              <w:color w:val="000000"/>
              <w:szCs w:val="24"/>
              <w:lang w:val="en-US" w:eastAsia="en-US"/>
            </w:rPr>
            <w:instrText xml:space="preserve"> CITATION HAN24 \l 1033 </w:instrText>
          </w:r>
          <w:r w:rsidRPr="00CB11AD">
            <w:rPr>
              <w:rFonts w:eastAsia="Times New Roman" w:cs="Times New Roman"/>
              <w:color w:val="000000"/>
              <w:szCs w:val="24"/>
              <w:lang w:val="en-US" w:eastAsia="en-US"/>
            </w:rPr>
            <w:fldChar w:fldCharType="separate"/>
          </w:r>
          <w:r w:rsidRPr="00CB11AD">
            <w:rPr>
              <w:rFonts w:eastAsia="Times New Roman" w:cs="Times New Roman"/>
              <w:noProof/>
              <w:color w:val="000000"/>
              <w:szCs w:val="24"/>
              <w:lang w:val="en-US" w:eastAsia="en-US"/>
            </w:rPr>
            <w:t>(WHITE, 2024)</w:t>
          </w:r>
          <w:r w:rsidRPr="00CB11AD">
            <w:rPr>
              <w:rFonts w:eastAsia="Times New Roman" w:cs="Times New Roman"/>
              <w:color w:val="000000"/>
              <w:szCs w:val="24"/>
              <w:lang w:val="en-US" w:eastAsia="en-US"/>
            </w:rPr>
            <w:fldChar w:fldCharType="end"/>
          </w:r>
        </w:sdtContent>
      </w:sdt>
      <w:r w:rsidRPr="00CB11AD">
        <w:rPr>
          <w:rFonts w:eastAsia="Times New Roman" w:cs="Times New Roman"/>
          <w:color w:val="000000"/>
          <w:szCs w:val="24"/>
          <w:lang w:val="en-US" w:eastAsia="en-US"/>
        </w:rPr>
        <w:t xml:space="preserve">. The government ministers can be questioned by the Members of Parliament alongside debating policies, voting on crucial matters, and proposing amendments to legislation. </w:t>
      </w:r>
    </w:p>
    <w:p w14:paraId="2240E69D" w14:textId="77777777" w:rsidR="00CB11AD" w:rsidRPr="00CB11AD" w:rsidRDefault="00B14CE7" w:rsidP="00CB11AD">
      <w:pPr>
        <w:rPr>
          <w:rFonts w:eastAsia="Times New Roman" w:cs="Times New Roman"/>
          <w:szCs w:val="24"/>
          <w:lang w:val="en-US" w:eastAsia="en-US"/>
        </w:rPr>
      </w:pPr>
      <w:r w:rsidRPr="00CB11AD">
        <w:rPr>
          <w:rFonts w:eastAsia="Times New Roman" w:cs="Times New Roman"/>
          <w:color w:val="000000"/>
          <w:szCs w:val="24"/>
          <w:lang w:val="en-US" w:eastAsia="en-US"/>
        </w:rPr>
        <w:t xml:space="preserve">The UK executives can be held to account by various ways for instance parliamentary scrutiny, judicial review and conventions and tradition. Parliamentary scrutiny can help in monitoring the UK executives and their use of powers. The UK government can assign some parliamentary members to question the government ministers, propose amendments and debate policies. This </w:t>
      </w:r>
      <w:r w:rsidRPr="00CB11AD">
        <w:rPr>
          <w:rFonts w:eastAsia="Times New Roman" w:cs="Times New Roman"/>
          <w:color w:val="000000"/>
          <w:szCs w:val="24"/>
          <w:lang w:val="en-US" w:eastAsia="en-US"/>
        </w:rPr>
        <w:lastRenderedPageBreak/>
        <w:t xml:space="preserve">can greatly help in holding the UK executives and the whole government accountable. The lawful behaviours and the consistency of the actions of UK executives with the constitutional principles of the UK are generally ensured by the judiciary, specifically the UK Supreme Court. The constitutionality and legality of the governmental legislation and actions can be examined by the UK courts with their power of judicial review </w:t>
      </w:r>
      <w:sdt>
        <w:sdtPr>
          <w:rPr>
            <w:rFonts w:eastAsia="Times New Roman" w:cs="Times New Roman"/>
            <w:color w:val="000000"/>
            <w:szCs w:val="24"/>
            <w:lang w:val="en-US" w:eastAsia="en-US"/>
          </w:rPr>
          <w:id w:val="1584268116"/>
          <w:citation/>
        </w:sdtPr>
        <w:sdtContent>
          <w:r w:rsidRPr="00CB11AD">
            <w:rPr>
              <w:rFonts w:eastAsia="Times New Roman" w:cs="Times New Roman"/>
              <w:color w:val="000000"/>
              <w:szCs w:val="24"/>
              <w:lang w:val="en-US" w:eastAsia="en-US"/>
            </w:rPr>
            <w:fldChar w:fldCharType="begin"/>
          </w:r>
          <w:r w:rsidRPr="00CB11AD">
            <w:rPr>
              <w:rFonts w:eastAsia="Times New Roman" w:cs="Times New Roman"/>
              <w:color w:val="000000"/>
              <w:szCs w:val="24"/>
              <w:lang w:val="en-US" w:eastAsia="en-US"/>
            </w:rPr>
            <w:instrText xml:space="preserve"> CITATION UOL23 \l 1033 </w:instrText>
          </w:r>
          <w:r w:rsidRPr="00CB11AD">
            <w:rPr>
              <w:rFonts w:eastAsia="Times New Roman" w:cs="Times New Roman"/>
              <w:color w:val="000000"/>
              <w:szCs w:val="24"/>
              <w:lang w:val="en-US" w:eastAsia="en-US"/>
            </w:rPr>
            <w:fldChar w:fldCharType="separate"/>
          </w:r>
          <w:r w:rsidRPr="00CB11AD">
            <w:rPr>
              <w:rFonts w:eastAsia="Times New Roman" w:cs="Times New Roman"/>
              <w:noProof/>
              <w:color w:val="000000"/>
              <w:szCs w:val="24"/>
              <w:lang w:val="en-US" w:eastAsia="en-US"/>
            </w:rPr>
            <w:t>(UOLLB, 2023)</w:t>
          </w:r>
          <w:r w:rsidRPr="00CB11AD">
            <w:rPr>
              <w:rFonts w:eastAsia="Times New Roman" w:cs="Times New Roman"/>
              <w:color w:val="000000"/>
              <w:szCs w:val="24"/>
              <w:lang w:val="en-US" w:eastAsia="en-US"/>
            </w:rPr>
            <w:fldChar w:fldCharType="end"/>
          </w:r>
        </w:sdtContent>
      </w:sdt>
      <w:r w:rsidRPr="00CB11AD">
        <w:rPr>
          <w:rFonts w:eastAsia="Times New Roman" w:cs="Times New Roman"/>
          <w:color w:val="000000"/>
          <w:szCs w:val="24"/>
          <w:lang w:val="en-US" w:eastAsia="en-US"/>
        </w:rPr>
        <w:t>. This has helped in ensuring the accountability of the UK Executives. The conventions and traditions have been another easy way to maintain the accountability of the UK executives. Within the UK system separation of powers of the UK executives can be maintained by long-standing traditions and constitutional conventions.</w:t>
      </w:r>
    </w:p>
    <w:p w14:paraId="2EDBE2AA" w14:textId="77777777" w:rsidR="00CB11AD" w:rsidRPr="00CB11AD" w:rsidRDefault="00B14CE7" w:rsidP="00CB11AD">
      <w:pPr>
        <w:rPr>
          <w:rFonts w:eastAsia="Times New Roman" w:cs="Times New Roman"/>
          <w:szCs w:val="24"/>
          <w:lang w:val="en-IN" w:eastAsia="en-IN"/>
        </w:rPr>
      </w:pPr>
      <w:r w:rsidRPr="00CB11AD">
        <w:rPr>
          <w:rFonts w:eastAsia="Times New Roman" w:cs="Times New Roman"/>
          <w:color w:val="000000"/>
          <w:szCs w:val="24"/>
          <w:lang w:val="en-IN" w:eastAsia="en-IN"/>
        </w:rPr>
        <w:t>The UK government has evolved with time and is an unwritten constitution, the UK system has often been misunderstood. The term unwritten does not mean it does not have any written document rather there is not a single account to look into. Parliamentary scrutiny is one of the most effective ways the House of Commons and the House of Lords have examined and investigated government policies and actions along with their spending to ensure proper management (</w:t>
      </w:r>
      <w:r w:rsidRPr="00CB11AD">
        <w:rPr>
          <w:shd w:val="clear" w:color="auto" w:fill="FFFFFF"/>
          <w:lang w:val="" w:eastAsia="en-US"/>
        </w:rPr>
        <w:t>Albanesi, 2021)</w:t>
      </w:r>
      <w:r w:rsidRPr="00CB11AD">
        <w:rPr>
          <w:rFonts w:eastAsia="Times New Roman" w:cs="Times New Roman"/>
          <w:color w:val="000000"/>
          <w:szCs w:val="24"/>
          <w:lang w:val="en-IN" w:eastAsia="en-IN"/>
        </w:rPr>
        <w:t>. The UK system is easier to adapt and change which has helped them to evolve spontaneously. Individual rights have been highly protected by the system lowering the chances of voter fraud or other political mishaps. The executives are drawn from the largest party legislature reducing any type of political deadlock. The lack of involvement of executives in the decision-making process in court procedures has improved the legal process of the country. The reformed second chamber has helped the overall ability of the parliament to hold the government into account (</w:t>
      </w:r>
      <w:r w:rsidRPr="00CB11AD">
        <w:rPr>
          <w:shd w:val="clear" w:color="auto" w:fill="FFFFFF"/>
          <w:lang w:val="" w:eastAsia="en-US"/>
        </w:rPr>
        <w:t>Cairney, 2021)</w:t>
      </w:r>
      <w:r w:rsidRPr="00CB11AD">
        <w:rPr>
          <w:rFonts w:eastAsia="Times New Roman" w:cs="Times New Roman"/>
          <w:color w:val="000000"/>
          <w:szCs w:val="24"/>
          <w:lang w:val="en-IN" w:eastAsia="en-IN"/>
        </w:rPr>
        <w:t xml:space="preserve">. The scrutiny arrangements of the lord of Commons scrutinise the background information government approach before debating. In addition to that, elected dictatorship can happen within the nation due to the blending of legislature and executives which can harm the country. Issues in delivering flagship policies due to unclear relations between civil servants and ministers have created negative </w:t>
      </w:r>
      <w:r w:rsidRPr="00CB11AD">
        <w:rPr>
          <w:rFonts w:eastAsia="Times New Roman" w:cs="Times New Roman"/>
          <w:color w:val="000000"/>
          <w:szCs w:val="24"/>
          <w:lang w:val="en-IN" w:eastAsia="en-IN"/>
        </w:rPr>
        <w:lastRenderedPageBreak/>
        <w:t>consequences such as failure of the policies. Further, lack of understanding and communication among the ministers and executives and different mindsets has failed the government operations and incorporation of policies (</w:t>
      </w:r>
      <w:r w:rsidRPr="00CB11AD">
        <w:rPr>
          <w:shd w:val="clear" w:color="auto" w:fill="FFFFFF"/>
          <w:lang w:val="" w:eastAsia="en-US"/>
        </w:rPr>
        <w:t>Judge, 2021)</w:t>
      </w:r>
      <w:r w:rsidRPr="00CB11AD">
        <w:rPr>
          <w:rFonts w:eastAsia="Times New Roman" w:cs="Times New Roman"/>
          <w:color w:val="000000"/>
          <w:szCs w:val="24"/>
          <w:lang w:val="en-IN" w:eastAsia="en-IN"/>
        </w:rPr>
        <w:t>.</w:t>
      </w:r>
    </w:p>
    <w:p w14:paraId="44934E21" w14:textId="77777777" w:rsidR="000D32BA" w:rsidRDefault="00B14CE7" w:rsidP="00CB11AD">
      <w:pPr>
        <w:spacing w:after="160"/>
        <w:rPr>
          <w:rFonts w:eastAsia="Times New Roman" w:cs="Times New Roman"/>
          <w:b/>
          <w:bCs/>
          <w:color w:val="000000"/>
          <w:szCs w:val="24"/>
          <w:lang w:val="en-IN" w:eastAsia="en-IN"/>
        </w:rPr>
      </w:pPr>
      <w:r w:rsidRPr="00CB11AD">
        <w:rPr>
          <w:color w:val="000000"/>
          <w:lang w:val="" w:eastAsia="en-US"/>
        </w:rPr>
        <w:t xml:space="preserve">The prime function of the UK parliament has been to hold the UK executives into account. A better version of a government and UK executives can be formed by making it more accountable to its responsibilities and use of power. The political views of the UK government have been directly viewed by the House of Commons. Reforming the second chamber can help in improving the ability of parliament to hold the UK executives accountable. Implementing scrutinising ministers also can be established as a reformed suggestion to increase the accountability of UK executives and form a better government. It has been found that the relevant expertise and broader perspectives of House of Lords members have been challenging to bring to the UK executives on a regular and direct basis </w:t>
      </w:r>
      <w:sdt>
        <w:sdtPr>
          <w:rPr>
            <w:color w:val="000000"/>
            <w:lang w:val="" w:eastAsia="en-US"/>
          </w:rPr>
          <w:id w:val="-1540420573"/>
          <w:citation/>
        </w:sdtPr>
        <w:sdtContent>
          <w:r w:rsidRPr="00CB11AD">
            <w:rPr>
              <w:color w:val="000000"/>
              <w:lang w:val="" w:eastAsia="en-US"/>
            </w:rPr>
            <w:fldChar w:fldCharType="begin"/>
          </w:r>
          <w:r w:rsidRPr="00CB11AD">
            <w:rPr>
              <w:color w:val="000000"/>
              <w:lang w:val="" w:eastAsia="en-US"/>
            </w:rPr>
            <w:instrText xml:space="preserve"> CITATION Ass24 \l 1033 </w:instrText>
          </w:r>
          <w:r w:rsidRPr="00CB11AD">
            <w:rPr>
              <w:color w:val="000000"/>
              <w:lang w:val="" w:eastAsia="en-US"/>
            </w:rPr>
            <w:fldChar w:fldCharType="separate"/>
          </w:r>
          <w:r w:rsidRPr="00CB11AD">
            <w:rPr>
              <w:rFonts w:eastAsia="Times New Roman"/>
              <w:noProof/>
              <w:color w:val="000000"/>
              <w:lang w:val="" w:eastAsia="en-US"/>
            </w:rPr>
            <w:t>(Assets, 2024)</w:t>
          </w:r>
          <w:r w:rsidRPr="00CB11AD">
            <w:rPr>
              <w:color w:val="000000"/>
              <w:lang w:val="" w:eastAsia="en-US"/>
            </w:rPr>
            <w:fldChar w:fldCharType="end"/>
          </w:r>
        </w:sdtContent>
      </w:sdt>
      <w:r w:rsidRPr="00CB11AD">
        <w:rPr>
          <w:color w:val="000000"/>
          <w:lang w:val="" w:eastAsia="en-US"/>
        </w:rPr>
        <w:t xml:space="preserve">. The parliamentary members should be allowed to present their cases to the Ministers on a direct basis. This can help in improving the ability of the second chamber in terms of holding the UK executives as well as the government accountable. The parliamentary scrutiny of the UK executives can be improved by strengthening the Ministerial accountability of the second chamber. </w:t>
      </w:r>
      <w:r w:rsidR="006876A4">
        <w:rPr>
          <w:rFonts w:eastAsia="Times New Roman" w:cs="Times New Roman"/>
          <w:b/>
          <w:bCs/>
          <w:color w:val="000000"/>
          <w:szCs w:val="24"/>
          <w:lang w:val="en-IN" w:eastAsia="en-IN"/>
        </w:rPr>
        <w:br w:type="page"/>
      </w:r>
    </w:p>
    <w:p w14:paraId="62290E92" w14:textId="77777777" w:rsidR="00A02027" w:rsidRPr="00A02027" w:rsidRDefault="00B14CE7" w:rsidP="00A02027">
      <w:pPr>
        <w:rPr>
          <w:rFonts w:eastAsia="Times New Roman" w:cs="Times New Roman"/>
          <w:szCs w:val="24"/>
          <w:lang w:val="en-IN" w:eastAsia="en-IN"/>
        </w:rPr>
      </w:pPr>
      <w:r w:rsidRPr="00A02027">
        <w:rPr>
          <w:rFonts w:eastAsia="Times New Roman" w:cs="Times New Roman"/>
          <w:b/>
          <w:bCs/>
          <w:color w:val="000000"/>
          <w:szCs w:val="24"/>
          <w:lang w:val="en-IN" w:eastAsia="en-IN"/>
        </w:rPr>
        <w:lastRenderedPageBreak/>
        <w:t>Conclusion </w:t>
      </w:r>
    </w:p>
    <w:p w14:paraId="5C20D4EC" w14:textId="77777777" w:rsidR="00A02027" w:rsidRPr="00A02027" w:rsidRDefault="00B14CE7" w:rsidP="00A02027">
      <w:pPr>
        <w:rPr>
          <w:rFonts w:eastAsia="Times New Roman" w:cs="Times New Roman"/>
          <w:szCs w:val="24"/>
          <w:lang w:val="en-IN" w:eastAsia="en-IN"/>
        </w:rPr>
      </w:pPr>
      <w:r w:rsidRPr="00A02027">
        <w:rPr>
          <w:rFonts w:eastAsia="Times New Roman" w:cs="Times New Roman"/>
          <w:color w:val="000000"/>
          <w:szCs w:val="24"/>
          <w:lang w:val="en-IN" w:eastAsia="en-IN"/>
        </w:rPr>
        <w:t>Good government implements fair and effective legal frameworks that protect human rights and provide better development to the nation. In this context, the essay has discussed the role and jobs of UK executives. It has been found that the parties with the most seats within the House of Commons are generally identified as suitable candidates for forming a government. Besides that, the separation of power has become one fundamental concept noticed first in one of the works of Aristotle and modified by Montesquieu, a French philosopher. It has been found that parliamentary scrutiny has been useful for the separation of powers as an oversight over the UK executives. Further, the essay has stated the executives that have been drawn from the largest party legislature have reduced any types of political deadlock.</w:t>
      </w:r>
    </w:p>
    <w:p w14:paraId="7295526C" w14:textId="77777777" w:rsidR="001514B6" w:rsidRDefault="00B14CE7">
      <w:pPr>
        <w:spacing w:after="160" w:line="259" w:lineRule="auto"/>
        <w:jc w:val="left"/>
        <w:rPr>
          <w:rFonts w:eastAsia="Times New Roman" w:cs="Times New Roman"/>
          <w:b/>
          <w:bCs/>
          <w:color w:val="000000"/>
          <w:szCs w:val="24"/>
          <w:lang w:val="en-IN" w:eastAsia="en-IN"/>
        </w:rPr>
      </w:pPr>
      <w:r>
        <w:rPr>
          <w:rFonts w:eastAsia="Times New Roman" w:cs="Times New Roman"/>
          <w:b/>
          <w:bCs/>
          <w:color w:val="000000"/>
          <w:szCs w:val="24"/>
          <w:lang w:val="en-IN" w:eastAsia="en-IN"/>
        </w:rPr>
        <w:br w:type="page"/>
      </w:r>
    </w:p>
    <w:p w14:paraId="658800A1" w14:textId="77777777" w:rsidR="00A02027" w:rsidRPr="006D2B2C" w:rsidRDefault="00B14CE7" w:rsidP="006D2B2C">
      <w:pPr>
        <w:rPr>
          <w:b/>
          <w:bCs/>
        </w:rPr>
      </w:pPr>
      <w:r w:rsidRPr="006D2B2C">
        <w:rPr>
          <w:b/>
          <w:bCs/>
        </w:rPr>
        <w:lastRenderedPageBreak/>
        <w:t xml:space="preserve">References </w:t>
      </w:r>
    </w:p>
    <w:p w14:paraId="2D8D0305" w14:textId="77777777" w:rsidR="00CB11AD" w:rsidRPr="001514B6" w:rsidRDefault="00B14CE7" w:rsidP="001514B6">
      <w:pPr>
        <w:rPr>
          <w:lang w:val="en-IN" w:eastAsia="en-IN"/>
        </w:rPr>
      </w:pPr>
      <w:r>
        <w:rPr>
          <w:shd w:val="clear" w:color="auto" w:fill="FFFFFF"/>
        </w:rPr>
        <w:t>Albanesi, E., (2021). Parliamentary scrutiny of the quality of legislation within Europe. </w:t>
      </w:r>
      <w:r>
        <w:rPr>
          <w:i/>
          <w:iCs/>
          <w:shd w:val="clear" w:color="auto" w:fill="FFFFFF"/>
        </w:rPr>
        <w:t>Statute Law Review</w:t>
      </w:r>
      <w:r>
        <w:rPr>
          <w:shd w:val="clear" w:color="auto" w:fill="FFFFFF"/>
        </w:rPr>
        <w:t>, </w:t>
      </w:r>
      <w:r>
        <w:rPr>
          <w:i/>
          <w:iCs/>
          <w:shd w:val="clear" w:color="auto" w:fill="FFFFFF"/>
        </w:rPr>
        <w:t>42</w:t>
      </w:r>
      <w:r>
        <w:rPr>
          <w:shd w:val="clear" w:color="auto" w:fill="FFFFFF"/>
        </w:rPr>
        <w:t>(3), pp.313-334.</w:t>
      </w:r>
    </w:p>
    <w:p w14:paraId="15B9AB30" w14:textId="77777777" w:rsidR="00CB11AD" w:rsidRDefault="00B14CE7" w:rsidP="00CB11AD">
      <w:r>
        <w:t xml:space="preserve">Assets, (2024). </w:t>
      </w:r>
      <w:r w:rsidRPr="00FB3BBC">
        <w:rPr>
          <w:i/>
          <w:iCs/>
        </w:rPr>
        <w:t>Chapter 8 – Holding the Government</w:t>
      </w:r>
      <w:r>
        <w:t>. [Online] Available at: https://assets.publishing.service.gov.uk/media/5a7c327840f0b67d0b11f816/chap8.pdf [Accessed 15 2 2024].</w:t>
      </w:r>
    </w:p>
    <w:p w14:paraId="0EE91826" w14:textId="77777777" w:rsidR="00CB11AD" w:rsidRDefault="00B14CE7" w:rsidP="001514B6">
      <w:pPr>
        <w:rPr>
          <w:shd w:val="clear" w:color="auto" w:fill="FFFFFF"/>
        </w:rPr>
      </w:pPr>
      <w:r>
        <w:rPr>
          <w:shd w:val="clear" w:color="auto" w:fill="FFFFFF"/>
        </w:rPr>
        <w:t>Cairney, P., (2021). The UK government’s COVID-19 policy: assessing evidence-informed policy analysis in real time. </w:t>
      </w:r>
      <w:r>
        <w:rPr>
          <w:i/>
          <w:iCs/>
          <w:shd w:val="clear" w:color="auto" w:fill="FFFFFF"/>
        </w:rPr>
        <w:t>British Politics</w:t>
      </w:r>
      <w:r>
        <w:rPr>
          <w:shd w:val="clear" w:color="auto" w:fill="FFFFFF"/>
        </w:rPr>
        <w:t>, </w:t>
      </w:r>
      <w:r>
        <w:rPr>
          <w:i/>
          <w:iCs/>
          <w:shd w:val="clear" w:color="auto" w:fill="FFFFFF"/>
        </w:rPr>
        <w:t>16</w:t>
      </w:r>
      <w:r>
        <w:rPr>
          <w:shd w:val="clear" w:color="auto" w:fill="FFFFFF"/>
        </w:rPr>
        <w:t>(1), pp.90-116.</w:t>
      </w:r>
    </w:p>
    <w:p w14:paraId="1F5016C4" w14:textId="77777777" w:rsidR="00CB11AD" w:rsidRDefault="00B14CE7" w:rsidP="00CB11AD">
      <w:r>
        <w:t xml:space="preserve">CONSOC, (2024). </w:t>
      </w:r>
      <w:r w:rsidRPr="00FB3BBC">
        <w:rPr>
          <w:i/>
          <w:iCs/>
        </w:rPr>
        <w:t>The executive</w:t>
      </w:r>
      <w:r>
        <w:t>. [Online] Available at: https://consoc.org.uk/the-constitution-explained/the-executive/ [Accessed 15 2 2024].</w:t>
      </w:r>
    </w:p>
    <w:p w14:paraId="5E861014" w14:textId="77777777" w:rsidR="00CB11AD" w:rsidRDefault="00B14CE7" w:rsidP="00CB11AD">
      <w:r>
        <w:t xml:space="preserve">GOV.UK, (2024). </w:t>
      </w:r>
      <w:r w:rsidRPr="00FB3BBC">
        <w:rPr>
          <w:i/>
          <w:iCs/>
        </w:rPr>
        <w:t>How government works</w:t>
      </w:r>
      <w:r>
        <w:t>. [Online] Available at: https://www.gov.uk/government/how-government-works [Accessed 15 2 2024].</w:t>
      </w:r>
    </w:p>
    <w:p w14:paraId="5823B5EB" w14:textId="77777777" w:rsidR="00CB11AD" w:rsidRDefault="00B14CE7" w:rsidP="001514B6">
      <w:pPr>
        <w:rPr>
          <w:shd w:val="clear" w:color="auto" w:fill="FFFFFF"/>
        </w:rPr>
      </w:pPr>
      <w:r>
        <w:rPr>
          <w:shd w:val="clear" w:color="auto" w:fill="FFFFFF"/>
        </w:rPr>
        <w:t xml:space="preserve">Judge, D., (2021). </w:t>
      </w:r>
      <w:r w:rsidRPr="001514B6">
        <w:t>Walking the dark side: Evading parliamentary scrutiny</w:t>
      </w:r>
      <w:r>
        <w:rPr>
          <w:shd w:val="clear" w:color="auto" w:fill="FFFFFF"/>
        </w:rPr>
        <w:t>. </w:t>
      </w:r>
      <w:r>
        <w:rPr>
          <w:i/>
          <w:iCs/>
          <w:shd w:val="clear" w:color="auto" w:fill="FFFFFF"/>
        </w:rPr>
        <w:t>The Political Quarterly</w:t>
      </w:r>
      <w:r>
        <w:rPr>
          <w:shd w:val="clear" w:color="auto" w:fill="FFFFFF"/>
        </w:rPr>
        <w:t>, </w:t>
      </w:r>
      <w:r>
        <w:rPr>
          <w:i/>
          <w:iCs/>
          <w:shd w:val="clear" w:color="auto" w:fill="FFFFFF"/>
        </w:rPr>
        <w:t>92</w:t>
      </w:r>
      <w:r>
        <w:rPr>
          <w:shd w:val="clear" w:color="auto" w:fill="FFFFFF"/>
        </w:rPr>
        <w:t xml:space="preserve">(2), pp.283-292. </w:t>
      </w:r>
    </w:p>
    <w:p w14:paraId="6D06CC5D" w14:textId="77777777" w:rsidR="00CB11AD" w:rsidRDefault="00B14CE7" w:rsidP="00CB11AD">
      <w:r>
        <w:t xml:space="preserve">LawWales, (2021). </w:t>
      </w:r>
      <w:r w:rsidRPr="00FB3BBC">
        <w:rPr>
          <w:i/>
          <w:iCs/>
        </w:rPr>
        <w:t>The three branches of government</w:t>
      </w:r>
      <w:r>
        <w:t>. [Online] Available at: https://law.gov.wales/three-branches-government [Accessed 15 2 2024].</w:t>
      </w:r>
    </w:p>
    <w:p w14:paraId="38DAFD61" w14:textId="77777777" w:rsidR="00CB11AD" w:rsidRDefault="00B14CE7" w:rsidP="00CB11AD">
      <w:r>
        <w:t xml:space="preserve">LexisNexis, (2024). </w:t>
      </w:r>
      <w:r w:rsidRPr="00FB3BBC">
        <w:rPr>
          <w:i/>
          <w:iCs/>
        </w:rPr>
        <w:t>Executive definition</w:t>
      </w:r>
      <w:r>
        <w:t>. [Online] Available at: https://www.lexisnexis.co.uk/legal/glossary/executive [Accessed 15 2 2024].</w:t>
      </w:r>
    </w:p>
    <w:p w14:paraId="443733CD" w14:textId="77777777" w:rsidR="00CB11AD" w:rsidRDefault="00B14CE7" w:rsidP="00CB11AD">
      <w:pPr>
        <w:pStyle w:val="NormalWeb"/>
        <w:rPr>
          <w:color w:val="222222"/>
          <w:shd w:val="clear" w:color="auto" w:fill="FFFFFF"/>
        </w:rPr>
      </w:pPr>
      <w:r w:rsidRPr="00FB3BBC">
        <w:rPr>
          <w:rFonts w:cs="Times New Roman"/>
          <w:color w:val="222222"/>
          <w:szCs w:val="24"/>
          <w:shd w:val="clear" w:color="auto" w:fill="FFFFFF"/>
        </w:rPr>
        <w:t xml:space="preserve">Pomeranz, E.F. and Stedman, R.C., (2020). </w:t>
      </w:r>
      <w:r w:rsidRPr="00FB3BBC">
        <w:rPr>
          <w:rFonts w:cs="Times New Roman"/>
          <w:i/>
          <w:iCs/>
          <w:color w:val="222222"/>
          <w:szCs w:val="24"/>
          <w:shd w:val="clear" w:color="auto" w:fill="FFFFFF"/>
        </w:rPr>
        <w:t>Measuring good governance: piloting an instrument for evaluating good governance principles</w:t>
      </w:r>
      <w:r w:rsidRPr="00FB3BBC">
        <w:rPr>
          <w:rFonts w:cs="Times New Roman"/>
          <w:color w:val="222222"/>
          <w:szCs w:val="24"/>
          <w:shd w:val="clear" w:color="auto" w:fill="FFFFFF"/>
        </w:rPr>
        <w:t>. </w:t>
      </w:r>
      <w:r w:rsidRPr="00FB3BBC">
        <w:rPr>
          <w:rFonts w:cs="Times New Roman"/>
          <w:i/>
          <w:iCs/>
          <w:color w:val="222222"/>
          <w:szCs w:val="24"/>
          <w:shd w:val="clear" w:color="auto" w:fill="FFFFFF"/>
        </w:rPr>
        <w:t>Journal of Environmental Policy &amp; Planning</w:t>
      </w:r>
      <w:r w:rsidRPr="00FB3BBC">
        <w:rPr>
          <w:rFonts w:cs="Times New Roman"/>
          <w:color w:val="222222"/>
          <w:szCs w:val="24"/>
          <w:shd w:val="clear" w:color="auto" w:fill="FFFFFF"/>
        </w:rPr>
        <w:t>, </w:t>
      </w:r>
      <w:r w:rsidRPr="00FB3BBC">
        <w:rPr>
          <w:rFonts w:cs="Times New Roman"/>
          <w:i/>
          <w:iCs/>
          <w:color w:val="222222"/>
          <w:szCs w:val="24"/>
          <w:shd w:val="clear" w:color="auto" w:fill="FFFFFF"/>
        </w:rPr>
        <w:t>22</w:t>
      </w:r>
      <w:r w:rsidRPr="00FB3BBC">
        <w:rPr>
          <w:rFonts w:cs="Times New Roman"/>
          <w:color w:val="222222"/>
          <w:szCs w:val="24"/>
          <w:shd w:val="clear" w:color="auto" w:fill="FFFFFF"/>
        </w:rPr>
        <w:t>(3), pp.428-440.</w:t>
      </w:r>
    </w:p>
    <w:p w14:paraId="14CB16D8" w14:textId="77777777" w:rsidR="00CB11AD" w:rsidRDefault="00B14CE7" w:rsidP="00CB11AD">
      <w:r>
        <w:t xml:space="preserve">UOLLB, (2023). </w:t>
      </w:r>
      <w:r w:rsidRPr="00FB3BBC">
        <w:rPr>
          <w:i/>
          <w:iCs/>
        </w:rPr>
        <w:t>Separation of Powers in United Kingdom</w:t>
      </w:r>
      <w:r>
        <w:t>. [Online] Available at: https://uollb.com/blog/english-common-law/separation-of-powers-in-united-kingdom [Accessed 15 2 2024].</w:t>
      </w:r>
    </w:p>
    <w:p w14:paraId="4E380800" w14:textId="77777777" w:rsidR="00CB11AD" w:rsidRDefault="00B14CE7">
      <w:r>
        <w:lastRenderedPageBreak/>
        <w:t xml:space="preserve">WHITE, H., (2024). </w:t>
      </w:r>
      <w:r w:rsidRPr="00FB3BBC">
        <w:rPr>
          <w:i/>
          <w:iCs/>
        </w:rPr>
        <w:t>What does good scrutiny look like?.</w:t>
      </w:r>
      <w:r>
        <w:t xml:space="preserve"> [Online] Available at: https://www.instituteforgovernment.org.uk/article/comment/what-does-good-scrutiny-look [Accessed 15 2 2024].</w:t>
      </w:r>
    </w:p>
    <w:sectPr w:rsidR="00CB11AD" w:rsidSect="00BD0539">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DD545" w14:textId="77777777" w:rsidR="00BD0539" w:rsidRDefault="00BD0539">
      <w:pPr>
        <w:spacing w:line="240" w:lineRule="auto"/>
      </w:pPr>
      <w:r>
        <w:separator/>
      </w:r>
    </w:p>
  </w:endnote>
  <w:endnote w:type="continuationSeparator" w:id="0">
    <w:p w14:paraId="28BEA146" w14:textId="77777777" w:rsidR="00BD0539" w:rsidRDefault="00BD05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9054801"/>
      <w:docPartObj>
        <w:docPartGallery w:val="Page Numbers (Bottom of Page)"/>
        <w:docPartUnique/>
      </w:docPartObj>
    </w:sdtPr>
    <w:sdtContent>
      <w:sdt>
        <w:sdtPr>
          <w:id w:val="-1769616900"/>
          <w:docPartObj>
            <w:docPartGallery w:val="Page Numbers (Top of Page)"/>
            <w:docPartUnique/>
          </w:docPartObj>
        </w:sdtPr>
        <w:sdtContent>
          <w:p w14:paraId="6425DE72" w14:textId="77777777" w:rsidR="00CB11AD" w:rsidRDefault="00B14CE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BD39AF3" w14:textId="77777777" w:rsidR="00CB11AD" w:rsidRDefault="00CB11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31B76" w14:textId="77777777" w:rsidR="00BD0539" w:rsidRDefault="00BD0539">
      <w:pPr>
        <w:spacing w:line="240" w:lineRule="auto"/>
      </w:pPr>
      <w:r>
        <w:separator/>
      </w:r>
    </w:p>
  </w:footnote>
  <w:footnote w:type="continuationSeparator" w:id="0">
    <w:p w14:paraId="7BFD3865" w14:textId="77777777" w:rsidR="00BD0539" w:rsidRDefault="00BD053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ACBB3" w14:textId="77777777" w:rsidR="00C97D77" w:rsidRDefault="00B14CE7" w:rsidP="00C97D77">
    <w:pPr>
      <w:pStyle w:val="Header"/>
      <w:jc w:val="right"/>
    </w:pPr>
    <w:r w:rsidRPr="00C97D77">
      <w:rPr>
        <w:lang w:val="en-IN" w:eastAsia="en-IN"/>
      </w:rPr>
      <w:t>Legal Process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027"/>
    <w:rsid w:val="00053B15"/>
    <w:rsid w:val="000B6E6A"/>
    <w:rsid w:val="000D32BA"/>
    <w:rsid w:val="000E4121"/>
    <w:rsid w:val="001426E2"/>
    <w:rsid w:val="001436FF"/>
    <w:rsid w:val="001514B6"/>
    <w:rsid w:val="001A1AD3"/>
    <w:rsid w:val="001D253A"/>
    <w:rsid w:val="001F2E51"/>
    <w:rsid w:val="00306307"/>
    <w:rsid w:val="00333EBA"/>
    <w:rsid w:val="00351A11"/>
    <w:rsid w:val="003555FC"/>
    <w:rsid w:val="00363A9A"/>
    <w:rsid w:val="00385BF8"/>
    <w:rsid w:val="003B6905"/>
    <w:rsid w:val="003E6382"/>
    <w:rsid w:val="0041483D"/>
    <w:rsid w:val="00433936"/>
    <w:rsid w:val="00496338"/>
    <w:rsid w:val="004D4187"/>
    <w:rsid w:val="004F59E4"/>
    <w:rsid w:val="00562B69"/>
    <w:rsid w:val="005829F8"/>
    <w:rsid w:val="00596013"/>
    <w:rsid w:val="005A3657"/>
    <w:rsid w:val="005C77C7"/>
    <w:rsid w:val="005E334B"/>
    <w:rsid w:val="005F1E6D"/>
    <w:rsid w:val="00603618"/>
    <w:rsid w:val="00627816"/>
    <w:rsid w:val="00667FE0"/>
    <w:rsid w:val="006876A4"/>
    <w:rsid w:val="006D2B2C"/>
    <w:rsid w:val="0077606E"/>
    <w:rsid w:val="007E5D1C"/>
    <w:rsid w:val="00821122"/>
    <w:rsid w:val="00873D0B"/>
    <w:rsid w:val="008D4B7C"/>
    <w:rsid w:val="008E5FAF"/>
    <w:rsid w:val="00917B2F"/>
    <w:rsid w:val="009653DB"/>
    <w:rsid w:val="00A02027"/>
    <w:rsid w:val="00A03736"/>
    <w:rsid w:val="00A05425"/>
    <w:rsid w:val="00A80EF7"/>
    <w:rsid w:val="00B05B66"/>
    <w:rsid w:val="00B14CE7"/>
    <w:rsid w:val="00B449E1"/>
    <w:rsid w:val="00BA59CC"/>
    <w:rsid w:val="00BA64B2"/>
    <w:rsid w:val="00BD0539"/>
    <w:rsid w:val="00BF79AC"/>
    <w:rsid w:val="00C26AF7"/>
    <w:rsid w:val="00C97D77"/>
    <w:rsid w:val="00CB11AD"/>
    <w:rsid w:val="00CE2770"/>
    <w:rsid w:val="00CF2077"/>
    <w:rsid w:val="00D32520"/>
    <w:rsid w:val="00D335BF"/>
    <w:rsid w:val="00DD2BC6"/>
    <w:rsid w:val="00DF401E"/>
    <w:rsid w:val="00E20E3C"/>
    <w:rsid w:val="00E81354"/>
    <w:rsid w:val="00EC549D"/>
    <w:rsid w:val="00F43670"/>
    <w:rsid w:val="00F479AB"/>
    <w:rsid w:val="00F54813"/>
    <w:rsid w:val="00F65F91"/>
    <w:rsid w:val="00F82F62"/>
    <w:rsid w:val="00FA0525"/>
    <w:rsid w:val="00FA0B52"/>
    <w:rsid w:val="00FA1F10"/>
    <w:rsid w:val="00FB3BBC"/>
    <w:rsid w:val="00FF2A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7E3FC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027"/>
    <w:pPr>
      <w:spacing w:after="0" w:line="480" w:lineRule="auto"/>
      <w:jc w:val="both"/>
    </w:pPr>
    <w:rPr>
      <w:rFonts w:ascii="Times New Roman" w:eastAsia="Arial" w:hAnsi="Times New Roman" w:cs="Arial"/>
      <w:kern w:val="0"/>
      <w:sz w:val="24"/>
      <w:lang w:val="en-GB" w:eastAsia="en-GB"/>
      <w14:ligatures w14:val="none"/>
    </w:rPr>
  </w:style>
  <w:style w:type="paragraph" w:styleId="Heading1">
    <w:name w:val="heading 1"/>
    <w:basedOn w:val="Normal"/>
    <w:next w:val="Normal"/>
    <w:link w:val="Heading1Char"/>
    <w:uiPriority w:val="9"/>
    <w:qFormat/>
    <w:rsid w:val="003E6382"/>
    <w:pPr>
      <w:keepNext/>
      <w:keepLines/>
      <w:spacing w:before="480" w:after="120"/>
      <w:outlineLvl w:val="0"/>
    </w:pPr>
    <w:rPr>
      <w:b/>
      <w:sz w:val="28"/>
      <w:szCs w:val="48"/>
    </w:rPr>
  </w:style>
  <w:style w:type="paragraph" w:styleId="Heading2">
    <w:name w:val="heading 2"/>
    <w:basedOn w:val="Normal"/>
    <w:next w:val="Normal"/>
    <w:link w:val="Heading2Char"/>
    <w:uiPriority w:val="9"/>
    <w:unhideWhenUsed/>
    <w:qFormat/>
    <w:rsid w:val="003E6382"/>
    <w:pPr>
      <w:keepNext/>
      <w:keepLines/>
      <w:spacing w:before="360" w:after="80"/>
      <w:outlineLvl w:val="1"/>
    </w:pPr>
    <w:rPr>
      <w:b/>
      <w:sz w:val="26"/>
      <w:szCs w:val="36"/>
    </w:rPr>
  </w:style>
  <w:style w:type="paragraph" w:styleId="Heading3">
    <w:name w:val="heading 3"/>
    <w:basedOn w:val="Normal"/>
    <w:next w:val="Normal"/>
    <w:link w:val="Heading3Char"/>
    <w:uiPriority w:val="9"/>
    <w:unhideWhenUsed/>
    <w:qFormat/>
    <w:rsid w:val="00BF79AC"/>
    <w:pPr>
      <w:keepNext/>
      <w:keepLines/>
      <w:spacing w:before="40"/>
      <w:outlineLvl w:val="2"/>
    </w:pPr>
    <w:rPr>
      <w:rFonts w:eastAsiaTheme="majorEastAsia" w:cstheme="majorBidi"/>
      <w:i/>
      <w:kern w:val="2"/>
      <w:szCs w:val="24"/>
      <w:u w:val="single"/>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qFormat/>
    <w:rsid w:val="003E6382"/>
    <w:rPr>
      <w:rFonts w:ascii="Times New Roman" w:eastAsia="Arial" w:hAnsi="Times New Roman" w:cs="Arial"/>
      <w:b/>
      <w:kern w:val="0"/>
      <w:sz w:val="28"/>
      <w:szCs w:val="48"/>
      <w:lang w:eastAsia="en-IN"/>
      <w14:ligatures w14:val="none"/>
    </w:rPr>
  </w:style>
  <w:style w:type="character" w:customStyle="1" w:styleId="Heading2Char">
    <w:name w:val="Heading 2 Char"/>
    <w:basedOn w:val="DefaultParagraphFont"/>
    <w:link w:val="Heading2"/>
    <w:uiPriority w:val="9"/>
    <w:rsid w:val="003E6382"/>
    <w:rPr>
      <w:rFonts w:ascii="Times New Roman" w:eastAsia="Arial" w:hAnsi="Times New Roman" w:cs="Arial"/>
      <w:b/>
      <w:kern w:val="0"/>
      <w:sz w:val="26"/>
      <w:szCs w:val="36"/>
      <w:lang w:eastAsia="en-IN"/>
      <w14:ligatures w14:val="none"/>
    </w:rPr>
  </w:style>
  <w:style w:type="character" w:customStyle="1" w:styleId="Heading3Char">
    <w:name w:val="Heading 3 Char"/>
    <w:basedOn w:val="DefaultParagraphFont"/>
    <w:link w:val="Heading3"/>
    <w:uiPriority w:val="9"/>
    <w:rsid w:val="00BF79AC"/>
    <w:rPr>
      <w:rFonts w:ascii="Times New Roman" w:eastAsiaTheme="majorEastAsia" w:hAnsi="Times New Roman" w:cstheme="majorBidi"/>
      <w:i/>
      <w:sz w:val="24"/>
      <w:szCs w:val="24"/>
      <w:u w:val="single"/>
    </w:rPr>
  </w:style>
  <w:style w:type="paragraph" w:styleId="NoSpacing">
    <w:name w:val="No Spacing"/>
    <w:uiPriority w:val="1"/>
    <w:qFormat/>
    <w:rsid w:val="00053B15"/>
    <w:pPr>
      <w:spacing w:after="0" w:line="480" w:lineRule="auto"/>
      <w:jc w:val="both"/>
    </w:pPr>
    <w:rPr>
      <w:rFonts w:ascii="Times New Roman" w:hAnsi="Times New Roman" w:cs="Times New Roman"/>
      <w:kern w:val="0"/>
      <w:sz w:val="24"/>
      <w:szCs w:val="24"/>
      <w:lang w:val="en-US"/>
      <w14:ligatures w14:val="none"/>
    </w:rPr>
  </w:style>
  <w:style w:type="paragraph" w:customStyle="1" w:styleId="Heading30">
    <w:name w:val="Heading3"/>
    <w:basedOn w:val="NormalWeb"/>
    <w:qFormat/>
    <w:rsid w:val="001A1AD3"/>
    <w:pPr>
      <w:spacing w:before="100" w:beforeAutospacing="1" w:after="100" w:afterAutospacing="1"/>
    </w:pPr>
    <w:rPr>
      <w:i/>
      <w:u w:val="single"/>
    </w:rPr>
  </w:style>
  <w:style w:type="paragraph" w:styleId="NormalWeb">
    <w:name w:val="Normal (Web)"/>
    <w:basedOn w:val="Normal"/>
    <w:uiPriority w:val="99"/>
    <w:unhideWhenUsed/>
    <w:rsid w:val="00596013"/>
  </w:style>
  <w:style w:type="paragraph" w:styleId="Header">
    <w:name w:val="header"/>
    <w:basedOn w:val="Normal"/>
    <w:link w:val="HeaderChar"/>
    <w:uiPriority w:val="99"/>
    <w:unhideWhenUsed/>
    <w:rsid w:val="00C97D77"/>
    <w:pPr>
      <w:tabs>
        <w:tab w:val="center" w:pos="4513"/>
        <w:tab w:val="right" w:pos="9026"/>
      </w:tabs>
      <w:spacing w:line="240" w:lineRule="auto"/>
    </w:pPr>
  </w:style>
  <w:style w:type="character" w:customStyle="1" w:styleId="HeaderChar">
    <w:name w:val="Header Char"/>
    <w:basedOn w:val="DefaultParagraphFont"/>
    <w:link w:val="Header"/>
    <w:uiPriority w:val="99"/>
    <w:rsid w:val="00C97D77"/>
    <w:rPr>
      <w:rFonts w:ascii="Times New Roman" w:eastAsia="Arial" w:hAnsi="Times New Roman" w:cs="Arial"/>
      <w:kern w:val="0"/>
      <w:sz w:val="24"/>
      <w:lang w:val="en-GB" w:eastAsia="en-GB"/>
      <w14:ligatures w14:val="none"/>
    </w:rPr>
  </w:style>
  <w:style w:type="paragraph" w:styleId="Footer">
    <w:name w:val="footer"/>
    <w:basedOn w:val="Normal"/>
    <w:link w:val="FooterChar"/>
    <w:uiPriority w:val="99"/>
    <w:unhideWhenUsed/>
    <w:rsid w:val="00C97D77"/>
    <w:pPr>
      <w:tabs>
        <w:tab w:val="center" w:pos="4513"/>
        <w:tab w:val="right" w:pos="9026"/>
      </w:tabs>
      <w:spacing w:line="240" w:lineRule="auto"/>
    </w:pPr>
  </w:style>
  <w:style w:type="character" w:customStyle="1" w:styleId="FooterChar">
    <w:name w:val="Footer Char"/>
    <w:basedOn w:val="DefaultParagraphFont"/>
    <w:link w:val="Footer"/>
    <w:uiPriority w:val="99"/>
    <w:rsid w:val="00C97D77"/>
    <w:rPr>
      <w:rFonts w:ascii="Times New Roman" w:eastAsia="Arial" w:hAnsi="Times New Roman" w:cs="Arial"/>
      <w:kern w:val="0"/>
      <w:sz w:val="24"/>
      <w:lang w:val="en-GB" w:eastAsia="en-GB"/>
      <w14:ligatures w14:val="none"/>
    </w:rPr>
  </w:style>
  <w:style w:type="paragraph" w:styleId="ListParagraph">
    <w:name w:val="List Paragraph"/>
    <w:basedOn w:val="Normal"/>
    <w:uiPriority w:val="34"/>
    <w:qFormat/>
    <w:rsid w:val="00CB11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CON24</b:Tag>
    <b:SourceType>InternetSite</b:SourceType>
    <b:Guid>{CECEF675-6B2D-4822-B25E-BBBC5A8AEB05}</b:Guid>
    <b:Author>
      <b:Author>
        <b:Corporate>CONSOC</b:Corporate>
      </b:Author>
    </b:Author>
    <b:Title>The executive</b:Title>
    <b:Year>2024</b:Year>
    <b:YearAccessed>2024</b:YearAccessed>
    <b:MonthAccessed>2</b:MonthAccessed>
    <b:DayAccessed>15</b:DayAccessed>
    <b:URL>https://consoc.org.uk/the-constitution-explained/the-executive/</b:URL>
    <b:RefOrder>1</b:RefOrder>
  </b:Source>
  <b:Source>
    <b:Tag>Lex24</b:Tag>
    <b:SourceType>InternetSite</b:SourceType>
    <b:Guid>{7E139D91-48A1-4F8F-9975-086AB0DBCFBA}</b:Guid>
    <b:Author>
      <b:Author>
        <b:Corporate>LexisNexis</b:Corporate>
      </b:Author>
    </b:Author>
    <b:Title>Executive definition</b:Title>
    <b:Year>2024</b:Year>
    <b:YearAccessed>2024</b:YearAccessed>
    <b:MonthAccessed>2</b:MonthAccessed>
    <b:DayAccessed>15</b:DayAccessed>
    <b:URL>https://www.lexisnexis.co.uk/legal/glossary/executive</b:URL>
    <b:RefOrder>2</b:RefOrder>
  </b:Source>
  <b:Source>
    <b:Tag>Law24</b:Tag>
    <b:SourceType>InternetSite</b:SourceType>
    <b:Guid>{85E03CDA-3D64-42BD-9A9A-E9FF831C4EBA}</b:Guid>
    <b:Author>
      <b:Author>
        <b:Corporate>LawWales</b:Corporate>
      </b:Author>
    </b:Author>
    <b:Title>The three branches of government</b:Title>
    <b:Year>2021</b:Year>
    <b:YearAccessed>2024</b:YearAccessed>
    <b:MonthAccessed>2</b:MonthAccessed>
    <b:DayAccessed>15</b:DayAccessed>
    <b:URL>https://law.gov.wales/three-branches-government</b:URL>
    <b:RefOrder>3</b:RefOrder>
  </b:Source>
  <b:Source>
    <b:Tag>GOV24</b:Tag>
    <b:SourceType>InternetSite</b:SourceType>
    <b:Guid>{7CFF2230-4CAB-4855-8154-EE0B3A9754B5}</b:Guid>
    <b:Author>
      <b:Author>
        <b:Corporate>GOV.UK</b:Corporate>
      </b:Author>
    </b:Author>
    <b:Title>How government works</b:Title>
    <b:Year>2024</b:Year>
    <b:YearAccessed>2024</b:YearAccessed>
    <b:MonthAccessed>2</b:MonthAccessed>
    <b:DayAccessed>15</b:DayAccessed>
    <b:URL>https://www.gov.uk/government/how-government-works</b:URL>
    <b:RefOrder>4</b:RefOrder>
  </b:Source>
  <b:Source>
    <b:Tag>HAN24</b:Tag>
    <b:SourceType>InternetSite</b:SourceType>
    <b:Guid>{2B7D5EF6-DB14-49D7-9FAA-09E587AA03FC}</b:Guid>
    <b:Author>
      <b:Author>
        <b:NameList>
          <b:Person>
            <b:Last>WHITE</b:Last>
            <b:First>HANNAH</b:First>
          </b:Person>
        </b:NameList>
      </b:Author>
    </b:Author>
    <b:Title>What does good scrutiny look like?</b:Title>
    <b:Year>2024</b:Year>
    <b:YearAccessed>2024</b:YearAccessed>
    <b:MonthAccessed>2</b:MonthAccessed>
    <b:DayAccessed>15</b:DayAccessed>
    <b:URL>https://www.instituteforgovernment.org.uk/article/comment/what-does-good-scrutiny-look</b:URL>
    <b:RefOrder>5</b:RefOrder>
  </b:Source>
  <b:Source>
    <b:Tag>UOL23</b:Tag>
    <b:SourceType>InternetSite</b:SourceType>
    <b:Guid>{FC343C3C-23B1-4E04-9B0C-8B47F3CC9FC0}</b:Guid>
    <b:Author>
      <b:Author>
        <b:Corporate>UOLLB</b:Corporate>
      </b:Author>
    </b:Author>
    <b:Title>Separation of Powers in United Kingdom</b:Title>
    <b:Year>2023</b:Year>
    <b:YearAccessed>2024</b:YearAccessed>
    <b:MonthAccessed>2</b:MonthAccessed>
    <b:DayAccessed>15</b:DayAccessed>
    <b:URL>https://uollb.com/blog/english-common-law/separation-of-powers-in-united-kingdom</b:URL>
    <b:RefOrder>6</b:RefOrder>
  </b:Source>
  <b:Source>
    <b:Tag>Ass24</b:Tag>
    <b:SourceType>InternetSite</b:SourceType>
    <b:Guid>{C20CD6D2-D6CF-4056-B390-F91063ABD6D4}</b:Guid>
    <b:Author>
      <b:Author>
        <b:Corporate>Assets</b:Corporate>
      </b:Author>
    </b:Author>
    <b:Title>Chapter 8 – Holding the Government</b:Title>
    <b:Year>2024</b:Year>
    <b:YearAccessed>2024</b:YearAccessed>
    <b:MonthAccessed>2</b:MonthAccessed>
    <b:DayAccessed>15</b:DayAccessed>
    <b:URL>https://assets.publishing.service.gov.uk/media/5a7c327840f0b67d0b11f816/chap8.pdf</b:URL>
    <b:RefOrder>7</b:RefOrder>
  </b:Source>
</b:Sources>
</file>

<file path=customXml/itemProps1.xml><?xml version="1.0" encoding="utf-8"?>
<ds:datastoreItem xmlns:ds="http://schemas.openxmlformats.org/officeDocument/2006/customXml" ds:itemID="{07A22D49-279E-4040-AE42-A77159B405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1744</Words>
  <Characters>9941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2024-02-20T12:59:00Z</dcterms:created>
  <dcterms:modified xsi:type="dcterms:W3CDTF">2024-03-14T22:46:00Z</dcterms:modified>
</cp:coreProperties>
</file>