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0FB30" w14:textId="42984615" w:rsidR="00231F69" w:rsidRDefault="00B554DB" w:rsidP="00920D2E">
      <w:pPr>
        <w:pStyle w:val="font-claude-response-body"/>
        <w:spacing w:line="360" w:lineRule="auto"/>
        <w:jc w:val="both"/>
        <w:rPr>
          <w:rFonts w:ascii="Arial" w:hAnsi="Arial" w:cs="Arial"/>
          <w:b/>
          <w:bCs/>
          <w:sz w:val="22"/>
          <w:szCs w:val="22"/>
        </w:rPr>
      </w:pPr>
      <w:r>
        <w:rPr>
          <w:rFonts w:ascii="Arial" w:hAnsi="Arial" w:cs="Arial"/>
          <w:b/>
          <w:bCs/>
          <w:sz w:val="22"/>
          <w:szCs w:val="22"/>
        </w:rPr>
        <w:t xml:space="preserve">          </w:t>
      </w:r>
      <w:r w:rsidR="00133C77">
        <w:rPr>
          <w:rFonts w:ascii="Arial" w:hAnsi="Arial" w:cs="Arial"/>
          <w:b/>
          <w:bCs/>
          <w:sz w:val="22"/>
          <w:szCs w:val="22"/>
        </w:rPr>
        <w:t xml:space="preserve">        </w:t>
      </w:r>
      <w:r>
        <w:rPr>
          <w:rFonts w:ascii="Arial" w:hAnsi="Arial" w:cs="Arial"/>
          <w:b/>
          <w:bCs/>
          <w:sz w:val="22"/>
          <w:szCs w:val="22"/>
        </w:rPr>
        <w:t xml:space="preserve"> </w:t>
      </w:r>
      <w:r w:rsidR="003C769E">
        <w:rPr>
          <w:rFonts w:ascii="Arial" w:hAnsi="Arial" w:cs="Arial"/>
          <w:b/>
          <w:bCs/>
          <w:sz w:val="22"/>
          <w:szCs w:val="22"/>
        </w:rPr>
        <w:t>Reflect</w:t>
      </w:r>
      <w:r w:rsidR="00BD400D">
        <w:rPr>
          <w:rFonts w:ascii="Arial" w:hAnsi="Arial" w:cs="Arial"/>
          <w:b/>
          <w:bCs/>
          <w:sz w:val="22"/>
          <w:szCs w:val="22"/>
        </w:rPr>
        <w:t xml:space="preserve">ion on principles of health and </w:t>
      </w:r>
      <w:proofErr w:type="spellStart"/>
      <w:r w:rsidR="00BD400D">
        <w:rPr>
          <w:rFonts w:ascii="Arial" w:hAnsi="Arial" w:cs="Arial"/>
          <w:b/>
          <w:bCs/>
          <w:sz w:val="22"/>
          <w:szCs w:val="22"/>
        </w:rPr>
        <w:t>s</w:t>
      </w:r>
      <w:r w:rsidR="00B848C4">
        <w:rPr>
          <w:rFonts w:ascii="Arial" w:hAnsi="Arial" w:cs="Arial"/>
          <w:b/>
          <w:bCs/>
          <w:sz w:val="22"/>
          <w:szCs w:val="22"/>
        </w:rPr>
        <w:t>ocialcare</w:t>
      </w:r>
      <w:proofErr w:type="spellEnd"/>
      <w:r w:rsidR="00B848C4">
        <w:rPr>
          <w:rFonts w:ascii="Arial" w:hAnsi="Arial" w:cs="Arial"/>
          <w:b/>
          <w:bCs/>
          <w:sz w:val="22"/>
          <w:szCs w:val="22"/>
        </w:rPr>
        <w:t xml:space="preserve"> Practice</w:t>
      </w:r>
    </w:p>
    <w:p w14:paraId="2006F40D" w14:textId="697926EE" w:rsidR="003C769E" w:rsidRDefault="00B554DB" w:rsidP="00920D2E">
      <w:pPr>
        <w:pStyle w:val="font-claude-response-body"/>
        <w:spacing w:line="360" w:lineRule="auto"/>
        <w:jc w:val="both"/>
        <w:rPr>
          <w:rFonts w:ascii="Arial" w:hAnsi="Arial" w:cs="Arial"/>
          <w:b/>
          <w:bCs/>
          <w:sz w:val="22"/>
          <w:szCs w:val="22"/>
        </w:rPr>
      </w:pPr>
      <w:r>
        <w:rPr>
          <w:rFonts w:ascii="Arial" w:hAnsi="Arial" w:cs="Arial"/>
          <w:b/>
          <w:bCs/>
          <w:sz w:val="22"/>
          <w:szCs w:val="22"/>
        </w:rPr>
        <w:t xml:space="preserve">       </w:t>
      </w:r>
      <w:r w:rsidR="00231F69">
        <w:rPr>
          <w:rFonts w:ascii="Arial" w:hAnsi="Arial" w:cs="Arial"/>
          <w:b/>
          <w:bCs/>
          <w:sz w:val="22"/>
          <w:szCs w:val="22"/>
        </w:rPr>
        <w:t xml:space="preserve">Person </w:t>
      </w:r>
      <w:r w:rsidR="00BE6321">
        <w:rPr>
          <w:rFonts w:ascii="Arial" w:hAnsi="Arial" w:cs="Arial"/>
          <w:b/>
          <w:bCs/>
          <w:sz w:val="22"/>
          <w:szCs w:val="22"/>
        </w:rPr>
        <w:t>Centred Care partnership working and E</w:t>
      </w:r>
      <w:r w:rsidR="00DA0835">
        <w:rPr>
          <w:rFonts w:ascii="Arial" w:hAnsi="Arial" w:cs="Arial"/>
          <w:b/>
          <w:bCs/>
          <w:sz w:val="22"/>
          <w:szCs w:val="22"/>
        </w:rPr>
        <w:t>thics in the UK Context</w:t>
      </w:r>
    </w:p>
    <w:p w14:paraId="605B7279" w14:textId="20FC1C24" w:rsidR="003323A1" w:rsidRDefault="003C769E" w:rsidP="00920D2E">
      <w:pPr>
        <w:pStyle w:val="font-claude-response-body"/>
        <w:spacing w:line="360" w:lineRule="auto"/>
        <w:jc w:val="both"/>
        <w:rPr>
          <w:rFonts w:ascii="Arial" w:hAnsi="Arial" w:cs="Arial"/>
          <w:b/>
          <w:bCs/>
          <w:sz w:val="22"/>
          <w:szCs w:val="22"/>
        </w:rPr>
      </w:pPr>
      <w:r>
        <w:rPr>
          <w:rFonts w:ascii="Arial" w:hAnsi="Arial" w:cs="Arial"/>
          <w:b/>
          <w:bCs/>
          <w:sz w:val="22"/>
          <w:szCs w:val="22"/>
        </w:rPr>
        <w:t xml:space="preserve">                 </w:t>
      </w:r>
      <w:r w:rsidR="00B554DB">
        <w:rPr>
          <w:rFonts w:ascii="Arial" w:hAnsi="Arial" w:cs="Arial"/>
          <w:b/>
          <w:bCs/>
          <w:sz w:val="22"/>
          <w:szCs w:val="22"/>
        </w:rPr>
        <w:t xml:space="preserve">   </w:t>
      </w:r>
      <w:r w:rsidR="00133C77">
        <w:rPr>
          <w:rFonts w:ascii="Arial" w:hAnsi="Arial" w:cs="Arial"/>
          <w:b/>
          <w:bCs/>
          <w:sz w:val="22"/>
          <w:szCs w:val="22"/>
        </w:rPr>
        <w:t xml:space="preserve">               </w:t>
      </w:r>
      <w:r w:rsidR="00B554DB">
        <w:rPr>
          <w:rFonts w:ascii="Arial" w:hAnsi="Arial" w:cs="Arial"/>
          <w:b/>
          <w:bCs/>
          <w:sz w:val="22"/>
          <w:szCs w:val="22"/>
        </w:rPr>
        <w:t xml:space="preserve">   </w:t>
      </w:r>
      <w:r w:rsidR="00406FC4">
        <w:rPr>
          <w:rFonts w:ascii="Arial" w:hAnsi="Arial" w:cs="Arial"/>
          <w:b/>
          <w:bCs/>
          <w:sz w:val="22"/>
          <w:szCs w:val="22"/>
        </w:rPr>
        <w:t>Student Name</w:t>
      </w:r>
      <w:r w:rsidR="00800197">
        <w:rPr>
          <w:rFonts w:ascii="Arial" w:hAnsi="Arial" w:cs="Arial"/>
          <w:b/>
          <w:bCs/>
          <w:sz w:val="22"/>
          <w:szCs w:val="22"/>
        </w:rPr>
        <w:t xml:space="preserve">   </w:t>
      </w:r>
      <w:r w:rsidR="00406FC4">
        <w:rPr>
          <w:rFonts w:ascii="Arial" w:hAnsi="Arial" w:cs="Arial"/>
          <w:b/>
          <w:bCs/>
          <w:sz w:val="22"/>
          <w:szCs w:val="22"/>
        </w:rPr>
        <w:t xml:space="preserve"> </w:t>
      </w:r>
      <w:r w:rsidR="00800197">
        <w:rPr>
          <w:rFonts w:ascii="Arial" w:hAnsi="Arial" w:cs="Arial"/>
          <w:b/>
          <w:bCs/>
          <w:sz w:val="22"/>
          <w:szCs w:val="22"/>
        </w:rPr>
        <w:t>Maryam Waseem</w:t>
      </w:r>
    </w:p>
    <w:p w14:paraId="3E514D80" w14:textId="5BE2FDAE" w:rsidR="00800197" w:rsidRPr="00DA5FA8" w:rsidRDefault="00800197" w:rsidP="00920D2E">
      <w:pPr>
        <w:pStyle w:val="font-claude-response-body"/>
        <w:spacing w:line="360" w:lineRule="auto"/>
        <w:jc w:val="both"/>
        <w:rPr>
          <w:rFonts w:ascii="Arial" w:hAnsi="Arial" w:cs="Arial"/>
          <w:b/>
          <w:bCs/>
          <w:sz w:val="22"/>
          <w:szCs w:val="22"/>
        </w:rPr>
      </w:pPr>
      <w:r>
        <w:rPr>
          <w:rFonts w:ascii="Arial" w:hAnsi="Arial" w:cs="Arial"/>
          <w:b/>
          <w:bCs/>
          <w:sz w:val="22"/>
          <w:szCs w:val="22"/>
        </w:rPr>
        <w:t xml:space="preserve">                    </w:t>
      </w:r>
      <w:r w:rsidR="00941C56">
        <w:rPr>
          <w:rFonts w:ascii="Arial" w:hAnsi="Arial" w:cs="Arial"/>
          <w:b/>
          <w:bCs/>
          <w:sz w:val="22"/>
          <w:szCs w:val="22"/>
        </w:rPr>
        <w:t xml:space="preserve">               </w:t>
      </w:r>
      <w:r>
        <w:rPr>
          <w:rFonts w:ascii="Arial" w:hAnsi="Arial" w:cs="Arial"/>
          <w:b/>
          <w:bCs/>
          <w:sz w:val="22"/>
          <w:szCs w:val="22"/>
        </w:rPr>
        <w:t xml:space="preserve">   </w:t>
      </w:r>
      <w:r w:rsidR="0075771C">
        <w:rPr>
          <w:rFonts w:ascii="Arial" w:hAnsi="Arial" w:cs="Arial"/>
          <w:b/>
          <w:bCs/>
          <w:sz w:val="22"/>
          <w:szCs w:val="22"/>
        </w:rPr>
        <w:t xml:space="preserve">Student Number   </w:t>
      </w:r>
      <w:r w:rsidR="00577D39">
        <w:rPr>
          <w:rFonts w:ascii="Arial" w:hAnsi="Arial" w:cs="Arial"/>
          <w:b/>
          <w:bCs/>
          <w:sz w:val="22"/>
          <w:szCs w:val="22"/>
        </w:rPr>
        <w:t>2433389</w:t>
      </w:r>
    </w:p>
    <w:p w14:paraId="56324859" w14:textId="0208DD82" w:rsidR="000A30C5" w:rsidRPr="00DA5FA8" w:rsidRDefault="00577D39" w:rsidP="00920D2E">
      <w:pPr>
        <w:pStyle w:val="font-claude-response-body"/>
        <w:spacing w:line="360" w:lineRule="auto"/>
        <w:jc w:val="both"/>
        <w:rPr>
          <w:rFonts w:ascii="Arial" w:hAnsi="Arial" w:cs="Arial"/>
          <w:b/>
          <w:bCs/>
          <w:sz w:val="22"/>
          <w:szCs w:val="22"/>
        </w:rPr>
      </w:pPr>
      <w:r>
        <w:rPr>
          <w:rFonts w:ascii="Arial" w:hAnsi="Arial" w:cs="Arial"/>
          <w:b/>
          <w:bCs/>
          <w:sz w:val="22"/>
          <w:szCs w:val="22"/>
        </w:rPr>
        <w:t xml:space="preserve">                  </w:t>
      </w:r>
      <w:r w:rsidR="00941C56">
        <w:rPr>
          <w:rFonts w:ascii="Arial" w:hAnsi="Arial" w:cs="Arial"/>
          <w:b/>
          <w:bCs/>
          <w:sz w:val="22"/>
          <w:szCs w:val="22"/>
        </w:rPr>
        <w:t xml:space="preserve">               </w:t>
      </w:r>
      <w:r>
        <w:rPr>
          <w:rFonts w:ascii="Arial" w:hAnsi="Arial" w:cs="Arial"/>
          <w:b/>
          <w:bCs/>
          <w:sz w:val="22"/>
          <w:szCs w:val="22"/>
        </w:rPr>
        <w:t xml:space="preserve">     Module Code    </w:t>
      </w:r>
      <w:r w:rsidR="00772873">
        <w:rPr>
          <w:rFonts w:ascii="Arial" w:hAnsi="Arial" w:cs="Arial"/>
          <w:b/>
          <w:bCs/>
          <w:sz w:val="22"/>
          <w:szCs w:val="22"/>
        </w:rPr>
        <w:t>BMHP501</w:t>
      </w:r>
      <w:r w:rsidR="000C73A6">
        <w:rPr>
          <w:rFonts w:ascii="Arial" w:hAnsi="Arial" w:cs="Arial"/>
          <w:b/>
          <w:bCs/>
          <w:sz w:val="22"/>
          <w:szCs w:val="22"/>
        </w:rPr>
        <w:t>6</w:t>
      </w:r>
    </w:p>
    <w:p w14:paraId="10E25ADA" w14:textId="77777777" w:rsidR="000A30C5" w:rsidRPr="00DA5FA8" w:rsidRDefault="000A30C5" w:rsidP="00920D2E">
      <w:pPr>
        <w:pStyle w:val="font-claude-response-body"/>
        <w:spacing w:line="360" w:lineRule="auto"/>
        <w:jc w:val="both"/>
        <w:rPr>
          <w:rFonts w:ascii="Arial" w:hAnsi="Arial" w:cs="Arial"/>
          <w:b/>
          <w:bCs/>
          <w:sz w:val="22"/>
          <w:szCs w:val="22"/>
        </w:rPr>
      </w:pPr>
    </w:p>
    <w:p w14:paraId="0ED73894" w14:textId="6562AC3F" w:rsidR="003323A1" w:rsidRPr="00DA5FA8" w:rsidRDefault="003323A1" w:rsidP="00920D2E">
      <w:pPr>
        <w:pStyle w:val="font-claude-response-body"/>
        <w:spacing w:line="360" w:lineRule="auto"/>
        <w:jc w:val="center"/>
        <w:rPr>
          <w:rFonts w:ascii="Arial" w:hAnsi="Arial" w:cs="Arial"/>
          <w:b/>
          <w:bCs/>
          <w:sz w:val="22"/>
          <w:szCs w:val="22"/>
        </w:rPr>
      </w:pPr>
    </w:p>
    <w:p w14:paraId="246D7F78" w14:textId="7DED4B89" w:rsidR="003323A1" w:rsidRPr="00DA5FA8" w:rsidRDefault="0035146C" w:rsidP="0035146C">
      <w:pPr>
        <w:spacing w:after="160"/>
        <w:jc w:val="center"/>
        <w:rPr>
          <w:rFonts w:ascii="Arial" w:hAnsi="Arial"/>
          <w:sz w:val="22"/>
          <w:szCs w:val="22"/>
        </w:rPr>
      </w:pPr>
      <w:r w:rsidRPr="0035146C">
        <w:rPr>
          <w:rFonts w:ascii="Arial" w:eastAsia="Times New Roman" w:hAnsi="Arial"/>
          <w:b/>
          <w:bCs/>
          <w:color w:val="auto"/>
          <w:sz w:val="22"/>
          <w:szCs w:val="22"/>
        </w:rPr>
        <w:t>Component 1: Written Assignment (Reflective Report)</w:t>
      </w:r>
      <w:r w:rsidR="003323A1" w:rsidRPr="00DA5FA8">
        <w:rPr>
          <w:rFonts w:ascii="Arial" w:hAnsi="Arial"/>
          <w:sz w:val="22"/>
          <w:szCs w:val="22"/>
        </w:rPr>
        <w:br w:type="page"/>
      </w:r>
    </w:p>
    <w:sdt>
      <w:sdtPr>
        <w:rPr>
          <w:rFonts w:ascii="Arial" w:eastAsia="Arial" w:hAnsi="Arial" w:cs="Arial"/>
          <w:color w:val="000000" w:themeColor="text1"/>
          <w:sz w:val="22"/>
          <w:szCs w:val="22"/>
          <w:lang w:val="en-IN" w:eastAsia="en-IN"/>
        </w:rPr>
        <w:id w:val="801118450"/>
        <w:docPartObj>
          <w:docPartGallery w:val="Table of Contents"/>
          <w:docPartUnique/>
        </w:docPartObj>
      </w:sdtPr>
      <w:sdtEndPr>
        <w:rPr>
          <w:b/>
          <w:bCs/>
          <w:noProof/>
        </w:rPr>
      </w:sdtEndPr>
      <w:sdtContent>
        <w:p w14:paraId="17BFE3E8" w14:textId="013E7AB4" w:rsidR="003323A1" w:rsidRPr="00DA5FA8" w:rsidRDefault="003323A1" w:rsidP="00920D2E">
          <w:pPr>
            <w:pStyle w:val="TOCHeading"/>
            <w:spacing w:line="360" w:lineRule="auto"/>
            <w:jc w:val="center"/>
            <w:rPr>
              <w:rFonts w:ascii="Arial" w:hAnsi="Arial" w:cs="Arial"/>
              <w:b/>
              <w:bCs/>
              <w:color w:val="000000" w:themeColor="text1"/>
              <w:sz w:val="22"/>
              <w:szCs w:val="22"/>
            </w:rPr>
          </w:pPr>
          <w:r w:rsidRPr="00DA5FA8">
            <w:rPr>
              <w:rFonts w:ascii="Arial" w:hAnsi="Arial" w:cs="Arial"/>
              <w:b/>
              <w:bCs/>
              <w:color w:val="000000" w:themeColor="text1"/>
              <w:sz w:val="22"/>
              <w:szCs w:val="22"/>
            </w:rPr>
            <w:t>Table of Contents</w:t>
          </w:r>
        </w:p>
        <w:p w14:paraId="54F5FBCB" w14:textId="77777777" w:rsidR="003323A1" w:rsidRPr="00DA5FA8" w:rsidRDefault="003323A1" w:rsidP="00920D2E">
          <w:pPr>
            <w:rPr>
              <w:rFonts w:ascii="Arial" w:hAnsi="Arial"/>
              <w:sz w:val="22"/>
              <w:szCs w:val="22"/>
              <w:lang w:val="en-US" w:eastAsia="en-US"/>
            </w:rPr>
          </w:pPr>
        </w:p>
        <w:p w14:paraId="0A508B2A" w14:textId="53D2C33B" w:rsidR="00920D2E" w:rsidRDefault="003323A1" w:rsidP="00920D2E">
          <w:pPr>
            <w:pStyle w:val="TOC1"/>
            <w:tabs>
              <w:tab w:val="right" w:leader="dot" w:pos="9016"/>
            </w:tabs>
            <w:rPr>
              <w:rFonts w:asciiTheme="minorHAnsi" w:eastAsiaTheme="minorEastAsia" w:hAnsiTheme="minorHAnsi" w:cstheme="minorBidi"/>
              <w:noProof/>
              <w:color w:val="auto"/>
              <w:kern w:val="2"/>
              <w14:ligatures w14:val="standardContextual"/>
            </w:rPr>
          </w:pPr>
          <w:r w:rsidRPr="00DA5FA8">
            <w:rPr>
              <w:rFonts w:ascii="Arial" w:hAnsi="Arial"/>
              <w:sz w:val="22"/>
              <w:szCs w:val="22"/>
            </w:rPr>
            <w:fldChar w:fldCharType="begin"/>
          </w:r>
          <w:r w:rsidRPr="00DA5FA8">
            <w:rPr>
              <w:rFonts w:ascii="Arial" w:hAnsi="Arial"/>
              <w:sz w:val="22"/>
              <w:szCs w:val="22"/>
            </w:rPr>
            <w:instrText xml:space="preserve"> TOC \o "1-3" \h \z \u </w:instrText>
          </w:r>
          <w:r w:rsidRPr="00DA5FA8">
            <w:rPr>
              <w:rFonts w:ascii="Arial" w:hAnsi="Arial"/>
              <w:sz w:val="22"/>
              <w:szCs w:val="22"/>
            </w:rPr>
            <w:fldChar w:fldCharType="separate"/>
          </w:r>
          <w:hyperlink w:anchor="_Toc233371484" w:history="1">
            <w:r w:rsidR="00920D2E" w:rsidRPr="00FA55B5">
              <w:rPr>
                <w:rStyle w:val="Hyperlink"/>
                <w:noProof/>
              </w:rPr>
              <w:t>Task 1: Reflection on the Value of Health and Social Care Principles</w:t>
            </w:r>
            <w:r w:rsidR="00920D2E">
              <w:rPr>
                <w:noProof/>
                <w:webHidden/>
              </w:rPr>
              <w:tab/>
            </w:r>
            <w:r w:rsidR="00920D2E">
              <w:rPr>
                <w:noProof/>
                <w:webHidden/>
              </w:rPr>
              <w:fldChar w:fldCharType="begin"/>
            </w:r>
            <w:r w:rsidR="00920D2E">
              <w:rPr>
                <w:noProof/>
                <w:webHidden/>
              </w:rPr>
              <w:instrText xml:space="preserve"> PAGEREF _Toc233371484 \h </w:instrText>
            </w:r>
            <w:r w:rsidR="00920D2E">
              <w:rPr>
                <w:noProof/>
                <w:webHidden/>
              </w:rPr>
            </w:r>
            <w:r w:rsidR="00920D2E">
              <w:rPr>
                <w:noProof/>
                <w:webHidden/>
              </w:rPr>
              <w:fldChar w:fldCharType="separate"/>
            </w:r>
            <w:r w:rsidR="00920D2E">
              <w:rPr>
                <w:noProof/>
                <w:webHidden/>
              </w:rPr>
              <w:t>3</w:t>
            </w:r>
            <w:r w:rsidR="00920D2E">
              <w:rPr>
                <w:noProof/>
                <w:webHidden/>
              </w:rPr>
              <w:fldChar w:fldCharType="end"/>
            </w:r>
          </w:hyperlink>
        </w:p>
        <w:p w14:paraId="4EF783A7" w14:textId="15374E7F" w:rsidR="00920D2E" w:rsidRDefault="00920D2E" w:rsidP="00920D2E">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33371485" w:history="1">
            <w:r w:rsidRPr="00FA55B5">
              <w:rPr>
                <w:rStyle w:val="Hyperlink"/>
                <w:noProof/>
              </w:rPr>
              <w:t>Task 2: Practical Examples of Concepts in Practice - Case Study 1: Diabetes Management in a UK GP Surgery</w:t>
            </w:r>
            <w:r>
              <w:rPr>
                <w:noProof/>
                <w:webHidden/>
              </w:rPr>
              <w:tab/>
            </w:r>
            <w:r>
              <w:rPr>
                <w:noProof/>
                <w:webHidden/>
              </w:rPr>
              <w:fldChar w:fldCharType="begin"/>
            </w:r>
            <w:r>
              <w:rPr>
                <w:noProof/>
                <w:webHidden/>
              </w:rPr>
              <w:instrText xml:space="preserve"> PAGEREF _Toc233371485 \h </w:instrText>
            </w:r>
            <w:r>
              <w:rPr>
                <w:noProof/>
                <w:webHidden/>
              </w:rPr>
            </w:r>
            <w:r>
              <w:rPr>
                <w:noProof/>
                <w:webHidden/>
              </w:rPr>
              <w:fldChar w:fldCharType="separate"/>
            </w:r>
            <w:r>
              <w:rPr>
                <w:noProof/>
                <w:webHidden/>
              </w:rPr>
              <w:t>3</w:t>
            </w:r>
            <w:r>
              <w:rPr>
                <w:noProof/>
                <w:webHidden/>
              </w:rPr>
              <w:fldChar w:fldCharType="end"/>
            </w:r>
          </w:hyperlink>
        </w:p>
        <w:p w14:paraId="08827CC1" w14:textId="5BEAF4A2" w:rsidR="00920D2E" w:rsidRDefault="00920D2E" w:rsidP="00920D2E">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33371486" w:history="1">
            <w:r w:rsidRPr="00FA55B5">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_Toc233371486 \h </w:instrText>
            </w:r>
            <w:r>
              <w:rPr>
                <w:noProof/>
                <w:webHidden/>
              </w:rPr>
            </w:r>
            <w:r>
              <w:rPr>
                <w:noProof/>
                <w:webHidden/>
              </w:rPr>
              <w:fldChar w:fldCharType="separate"/>
            </w:r>
            <w:r>
              <w:rPr>
                <w:noProof/>
                <w:webHidden/>
              </w:rPr>
              <w:t>4</w:t>
            </w:r>
            <w:r>
              <w:rPr>
                <w:noProof/>
                <w:webHidden/>
              </w:rPr>
              <w:fldChar w:fldCharType="end"/>
            </w:r>
          </w:hyperlink>
        </w:p>
        <w:p w14:paraId="10F8BED9" w14:textId="2CA7966F" w:rsidR="00920D2E" w:rsidRDefault="00920D2E" w:rsidP="00920D2E">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33371487" w:history="1">
            <w:r w:rsidRPr="00FA55B5">
              <w:rPr>
                <w:rStyle w:val="Hyperlink"/>
                <w:noProof/>
              </w:rPr>
              <w:t>References</w:t>
            </w:r>
            <w:r>
              <w:rPr>
                <w:noProof/>
                <w:webHidden/>
              </w:rPr>
              <w:tab/>
            </w:r>
            <w:r>
              <w:rPr>
                <w:noProof/>
                <w:webHidden/>
              </w:rPr>
              <w:fldChar w:fldCharType="begin"/>
            </w:r>
            <w:r>
              <w:rPr>
                <w:noProof/>
                <w:webHidden/>
              </w:rPr>
              <w:instrText xml:space="preserve"> PAGEREF _Toc233371487 \h </w:instrText>
            </w:r>
            <w:r>
              <w:rPr>
                <w:noProof/>
                <w:webHidden/>
              </w:rPr>
            </w:r>
            <w:r>
              <w:rPr>
                <w:noProof/>
                <w:webHidden/>
              </w:rPr>
              <w:fldChar w:fldCharType="separate"/>
            </w:r>
            <w:r>
              <w:rPr>
                <w:noProof/>
                <w:webHidden/>
              </w:rPr>
              <w:t>7</w:t>
            </w:r>
            <w:r>
              <w:rPr>
                <w:noProof/>
                <w:webHidden/>
              </w:rPr>
              <w:fldChar w:fldCharType="end"/>
            </w:r>
          </w:hyperlink>
        </w:p>
        <w:p w14:paraId="3796EF6F" w14:textId="31BE504B" w:rsidR="003323A1" w:rsidRPr="00DA5FA8" w:rsidRDefault="003323A1" w:rsidP="00920D2E">
          <w:pPr>
            <w:rPr>
              <w:rFonts w:ascii="Arial" w:hAnsi="Arial"/>
              <w:sz w:val="22"/>
              <w:szCs w:val="22"/>
            </w:rPr>
          </w:pPr>
          <w:r w:rsidRPr="00DA5FA8">
            <w:rPr>
              <w:rFonts w:ascii="Arial" w:hAnsi="Arial"/>
              <w:b/>
              <w:bCs/>
              <w:noProof/>
              <w:sz w:val="22"/>
              <w:szCs w:val="22"/>
            </w:rPr>
            <w:fldChar w:fldCharType="end"/>
          </w:r>
        </w:p>
      </w:sdtContent>
    </w:sdt>
    <w:p w14:paraId="72DCC843" w14:textId="03F3360F" w:rsidR="003323A1" w:rsidRPr="00DA5FA8" w:rsidRDefault="003323A1" w:rsidP="00920D2E">
      <w:pPr>
        <w:spacing w:after="160"/>
        <w:rPr>
          <w:rFonts w:ascii="Arial" w:hAnsi="Arial"/>
          <w:sz w:val="22"/>
          <w:szCs w:val="22"/>
        </w:rPr>
      </w:pPr>
      <w:r w:rsidRPr="00DA5FA8">
        <w:rPr>
          <w:rFonts w:ascii="Arial" w:hAnsi="Arial"/>
          <w:sz w:val="22"/>
          <w:szCs w:val="22"/>
        </w:rPr>
        <w:br w:type="page"/>
      </w:r>
    </w:p>
    <w:p w14:paraId="1551BAD0" w14:textId="31E46622" w:rsidR="00DA5FA8" w:rsidRPr="00DA5FA8" w:rsidRDefault="00DA5FA8" w:rsidP="00920D2E">
      <w:pPr>
        <w:pStyle w:val="Heading1"/>
      </w:pPr>
      <w:bookmarkStart w:id="0" w:name="_Toc233371484"/>
      <w:r w:rsidRPr="00DA5FA8">
        <w:lastRenderedPageBreak/>
        <w:t>Task 1: Reflection on the Value of Health and Social Care Principles</w:t>
      </w:r>
      <w:bookmarkEnd w:id="0"/>
    </w:p>
    <w:p w14:paraId="584D2A84" w14:textId="222EECDC" w:rsidR="00DA5FA8" w:rsidRPr="00DA5FA8" w:rsidRDefault="00DA5FA8" w:rsidP="00920D2E">
      <w:pPr>
        <w:spacing w:after="160"/>
        <w:rPr>
          <w:rFonts w:ascii="Arial" w:hAnsi="Arial"/>
          <w:sz w:val="22"/>
          <w:szCs w:val="22"/>
        </w:rPr>
      </w:pPr>
      <w:r w:rsidRPr="00DA5FA8">
        <w:rPr>
          <w:rFonts w:ascii="Arial" w:hAnsi="Arial"/>
          <w:sz w:val="22"/>
          <w:szCs w:val="22"/>
        </w:rPr>
        <w:t>The provision of high-quality health and social care in the UK is built on three core elements: person-centred care, partnership working, and ethics. Within the context of an evolving, complex system, these elements allow practitioners to deliver care that is safe, respectful, and efficient.</w:t>
      </w:r>
    </w:p>
    <w:p w14:paraId="73B40FB0" w14:textId="1F7DB075" w:rsidR="00DA5FA8" w:rsidRPr="00DA5FA8" w:rsidRDefault="00DA5FA8" w:rsidP="00920D2E">
      <w:pPr>
        <w:spacing w:after="160"/>
        <w:rPr>
          <w:rFonts w:ascii="Arial" w:hAnsi="Arial"/>
          <w:sz w:val="22"/>
          <w:szCs w:val="22"/>
        </w:rPr>
      </w:pPr>
      <w:r w:rsidRPr="00DA5FA8">
        <w:rPr>
          <w:rFonts w:ascii="Arial" w:hAnsi="Arial"/>
          <w:sz w:val="22"/>
          <w:szCs w:val="22"/>
        </w:rPr>
        <w:t>Person-centred care means putting the service user at the centre of all clinical decisions, thus acknowledging them as an active participant in the process, not a passive receiver of care (Kelsall-Knight and Stevens, 2024). This is a part of the professional duty of care described by the Nursing and Midwifery Council, which states that nurses and nursing associates should prioritise people (NMC, 2018). Hodge, et al. (2024) explain that practising this method increases dignity, improves quality of life, and advances positive outcomes in UK care settings, especially in cases concerning individuals who have long-term conditions. However, for this method to be genuinely incorporated, a degree of cultural and practice change, as well as time and improved verbal and non-verbal communication methods, are required. Without these, the method will revert back to a task-centred format of delivery.</w:t>
      </w:r>
    </w:p>
    <w:p w14:paraId="4616403A" w14:textId="5678288E" w:rsidR="00DA5FA8" w:rsidRPr="00DA5FA8" w:rsidRDefault="00DA5FA8" w:rsidP="00920D2E">
      <w:pPr>
        <w:spacing w:after="160"/>
        <w:rPr>
          <w:rFonts w:ascii="Arial" w:hAnsi="Arial"/>
          <w:sz w:val="22"/>
          <w:szCs w:val="22"/>
        </w:rPr>
      </w:pPr>
      <w:r w:rsidRPr="00DA5FA8">
        <w:rPr>
          <w:rFonts w:ascii="Arial" w:hAnsi="Arial"/>
          <w:sz w:val="22"/>
          <w:szCs w:val="22"/>
        </w:rPr>
        <w:t>Partnership working has improved since the formal integration of Integrated Care Systems across England following the Health and Care Act 2022 (Thomson and Chatterjee, 2024). Collaboration incorporates the NHS, local authorities, the voluntary sector, families, and the patient population, resulting in greater continuity and less disruption in the provision of services. Hayhoe (2025) claims that multidisciplinary team practices across the UK require equal skill levels, mutual respect, and the willingness to engage in open inter-professional discussions. Regardless of the advancements in policy, Thomson and Chatterjee (2024) argue that the structural, cultural, and financial barriers continue to deepen the gulf between integration goals and the reality encountered at the frontlines.</w:t>
      </w:r>
    </w:p>
    <w:p w14:paraId="57BE8F42" w14:textId="5AB8B051" w:rsidR="00DA5FA8" w:rsidRDefault="00DA5FA8" w:rsidP="00920D2E">
      <w:pPr>
        <w:spacing w:after="160"/>
        <w:rPr>
          <w:rFonts w:ascii="Arial" w:hAnsi="Arial"/>
          <w:sz w:val="22"/>
          <w:szCs w:val="22"/>
        </w:rPr>
      </w:pPr>
      <w:r w:rsidRPr="00DA5FA8">
        <w:rPr>
          <w:rFonts w:ascii="Arial" w:hAnsi="Arial"/>
          <w:sz w:val="22"/>
          <w:szCs w:val="22"/>
        </w:rPr>
        <w:t>Ethics is the foundation for every professional decision, as clinical practice inherently involves morality. The four principles of biomedical ethics offer practical support to the clinician (Cheraghi et al., 2023). The principle of autonomy protects the patient’s right to make decisions, as well as the patient’s right to privacy. While autonomy and ethics conflict, the practitioner has the right to refer to the NMC Code of 2018 for support in resolving the conflict. These ethical principles ensure that the service is provided in an accountable and responsive way.</w:t>
      </w:r>
    </w:p>
    <w:p w14:paraId="4B071A62" w14:textId="71320905" w:rsidR="00DA5FA8" w:rsidRDefault="00DA5FA8" w:rsidP="00920D2E">
      <w:pPr>
        <w:spacing w:after="160"/>
        <w:rPr>
          <w:rFonts w:ascii="Arial" w:hAnsi="Arial"/>
          <w:sz w:val="22"/>
          <w:szCs w:val="22"/>
        </w:rPr>
      </w:pPr>
      <w:r w:rsidRPr="00DA5FA8">
        <w:rPr>
          <w:rFonts w:ascii="Arial" w:hAnsi="Arial"/>
          <w:sz w:val="22"/>
          <w:szCs w:val="22"/>
        </w:rPr>
        <w:t xml:space="preserve">In addition, consistently embedding these principles requires a commitment by leadership over time, especially in relation to developing training pathways that include reflective supervision. Workforce pressures, staff shortages and limited resources for the NHS can make it difficult to apply these values in a way that is truly meant to be helpful. Sustaining a partnership </w:t>
      </w:r>
      <w:r w:rsidRPr="00DA5FA8">
        <w:rPr>
          <w:rFonts w:ascii="Arial" w:hAnsi="Arial"/>
          <w:sz w:val="22"/>
          <w:szCs w:val="22"/>
        </w:rPr>
        <w:lastRenderedPageBreak/>
        <w:t>approach to practice and maintaining an ethic of care and person-centred practice is dependent on systemic investment to ensure practice and a workplace culture that is supportive of compassionate, collaborative and accountable practice.</w:t>
      </w:r>
      <w:r>
        <w:rPr>
          <w:rFonts w:ascii="Arial" w:hAnsi="Arial"/>
          <w:sz w:val="22"/>
          <w:szCs w:val="22"/>
        </w:rPr>
        <w:t xml:space="preserve"> </w:t>
      </w:r>
      <w:r w:rsidRPr="00DA5FA8">
        <w:rPr>
          <w:rFonts w:ascii="Arial" w:hAnsi="Arial"/>
          <w:sz w:val="22"/>
          <w:szCs w:val="22"/>
        </w:rPr>
        <w:t xml:space="preserve">The three principles reinforce and support each other. Genuine partnership working is only holistic when ethically grounded, and both strengthen interprofessional collaboration. </w:t>
      </w:r>
    </w:p>
    <w:p w14:paraId="2D790930" w14:textId="051842F3" w:rsidR="00DA5FA8" w:rsidRPr="00DA5FA8" w:rsidRDefault="00DA5FA8" w:rsidP="00920D2E">
      <w:pPr>
        <w:pStyle w:val="Heading1"/>
      </w:pPr>
      <w:bookmarkStart w:id="1" w:name="_Toc233371485"/>
      <w:r w:rsidRPr="00DA5FA8">
        <w:t xml:space="preserve">Task 2: Practical Examples of Concepts in Practice </w:t>
      </w:r>
      <w:r>
        <w:t>-</w:t>
      </w:r>
      <w:r w:rsidRPr="00DA5FA8">
        <w:t xml:space="preserve"> Case Study 1: Diabetes Management in a UK GP Surgery</w:t>
      </w:r>
      <w:bookmarkEnd w:id="1"/>
    </w:p>
    <w:p w14:paraId="31864747" w14:textId="3F37310B" w:rsidR="00DA5FA8" w:rsidRPr="00DA5FA8" w:rsidRDefault="00DA5FA8" w:rsidP="00920D2E">
      <w:pPr>
        <w:spacing w:after="160"/>
        <w:rPr>
          <w:rFonts w:ascii="Arial" w:hAnsi="Arial"/>
          <w:sz w:val="22"/>
          <w:szCs w:val="22"/>
        </w:rPr>
      </w:pPr>
      <w:r w:rsidRPr="00DA5FA8">
        <w:rPr>
          <w:rFonts w:ascii="Arial" w:hAnsi="Arial"/>
          <w:sz w:val="22"/>
          <w:szCs w:val="22"/>
        </w:rPr>
        <w:t>Case Study 1 focuses on a practice nurse in a UK GP surgery caring for patients with Type 2 Diabetes (T2D). Her patient group includes those who wish to learn more about the condition, those who wish to track their blood glucose and those who wish to change their smoking, eating, and exercising habits. This scenario is an excellent opportunity to analyze person-centred care, partnership working, and primary care ethics in the UK.</w:t>
      </w:r>
    </w:p>
    <w:p w14:paraId="6A28E225" w14:textId="0ECD186E" w:rsidR="00DA5FA8" w:rsidRPr="00DA5FA8" w:rsidRDefault="00DA5FA8" w:rsidP="00920D2E">
      <w:pPr>
        <w:spacing w:after="160"/>
        <w:rPr>
          <w:rFonts w:ascii="Arial" w:hAnsi="Arial"/>
          <w:sz w:val="22"/>
          <w:szCs w:val="22"/>
        </w:rPr>
      </w:pPr>
      <w:r w:rsidRPr="00DA5FA8">
        <w:rPr>
          <w:rFonts w:ascii="Arial" w:hAnsi="Arial"/>
          <w:sz w:val="22"/>
          <w:szCs w:val="22"/>
        </w:rPr>
        <w:t>The nurse’s understanding of the impact that different lifestyles and cultural and health literacy levels have on the shaping of different patient education suggests that the nurse is person-centred in her approach. It should be noted that no two patients may present or experience T2D in the same way (Kelsall-Knight and Stevens, 2024). The practice of empowering T2D patients to self-manage remains pivotal to the practice of diabetes. Seidu et al. (2024) state that within the UK primary care setting, person-centred approaches to T2D management are likely to yield better outcomes concerning glycaemic control and the reduction of diabetes-related complications, with which Hodge et al. (2024) are in agreement. In support of this approach, the nurse strives to enhance the patient’s sense of self and confidence to participate in care and treatment decisions.</w:t>
      </w:r>
    </w:p>
    <w:p w14:paraId="57FEC20B" w14:textId="3CFFDC9F" w:rsidR="00DA5FA8" w:rsidRPr="00DA5FA8" w:rsidRDefault="00DA5FA8" w:rsidP="00920D2E">
      <w:pPr>
        <w:spacing w:after="160"/>
        <w:rPr>
          <w:rFonts w:ascii="Arial" w:hAnsi="Arial"/>
          <w:sz w:val="22"/>
          <w:szCs w:val="22"/>
        </w:rPr>
      </w:pPr>
      <w:r w:rsidRPr="00DA5FA8">
        <w:rPr>
          <w:rFonts w:ascii="Arial" w:hAnsi="Arial"/>
          <w:sz w:val="22"/>
          <w:szCs w:val="22"/>
        </w:rPr>
        <w:t>Addressing diabetes management in this context calls for a broader multidisciplinary team including the GP, the practice nurse, a dietitian, a podiatrist, the diabetes specialist nurse, and the patient’s family (Hayhoe, 2025). An example of multidisciplinary cooperation in diabetes management is the NHS Healthy Living digital self-management, which provides education combined with peer support beyond the consultation room (Brunton, Cotterill and Wilson, 2024). A further example of cooperation in this context is the Integrated Care Systems, which aim to connect multiple organizations to provide comprehensive, readily available support for people with chronic diseases (Thomson and Chatterjee, 2024). For patients with long-term diabetes, the goal of integrating services is the establishment of comprehensive care.</w:t>
      </w:r>
      <w:r>
        <w:rPr>
          <w:rFonts w:ascii="Arial" w:hAnsi="Arial"/>
          <w:sz w:val="22"/>
          <w:szCs w:val="22"/>
        </w:rPr>
        <w:t xml:space="preserve"> </w:t>
      </w:r>
    </w:p>
    <w:p w14:paraId="036B3750" w14:textId="3DDE696D" w:rsidR="00DA5FA8" w:rsidRPr="00DA5FA8" w:rsidRDefault="00DA5FA8" w:rsidP="00920D2E">
      <w:pPr>
        <w:spacing w:after="160"/>
        <w:rPr>
          <w:rFonts w:ascii="Arial" w:hAnsi="Arial"/>
          <w:sz w:val="22"/>
          <w:szCs w:val="22"/>
        </w:rPr>
      </w:pPr>
      <w:r w:rsidRPr="00DA5FA8">
        <w:rPr>
          <w:rFonts w:ascii="Arial" w:hAnsi="Arial"/>
          <w:sz w:val="22"/>
          <w:szCs w:val="22"/>
        </w:rPr>
        <w:t xml:space="preserve">In the diabetes clinic, ethical practice means that informed consent is obtained prior to each intervention. While discussing lifestyle options, the nurse attempts to respect the patient’s autonomy. However, at times, the nurse is required to address the issue of autonomy versus the principle of beneficence which is particularly difficult (Cheraghi et al., 2023). This tension </w:t>
      </w:r>
      <w:r w:rsidRPr="00DA5FA8">
        <w:rPr>
          <w:rFonts w:ascii="Arial" w:hAnsi="Arial"/>
          <w:sz w:val="22"/>
          <w:szCs w:val="22"/>
        </w:rPr>
        <w:lastRenderedPageBreak/>
        <w:t>is perhaps the best example of what is typically encountered with the management of chronic diseases and is best addressed through clear communication and cooperative decision-making (Hassan et al., 2025). The nurse is also aware of diabetes stigma and attempts to not reinforce the stigma with judgmental language as this may prompt withdrawal from the clinic.</w:t>
      </w:r>
    </w:p>
    <w:p w14:paraId="66A0AC53" w14:textId="09DEB0F4" w:rsidR="00DA5FA8" w:rsidRDefault="00DA5FA8" w:rsidP="00920D2E">
      <w:pPr>
        <w:spacing w:after="160"/>
        <w:rPr>
          <w:rFonts w:ascii="Arial" w:hAnsi="Arial"/>
          <w:sz w:val="22"/>
          <w:szCs w:val="22"/>
        </w:rPr>
      </w:pPr>
      <w:r w:rsidRPr="00DA5FA8">
        <w:rPr>
          <w:rFonts w:ascii="Arial" w:hAnsi="Arial"/>
          <w:sz w:val="22"/>
          <w:szCs w:val="22"/>
        </w:rPr>
        <w:t>Sustained application of these principles within a system of diabetes care improves the stigma and inequality experienced by patients, and creates long-term enhancements in health outcomes for patients.</w:t>
      </w:r>
      <w:r>
        <w:rPr>
          <w:rFonts w:ascii="Arial" w:hAnsi="Arial"/>
          <w:sz w:val="22"/>
          <w:szCs w:val="22"/>
        </w:rPr>
        <w:t xml:space="preserve"> </w:t>
      </w:r>
      <w:r w:rsidRPr="00DA5FA8">
        <w:rPr>
          <w:rFonts w:ascii="Arial" w:hAnsi="Arial"/>
          <w:sz w:val="22"/>
          <w:szCs w:val="22"/>
        </w:rPr>
        <w:t>Combining these three principles empowers practitioners to offer diabetes care that is caring, evidence-based, and ethically sound in UK primary settings.</w:t>
      </w:r>
    </w:p>
    <w:p w14:paraId="4CCDCB13" w14:textId="73B56690" w:rsidR="00DA5FA8" w:rsidRPr="00DA5FA8" w:rsidRDefault="00DA5FA8" w:rsidP="00920D2E">
      <w:pPr>
        <w:pStyle w:val="Heading1"/>
      </w:pPr>
      <w:bookmarkStart w:id="2" w:name="_Toc233371486"/>
      <w:r w:rsidRPr="00DA5FA8">
        <w:t>Task 3: Self-Reflection as a Health and Social Care Professional</w:t>
      </w:r>
      <w:bookmarkEnd w:id="2"/>
    </w:p>
    <w:p w14:paraId="7765C48D" w14:textId="112C9661" w:rsidR="00DA5FA8" w:rsidRPr="00DA5FA8" w:rsidRDefault="00DA5FA8" w:rsidP="00920D2E">
      <w:pPr>
        <w:spacing w:after="160"/>
        <w:rPr>
          <w:rFonts w:ascii="Arial" w:hAnsi="Arial"/>
          <w:sz w:val="22"/>
          <w:szCs w:val="22"/>
        </w:rPr>
      </w:pPr>
      <w:r w:rsidRPr="00DA5FA8">
        <w:rPr>
          <w:rFonts w:ascii="Arial" w:hAnsi="Arial"/>
          <w:sz w:val="22"/>
          <w:szCs w:val="22"/>
        </w:rPr>
        <w:t>As a practicing health and social care professional, I understand the major impact of person-centered care, collaboration, and ethics in my work. The NMC Code (NMC, 2018) has four main components of professionalism: prioritizing people, practicing effectively, safeguarding, and trust and professionalism. These components form the foundation of the choices I make and my interactions. Reviewing my work helps me identify how and where these components are present, my strengths, and my opportunities for growth. This type of reflection is critical for my development.</w:t>
      </w:r>
    </w:p>
    <w:p w14:paraId="24884266" w14:textId="02D834A4" w:rsidR="00DA5FA8" w:rsidRPr="00DA5FA8" w:rsidRDefault="00DA5FA8" w:rsidP="00920D2E">
      <w:pPr>
        <w:spacing w:after="160"/>
        <w:rPr>
          <w:rFonts w:ascii="Arial" w:hAnsi="Arial"/>
          <w:sz w:val="22"/>
          <w:szCs w:val="22"/>
        </w:rPr>
      </w:pPr>
      <w:r w:rsidRPr="00DA5FA8">
        <w:rPr>
          <w:rFonts w:ascii="Arial" w:hAnsi="Arial"/>
          <w:b/>
          <w:bCs/>
          <w:sz w:val="22"/>
          <w:szCs w:val="22"/>
        </w:rPr>
        <w:t>Person-centered care in my practice:</w:t>
      </w:r>
      <w:r w:rsidRPr="00DA5FA8">
        <w:rPr>
          <w:rFonts w:ascii="Arial" w:hAnsi="Arial"/>
          <w:sz w:val="22"/>
          <w:szCs w:val="22"/>
        </w:rPr>
        <w:t xml:space="preserve"> I recently worked with Service User A, an older person from an ethnic minority group with diabetes and hypertension. I ensured this person was a focal point, with consideration to their individual differences and active listening. I also ensured respect and consideration of their cultural and religious practices. I did not enforce my will, but rather, I formed their care plan with them. With virtue of dignity on Maslow's (Carroll, Collins, and McKenzie, 2025) care hierarchy, I was concerned with self-worth. This care episode brought many changes in my practice, most notably the frequent care level feedback, also known as the 'teach-back' process.</w:t>
      </w:r>
    </w:p>
    <w:p w14:paraId="22B9E1F3" w14:textId="53085CAD" w:rsidR="00DA5FA8" w:rsidRPr="00DA5FA8" w:rsidRDefault="00DA5FA8" w:rsidP="00920D2E">
      <w:pPr>
        <w:spacing w:after="160"/>
        <w:rPr>
          <w:rFonts w:ascii="Arial" w:hAnsi="Arial"/>
          <w:sz w:val="22"/>
          <w:szCs w:val="22"/>
        </w:rPr>
      </w:pPr>
      <w:r w:rsidRPr="00DA5FA8">
        <w:rPr>
          <w:rFonts w:ascii="Arial" w:hAnsi="Arial"/>
          <w:b/>
          <w:bCs/>
          <w:sz w:val="22"/>
          <w:szCs w:val="22"/>
        </w:rPr>
        <w:t>Examples of partnership working in my practice:</w:t>
      </w:r>
      <w:r w:rsidRPr="00DA5FA8">
        <w:rPr>
          <w:rFonts w:ascii="Arial" w:hAnsi="Arial"/>
          <w:sz w:val="22"/>
          <w:szCs w:val="22"/>
        </w:rPr>
        <w:t xml:space="preserve"> Working in a multidisciplinary team (MDT) means I work with GPs, social workers, AHPs, stakeholders in the voluntary sector, and family members. I think I am able to carry the voice of the patient to team discussions and I am respectful when I communicate with the team. However, I have noticed that to some extent, I find it difficult to express my opinions best when they oppose the opinions of senior colleagues. Hayhoe (2025) states that in order for interprofessional working to be effective, all members must, and can be taught, be confident to communicate irrespective of the hierarchical order. In addition, collaborative working is a primary feature of the Health and Care Act 2022, which Thomson and Chatterjee (2024) say deserves a lot of credit, realizing a lot of value for system-wide collaborative working. My assertiveness must improve, and I have </w:t>
      </w:r>
      <w:r w:rsidRPr="00DA5FA8">
        <w:rPr>
          <w:rFonts w:ascii="Arial" w:hAnsi="Arial"/>
          <w:sz w:val="22"/>
          <w:szCs w:val="22"/>
        </w:rPr>
        <w:lastRenderedPageBreak/>
        <w:t>identified this for my personal development, and I will pursue it through opportunities for reflective supervision, and by watching how colleagues of higher standing present issues.</w:t>
      </w:r>
    </w:p>
    <w:p w14:paraId="26C7F3FB" w14:textId="3B68183F" w:rsidR="00DA5FA8" w:rsidRPr="00DA5FA8" w:rsidRDefault="00DA5FA8" w:rsidP="00920D2E">
      <w:pPr>
        <w:spacing w:after="160"/>
        <w:rPr>
          <w:rFonts w:ascii="Arial" w:hAnsi="Arial"/>
          <w:sz w:val="22"/>
          <w:szCs w:val="22"/>
        </w:rPr>
      </w:pPr>
      <w:r w:rsidRPr="00DA5FA8">
        <w:rPr>
          <w:rFonts w:ascii="Arial" w:hAnsi="Arial"/>
          <w:b/>
          <w:bCs/>
          <w:sz w:val="22"/>
          <w:szCs w:val="22"/>
        </w:rPr>
        <w:t>Ethics in my practice:</w:t>
      </w:r>
      <w:r w:rsidRPr="00DA5FA8">
        <w:rPr>
          <w:rFonts w:ascii="Arial" w:hAnsi="Arial"/>
          <w:sz w:val="22"/>
          <w:szCs w:val="22"/>
        </w:rPr>
        <w:t xml:space="preserve"> An ethical dilemma arose with Service User B when they provided me with private information and requested that I not disclose this to their family (who were involved in the service user’s care). Taking the four ethical principles from Cheraghi et al. (2023), complemented by Hassan et al. (2025), I focused on the best way to meet the service user’s expectations and family’s involvement. I kept the service user’s wish for confidentiality, while being the advocate for the service user to communicate the important information to the family for the benefit of the overall care. I carefully recorded what I had done and asked a colleague for their opinion regarding the ultimate outcome. The Care Act 2014 and the NMC Code (NMC, 2018) provided the legal and professional framework I was seeking. This situation showed me that providing the right support is often complex and is a blend of support, flexibility, and a lot of careful thought.</w:t>
      </w:r>
    </w:p>
    <w:p w14:paraId="57D3A4F7" w14:textId="7FFD8516" w:rsidR="00DA5FA8" w:rsidRDefault="00A85C18" w:rsidP="00920D2E">
      <w:pPr>
        <w:spacing w:after="160"/>
        <w:rPr>
          <w:rFonts w:ascii="Arial" w:hAnsi="Arial"/>
          <w:sz w:val="22"/>
          <w:szCs w:val="22"/>
        </w:rPr>
      </w:pPr>
      <w:r w:rsidRPr="00A85C18">
        <w:rPr>
          <w:rFonts w:ascii="Arial" w:hAnsi="Arial"/>
          <w:b/>
          <w:bCs/>
          <w:sz w:val="22"/>
          <w:szCs w:val="22"/>
        </w:rPr>
        <w:t>Skills, strengths, and areas for development:</w:t>
      </w:r>
      <w:r w:rsidRPr="00A85C18">
        <w:rPr>
          <w:rFonts w:ascii="Arial" w:hAnsi="Arial"/>
          <w:sz w:val="22"/>
          <w:szCs w:val="22"/>
        </w:rPr>
        <w:t xml:space="preserve"> </w:t>
      </w:r>
      <w:r w:rsidR="00DA5FA8" w:rsidRPr="00DA5FA8">
        <w:rPr>
          <w:rFonts w:ascii="Arial" w:hAnsi="Arial"/>
          <w:sz w:val="22"/>
          <w:szCs w:val="22"/>
        </w:rPr>
        <w:t xml:space="preserve">I consider my active listening and empathetic nature strengths. I feel that clients have told me in the past that they think I actively listen and respect them, meaning that they’re priorities and goals. I feel that my strengths are foundational knowledge of the field, understanding the importance of the team, and being professionally accountable. I feel that I have a lot of the qualities that are essential for the role, such as care and compassion, as well as a high standard of written and oral communication, and a sincere interest in caring for the client on a personal basis. I feel that I need to work on some weaknesses of mine, and I realize that improper time management due to a </w:t>
      </w:r>
      <w:proofErr w:type="spellStart"/>
      <w:r w:rsidR="00DA5FA8" w:rsidRPr="00DA5FA8">
        <w:rPr>
          <w:rFonts w:ascii="Arial" w:hAnsi="Arial"/>
          <w:sz w:val="22"/>
          <w:szCs w:val="22"/>
        </w:rPr>
        <w:t>a</w:t>
      </w:r>
      <w:proofErr w:type="spellEnd"/>
      <w:r w:rsidR="00DA5FA8" w:rsidRPr="00DA5FA8">
        <w:rPr>
          <w:rFonts w:ascii="Arial" w:hAnsi="Arial"/>
          <w:sz w:val="22"/>
          <w:szCs w:val="22"/>
        </w:rPr>
        <w:t xml:space="preserve"> high caseload, negatively affects my record keeping. I feel that I need to work on being more assertive in MDT, and I feel that I need to increase my understanding of the Care Act 2014 and the Health and Care Act 2022. I have identified that these two particularly shape the regulatory aspects of my practice.</w:t>
      </w:r>
    </w:p>
    <w:p w14:paraId="3304B24E" w14:textId="073D297A" w:rsidR="00A85C18" w:rsidRPr="00DA5FA8" w:rsidRDefault="00A85C18" w:rsidP="00920D2E">
      <w:pPr>
        <w:spacing w:after="160"/>
        <w:rPr>
          <w:rFonts w:ascii="Arial" w:hAnsi="Arial"/>
          <w:sz w:val="22"/>
          <w:szCs w:val="22"/>
        </w:rPr>
      </w:pPr>
      <w:r w:rsidRPr="00A85C18">
        <w:rPr>
          <w:rFonts w:ascii="Arial" w:hAnsi="Arial"/>
          <w:sz w:val="22"/>
          <w:szCs w:val="22"/>
        </w:rPr>
        <w:t>Formal plans help, but I will also rely on goal-oriented colleagues to comment on my work as I value their feedback for it offers me insight into areas I need to develop in that I may not see myself. To help manage the rest of my goals, I will prioritize growth in my field. This includes being a member of real-world networks, journals, and ready-access communities as part of my effort to manage chronic illness and improve integrated patient care. With this added to my professional training, I hope to grow in my field and become a practitioner of high esteem with an ethical practice and offering a valued service.</w:t>
      </w:r>
    </w:p>
    <w:p w14:paraId="5FAC454F" w14:textId="2FA3D561" w:rsidR="000A30C5" w:rsidRDefault="00DA5FA8" w:rsidP="00920D2E">
      <w:pPr>
        <w:spacing w:after="160"/>
        <w:rPr>
          <w:rFonts w:ascii="Arial" w:hAnsi="Arial"/>
          <w:sz w:val="22"/>
          <w:szCs w:val="22"/>
        </w:rPr>
      </w:pPr>
      <w:r w:rsidRPr="00DA5FA8">
        <w:rPr>
          <w:rFonts w:ascii="Arial" w:hAnsi="Arial"/>
          <w:sz w:val="22"/>
          <w:szCs w:val="22"/>
        </w:rPr>
        <w:t xml:space="preserve">In the immediate future, I will review the NMC Code every month and focus on my continuing professional development in diabetes management by using the evidence-informed advice of Seidu et al (2024) and the NHS self-management program as referred to by Brunton, Cotterill </w:t>
      </w:r>
      <w:r w:rsidRPr="00DA5FA8">
        <w:rPr>
          <w:rFonts w:ascii="Arial" w:hAnsi="Arial"/>
          <w:sz w:val="22"/>
          <w:szCs w:val="22"/>
        </w:rPr>
        <w:lastRenderedPageBreak/>
        <w:t xml:space="preserve">and Wilson (2024). I will also keep a structured reflective journal for every shift and document the ethical dilemmas and lessons learned. In the future, I aim to take reflective supervision for the purpose of increasing my assertiveness, complete a short-accredited course in healthcare ethics, and attend workshops on Integrated Care Systems to increase my understanding of the relevant legislation. In longer terms, I hope to attain my qualification as a specialist in diabetes or chronic disease management, and provide integrated care in the UK ICS and support the development of more junior staff. This process of reflection reinforces to me that the underpinning of all self-development, and the self-development of a practitioner focused on partnerships and </w:t>
      </w:r>
      <w:proofErr w:type="gramStart"/>
      <w:r w:rsidRPr="00DA5FA8">
        <w:rPr>
          <w:rFonts w:ascii="Arial" w:hAnsi="Arial"/>
          <w:sz w:val="22"/>
          <w:szCs w:val="22"/>
        </w:rPr>
        <w:t>in a given</w:t>
      </w:r>
      <w:proofErr w:type="gramEnd"/>
      <w:r w:rsidRPr="00DA5FA8">
        <w:rPr>
          <w:rFonts w:ascii="Arial" w:hAnsi="Arial"/>
          <w:sz w:val="22"/>
          <w:szCs w:val="22"/>
        </w:rPr>
        <w:t xml:space="preserve"> clinical field, is self-awareness and the provision of ethical and high-quality care.</w:t>
      </w:r>
    </w:p>
    <w:p w14:paraId="74307F73" w14:textId="77777777" w:rsidR="008E041D" w:rsidRDefault="008E041D" w:rsidP="00920D2E">
      <w:pPr>
        <w:spacing w:after="160"/>
        <w:rPr>
          <w:rFonts w:ascii="Arial" w:hAnsi="Arial"/>
          <w:sz w:val="22"/>
          <w:szCs w:val="22"/>
        </w:rPr>
      </w:pPr>
    </w:p>
    <w:p w14:paraId="3AA701D1" w14:textId="77777777" w:rsidR="008E041D" w:rsidRDefault="008E041D" w:rsidP="00920D2E">
      <w:pPr>
        <w:spacing w:after="160"/>
        <w:rPr>
          <w:rFonts w:ascii="Arial" w:hAnsi="Arial"/>
          <w:sz w:val="22"/>
          <w:szCs w:val="22"/>
        </w:rPr>
      </w:pPr>
    </w:p>
    <w:p w14:paraId="6B37CB15" w14:textId="77777777" w:rsidR="008E041D" w:rsidRDefault="008E041D" w:rsidP="00920D2E">
      <w:pPr>
        <w:spacing w:after="160"/>
        <w:rPr>
          <w:rFonts w:ascii="Arial" w:hAnsi="Arial"/>
          <w:sz w:val="22"/>
          <w:szCs w:val="22"/>
        </w:rPr>
      </w:pPr>
    </w:p>
    <w:p w14:paraId="62B57863" w14:textId="77777777" w:rsidR="008E041D" w:rsidRDefault="008E041D" w:rsidP="00920D2E">
      <w:pPr>
        <w:spacing w:after="160"/>
        <w:rPr>
          <w:rFonts w:ascii="Arial" w:hAnsi="Arial"/>
          <w:sz w:val="22"/>
          <w:szCs w:val="22"/>
        </w:rPr>
      </w:pPr>
    </w:p>
    <w:p w14:paraId="4C5B14F2" w14:textId="2BDA2BDB" w:rsidR="008E041D" w:rsidRPr="00DA5FA8" w:rsidRDefault="00B92551" w:rsidP="00B92551">
      <w:pPr>
        <w:pStyle w:val="Heading1"/>
      </w:pPr>
      <w:r>
        <w:t xml:space="preserve">  </w:t>
      </w:r>
    </w:p>
    <w:p w14:paraId="45342CD1" w14:textId="6914D7EB" w:rsidR="000A30C5" w:rsidRPr="00DA5FA8" w:rsidRDefault="00936A79" w:rsidP="00920D2E">
      <w:pPr>
        <w:pStyle w:val="Heading1"/>
        <w:rPr>
          <w:rFonts w:cs="Arial"/>
          <w:color w:val="auto"/>
          <w:szCs w:val="22"/>
        </w:rPr>
      </w:pPr>
      <w:bookmarkStart w:id="3" w:name="_Toc233371487"/>
      <w:r w:rsidRPr="00DA5FA8">
        <w:rPr>
          <w:rFonts w:cs="Arial"/>
          <w:szCs w:val="22"/>
        </w:rPr>
        <w:t>References</w:t>
      </w:r>
      <w:bookmarkEnd w:id="3"/>
    </w:p>
    <w:p w14:paraId="7DA824FD" w14:textId="5C4F4B9E" w:rsidR="000A30C5" w:rsidRPr="00DA5FA8" w:rsidRDefault="000A30C5" w:rsidP="00920D2E">
      <w:pPr>
        <w:ind w:left="720" w:hanging="720"/>
        <w:rPr>
          <w:rFonts w:ascii="Arial" w:hAnsi="Arial"/>
          <w:sz w:val="22"/>
          <w:szCs w:val="22"/>
        </w:rPr>
      </w:pPr>
      <w:r w:rsidRPr="00DA5FA8">
        <w:rPr>
          <w:rFonts w:ascii="Arial" w:hAnsi="Arial"/>
          <w:sz w:val="22"/>
          <w:szCs w:val="22"/>
        </w:rPr>
        <w:t xml:space="preserve">Brunton, L., Cotterill, S. and Wilson, P. (2024) 'Evaluating the National Rollout of a Type 2 Diabetes Self-Management Intervention: Qualitative Interview Study with Local National Health Service Leads Responsible for Implementation', </w:t>
      </w:r>
      <w:r w:rsidRPr="00DA5FA8">
        <w:rPr>
          <w:rStyle w:val="Emphasis"/>
          <w:rFonts w:ascii="Arial" w:hAnsi="Arial"/>
          <w:sz w:val="22"/>
          <w:szCs w:val="22"/>
        </w:rPr>
        <w:t>Journal of Medical Internet Research</w:t>
      </w:r>
      <w:r w:rsidRPr="00DA5FA8">
        <w:rPr>
          <w:rFonts w:ascii="Arial" w:hAnsi="Arial"/>
          <w:sz w:val="22"/>
          <w:szCs w:val="22"/>
        </w:rPr>
        <w:t>, 26, e55546</w:t>
      </w:r>
      <w:r w:rsidRPr="00DA5FA8">
        <w:rPr>
          <w:rFonts w:ascii="Arial" w:hAnsi="Arial"/>
          <w:color w:val="4472C4" w:themeColor="accent1"/>
          <w:sz w:val="22"/>
          <w:szCs w:val="22"/>
        </w:rPr>
        <w:t xml:space="preserve">. </w:t>
      </w:r>
      <w:hyperlink r:id="rId8" w:history="1">
        <w:r w:rsidRPr="00DA5FA8">
          <w:rPr>
            <w:rStyle w:val="Hyperlink"/>
            <w:rFonts w:ascii="Arial" w:hAnsi="Arial"/>
            <w:color w:val="4472C4" w:themeColor="accent1"/>
            <w:sz w:val="22"/>
            <w:szCs w:val="22"/>
          </w:rPr>
          <w:t>https://www.jmir.org/2024/1/e55546/PDF</w:t>
        </w:r>
      </w:hyperlink>
    </w:p>
    <w:p w14:paraId="36A000A9"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Carroll, Á., Collins, C. and McKenzie, J. (2025) 'Physician wellbeing in a national rehabilitation hospital, a qualitative study utilizing Maslow's hierarchy of needs as a framework for analysis', </w:t>
      </w:r>
      <w:r w:rsidRPr="00DA5FA8">
        <w:rPr>
          <w:rStyle w:val="Emphasis"/>
          <w:rFonts w:ascii="Arial" w:hAnsi="Arial"/>
          <w:sz w:val="22"/>
          <w:szCs w:val="22"/>
        </w:rPr>
        <w:t>BMC Health Services Research</w:t>
      </w:r>
      <w:r w:rsidRPr="00DA5FA8">
        <w:rPr>
          <w:rFonts w:ascii="Arial" w:hAnsi="Arial"/>
          <w:sz w:val="22"/>
          <w:szCs w:val="22"/>
        </w:rPr>
        <w:t xml:space="preserve">, 25(1), Article 175. </w:t>
      </w:r>
      <w:hyperlink r:id="rId9" w:history="1">
        <w:r w:rsidRPr="00DA5FA8">
          <w:rPr>
            <w:rStyle w:val="Hyperlink"/>
            <w:rFonts w:ascii="Arial" w:hAnsi="Arial"/>
            <w:color w:val="4472C4" w:themeColor="accent1"/>
            <w:sz w:val="22"/>
            <w:szCs w:val="22"/>
          </w:rPr>
          <w:t>https://bmchealthservres.biomedcentral.com/counter/pdf/10.1186/s12913-025-12310-x.pdf</w:t>
        </w:r>
      </w:hyperlink>
    </w:p>
    <w:p w14:paraId="33462BE3"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Cheraghi, R., Valizadeh, L., Zamanzadeh, V., Hassankhani, H. and Jafarzadeh, A. (2023) 'Clarification of ethical principle of the beneficence in nursing care: an integrative review', </w:t>
      </w:r>
      <w:r w:rsidRPr="00DA5FA8">
        <w:rPr>
          <w:rStyle w:val="Emphasis"/>
          <w:rFonts w:ascii="Arial" w:hAnsi="Arial"/>
          <w:sz w:val="22"/>
          <w:szCs w:val="22"/>
        </w:rPr>
        <w:t>BMC Nursing</w:t>
      </w:r>
      <w:r w:rsidRPr="00DA5FA8">
        <w:rPr>
          <w:rFonts w:ascii="Arial" w:hAnsi="Arial"/>
          <w:sz w:val="22"/>
          <w:szCs w:val="22"/>
        </w:rPr>
        <w:t xml:space="preserve">, 22(1), Article 89. </w:t>
      </w:r>
      <w:hyperlink r:id="rId10" w:history="1">
        <w:r w:rsidRPr="00DA5FA8">
          <w:rPr>
            <w:rStyle w:val="Hyperlink"/>
            <w:rFonts w:ascii="Arial" w:hAnsi="Arial"/>
            <w:color w:val="4472C4" w:themeColor="accent1"/>
            <w:sz w:val="22"/>
            <w:szCs w:val="22"/>
          </w:rPr>
          <w:t>https://bmcnurs.biomedcentral.com/counter/pdf/10.1186/s12912-023-01246-4.pdf</w:t>
        </w:r>
      </w:hyperlink>
    </w:p>
    <w:p w14:paraId="260E6ACC"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Hassan, N., Slight, R.D., Bimpong, K., Tolley, C., Husband, A., Bell, D. and Slight, S.P. (2025) 'Nurses' adherence to ethical principles – A qualitative study', </w:t>
      </w:r>
      <w:r w:rsidRPr="00DA5FA8">
        <w:rPr>
          <w:rStyle w:val="Emphasis"/>
          <w:rFonts w:ascii="Arial" w:hAnsi="Arial"/>
          <w:sz w:val="22"/>
          <w:szCs w:val="22"/>
        </w:rPr>
        <w:t>Nursing Ethics</w:t>
      </w:r>
      <w:r w:rsidRPr="00DA5FA8">
        <w:rPr>
          <w:rFonts w:ascii="Arial" w:hAnsi="Arial"/>
          <w:sz w:val="22"/>
          <w:szCs w:val="22"/>
        </w:rPr>
        <w:t xml:space="preserve">, 32(4), pp. 1162–1176. </w:t>
      </w:r>
      <w:hyperlink r:id="rId11" w:history="1">
        <w:r w:rsidRPr="00DA5FA8">
          <w:rPr>
            <w:rStyle w:val="Hyperlink"/>
            <w:rFonts w:ascii="Arial" w:hAnsi="Arial"/>
            <w:color w:val="4472C4" w:themeColor="accent1"/>
            <w:sz w:val="22"/>
            <w:szCs w:val="22"/>
          </w:rPr>
          <w:t>https://pmc.ncbi.nlm.nih.gov/articles/PMC12171053/pdf/10.1177_09697330241291159.pdf</w:t>
        </w:r>
      </w:hyperlink>
    </w:p>
    <w:p w14:paraId="1223EAF4"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lastRenderedPageBreak/>
        <w:t xml:space="preserve">Hayhoe, J. (2025) 'Training health and social care professionals in multidisciplinary team working: a document analysis of undergraduate educational requirements', </w:t>
      </w:r>
      <w:r w:rsidRPr="00DA5FA8">
        <w:rPr>
          <w:rStyle w:val="Emphasis"/>
          <w:rFonts w:ascii="Arial" w:hAnsi="Arial"/>
          <w:sz w:val="22"/>
          <w:szCs w:val="22"/>
        </w:rPr>
        <w:t>Journal of Interprofessional Care</w:t>
      </w:r>
      <w:r w:rsidRPr="00DA5FA8">
        <w:rPr>
          <w:rFonts w:ascii="Arial" w:hAnsi="Arial"/>
          <w:sz w:val="22"/>
          <w:szCs w:val="22"/>
        </w:rPr>
        <w:t xml:space="preserve">, 39(3), pp. 448–458. </w:t>
      </w:r>
      <w:hyperlink r:id="rId12" w:history="1">
        <w:r w:rsidRPr="00DA5FA8">
          <w:rPr>
            <w:rStyle w:val="Hyperlink"/>
            <w:rFonts w:ascii="Arial" w:hAnsi="Arial"/>
            <w:color w:val="4472C4" w:themeColor="accent1"/>
            <w:sz w:val="22"/>
            <w:szCs w:val="22"/>
          </w:rPr>
          <w:t>https://spiral.imperial.ac.uk/server/api/core/bitstreams/96232bdb-9f69-419c-b554-ef13d6a38d2f/content</w:t>
        </w:r>
      </w:hyperlink>
    </w:p>
    <w:p w14:paraId="06F95A20"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Hodge, S., Hand, A., Bramley, L., Holland, K., Hill, P., Marshall, J., Toulson, C., Snape, R., Hodgson, P., Sturrock, A. and Tomlinson, A. (2024) 'A Multiple Case Study Exploring Person-Centred Care in Care Homes', </w:t>
      </w:r>
      <w:r w:rsidRPr="00DA5FA8">
        <w:rPr>
          <w:rStyle w:val="Emphasis"/>
          <w:rFonts w:ascii="Arial" w:hAnsi="Arial"/>
          <w:sz w:val="22"/>
          <w:szCs w:val="22"/>
        </w:rPr>
        <w:t>Health &amp; Social Care in the Community</w:t>
      </w:r>
      <w:r w:rsidRPr="00DA5FA8">
        <w:rPr>
          <w:rFonts w:ascii="Arial" w:hAnsi="Arial"/>
          <w:sz w:val="22"/>
          <w:szCs w:val="22"/>
        </w:rPr>
        <w:t>, 2024, Article 9888828</w:t>
      </w:r>
      <w:r w:rsidRPr="00DA5FA8">
        <w:rPr>
          <w:rFonts w:ascii="Arial" w:hAnsi="Arial"/>
          <w:color w:val="4472C4" w:themeColor="accent1"/>
          <w:sz w:val="22"/>
          <w:szCs w:val="22"/>
        </w:rPr>
        <w:t xml:space="preserve">. </w:t>
      </w:r>
      <w:hyperlink r:id="rId13" w:history="1">
        <w:r w:rsidRPr="00DA5FA8">
          <w:rPr>
            <w:rStyle w:val="Hyperlink"/>
            <w:rFonts w:ascii="Arial" w:hAnsi="Arial"/>
            <w:color w:val="4472C4" w:themeColor="accent1"/>
            <w:sz w:val="22"/>
            <w:szCs w:val="22"/>
          </w:rPr>
          <w:t>https://onlinelibrary.wiley.com/doi/pdf/10.1155/2024/9888828</w:t>
        </w:r>
      </w:hyperlink>
    </w:p>
    <w:p w14:paraId="27033C0B"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Kelsall-Knight, L. and Stevens, R. (2024) 'Exploring the implementation of person-centred care in nursing practice', </w:t>
      </w:r>
      <w:r w:rsidRPr="00DA5FA8">
        <w:rPr>
          <w:rStyle w:val="Emphasis"/>
          <w:rFonts w:ascii="Arial" w:hAnsi="Arial"/>
          <w:sz w:val="22"/>
          <w:szCs w:val="22"/>
        </w:rPr>
        <w:t>Nursing Standard</w:t>
      </w:r>
      <w:r w:rsidRPr="00DA5FA8">
        <w:rPr>
          <w:rFonts w:ascii="Arial" w:hAnsi="Arial"/>
          <w:sz w:val="22"/>
          <w:szCs w:val="22"/>
        </w:rPr>
        <w:t xml:space="preserve">, 39(1), pp. 70–75. </w:t>
      </w:r>
      <w:hyperlink r:id="rId14" w:history="1">
        <w:r w:rsidRPr="00DA5FA8">
          <w:rPr>
            <w:rStyle w:val="Hyperlink"/>
            <w:rFonts w:ascii="Arial" w:hAnsi="Arial"/>
            <w:color w:val="4472C4" w:themeColor="accent1"/>
            <w:sz w:val="22"/>
            <w:szCs w:val="22"/>
          </w:rPr>
          <w:t>https://pure-oai.bham.ac.uk/ws/portalfiles/portal/215552494/Kelsall-KnightL2023Exploring_AAM.pdf</w:t>
        </w:r>
      </w:hyperlink>
    </w:p>
    <w:p w14:paraId="4223313C"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Nursing and Midwifery Council (2018) </w:t>
      </w:r>
      <w:r w:rsidRPr="00DA5FA8">
        <w:rPr>
          <w:rStyle w:val="Emphasis"/>
          <w:rFonts w:ascii="Arial" w:hAnsi="Arial"/>
          <w:sz w:val="22"/>
          <w:szCs w:val="22"/>
        </w:rPr>
        <w:t>The Code: Professional standards of practice and behaviour for nurses, midwives and nursing associates</w:t>
      </w:r>
      <w:r w:rsidRPr="00DA5FA8">
        <w:rPr>
          <w:rFonts w:ascii="Arial" w:hAnsi="Arial"/>
          <w:sz w:val="22"/>
          <w:szCs w:val="22"/>
        </w:rPr>
        <w:t xml:space="preserve">. London: NMC. </w:t>
      </w:r>
      <w:hyperlink r:id="rId15" w:history="1">
        <w:r w:rsidRPr="00DA5FA8">
          <w:rPr>
            <w:rStyle w:val="Hyperlink"/>
            <w:rFonts w:ascii="Arial" w:hAnsi="Arial"/>
            <w:color w:val="4472C4" w:themeColor="accent1"/>
            <w:sz w:val="22"/>
            <w:szCs w:val="22"/>
          </w:rPr>
          <w:t>https://www.nmc.org.uk/globalassets/sitedocuments/nmc-publications/nmc-code.pdf</w:t>
        </w:r>
      </w:hyperlink>
    </w:p>
    <w:p w14:paraId="5B24B053"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Seidu, S., Avery, L., Bell, H., Brown, P., Diggle, J., Down, S., Dua, R., Holmes, P., Mohan, R., Milne, N., Min, T., Ridgeway, J., Tahir, W. and Tanna, S. (2024) 'Removing barriers to management of adults with type 2 diabetes on insulin using continuous glucose monitoring in UK primary care practice: An expert consensus', </w:t>
      </w:r>
      <w:r w:rsidRPr="00DA5FA8">
        <w:rPr>
          <w:rStyle w:val="Emphasis"/>
          <w:rFonts w:ascii="Arial" w:hAnsi="Arial"/>
          <w:sz w:val="22"/>
          <w:szCs w:val="22"/>
        </w:rPr>
        <w:t>Diabetic Medicine</w:t>
      </w:r>
      <w:r w:rsidRPr="00DA5FA8">
        <w:rPr>
          <w:rFonts w:ascii="Arial" w:hAnsi="Arial"/>
          <w:sz w:val="22"/>
          <w:szCs w:val="22"/>
        </w:rPr>
        <w:t xml:space="preserve">, 42(3), e15500. </w:t>
      </w:r>
      <w:hyperlink r:id="rId16" w:history="1">
        <w:r w:rsidRPr="00DA5FA8">
          <w:rPr>
            <w:rStyle w:val="Hyperlink"/>
            <w:rFonts w:ascii="Arial" w:hAnsi="Arial"/>
            <w:color w:val="4472C4" w:themeColor="accent1"/>
            <w:sz w:val="22"/>
            <w:szCs w:val="22"/>
          </w:rPr>
          <w:t>https://onlinelibrary.wiley.com/doi/pdf/10.1111/dme.15500</w:t>
        </w:r>
      </w:hyperlink>
    </w:p>
    <w:p w14:paraId="298D3EB7" w14:textId="77777777" w:rsidR="000A30C5" w:rsidRPr="00DA5FA8" w:rsidRDefault="000A30C5" w:rsidP="00920D2E">
      <w:pPr>
        <w:ind w:left="720" w:hanging="720"/>
        <w:rPr>
          <w:rFonts w:ascii="Arial" w:hAnsi="Arial"/>
          <w:color w:val="4472C4" w:themeColor="accent1"/>
          <w:sz w:val="22"/>
          <w:szCs w:val="22"/>
        </w:rPr>
      </w:pPr>
      <w:r w:rsidRPr="00DA5FA8">
        <w:rPr>
          <w:rFonts w:ascii="Arial" w:hAnsi="Arial"/>
          <w:sz w:val="22"/>
          <w:szCs w:val="22"/>
        </w:rPr>
        <w:t xml:space="preserve">Thomson, L.J.M. and Chatterjee, H.J. (2024) 'Barriers and enablers of integrated care in the UK: a rapid evidence review of review articles and grey literature 2018–2022', </w:t>
      </w:r>
      <w:r w:rsidRPr="00DA5FA8">
        <w:rPr>
          <w:rStyle w:val="Emphasis"/>
          <w:rFonts w:ascii="Arial" w:hAnsi="Arial"/>
          <w:sz w:val="22"/>
          <w:szCs w:val="22"/>
        </w:rPr>
        <w:t>Frontiers in Public Health</w:t>
      </w:r>
      <w:r w:rsidRPr="00DA5FA8">
        <w:rPr>
          <w:rFonts w:ascii="Arial" w:hAnsi="Arial"/>
          <w:sz w:val="22"/>
          <w:szCs w:val="22"/>
        </w:rPr>
        <w:t xml:space="preserve">, 11, Article 1286479. </w:t>
      </w:r>
      <w:hyperlink r:id="rId17" w:history="1">
        <w:r w:rsidRPr="00DA5FA8">
          <w:rPr>
            <w:rStyle w:val="Hyperlink"/>
            <w:rFonts w:ascii="Arial" w:hAnsi="Arial"/>
            <w:color w:val="4472C4" w:themeColor="accent1"/>
            <w:sz w:val="22"/>
            <w:szCs w:val="22"/>
          </w:rPr>
          <w:t>https://www.frontiersin.org/journals/public-health/articles/10.3389/fpubh.2023.1286479/pdf</w:t>
        </w:r>
      </w:hyperlink>
    </w:p>
    <w:sectPr w:rsidR="000A30C5" w:rsidRPr="00DA5FA8" w:rsidSect="000A30C5">
      <w:headerReference w:type="default" r:id="rId18"/>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33D19" w14:textId="77777777" w:rsidR="001D083E" w:rsidRDefault="001D083E" w:rsidP="003323A1">
      <w:pPr>
        <w:spacing w:line="240" w:lineRule="auto"/>
      </w:pPr>
      <w:r>
        <w:separator/>
      </w:r>
    </w:p>
  </w:endnote>
  <w:endnote w:type="continuationSeparator" w:id="0">
    <w:p w14:paraId="193A02C8" w14:textId="77777777" w:rsidR="001D083E" w:rsidRDefault="001D083E" w:rsidP="003323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886835"/>
      <w:docPartObj>
        <w:docPartGallery w:val="Page Numbers (Bottom of Page)"/>
        <w:docPartUnique/>
      </w:docPartObj>
    </w:sdtPr>
    <w:sdtEndPr>
      <w:rPr>
        <w:noProof/>
      </w:rPr>
    </w:sdtEndPr>
    <w:sdtContent>
      <w:p w14:paraId="2819F827" w14:textId="65529C55" w:rsidR="003323A1" w:rsidRDefault="003323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F33E2" w14:textId="77777777" w:rsidR="003323A1" w:rsidRDefault="0033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65C25" w14:textId="77777777" w:rsidR="001D083E" w:rsidRDefault="001D083E" w:rsidP="003323A1">
      <w:pPr>
        <w:spacing w:line="240" w:lineRule="auto"/>
      </w:pPr>
      <w:r>
        <w:separator/>
      </w:r>
    </w:p>
  </w:footnote>
  <w:footnote w:type="continuationSeparator" w:id="0">
    <w:p w14:paraId="76F5F3B1" w14:textId="77777777" w:rsidR="001D083E" w:rsidRDefault="001D083E" w:rsidP="003323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30BCC" w14:textId="07C38C45" w:rsidR="003323A1" w:rsidRDefault="003323A1">
    <w:pPr>
      <w:pStyle w:val="Header"/>
    </w:pPr>
    <w:r w:rsidRPr="003323A1">
      <w:rPr>
        <w:noProof/>
      </w:rPr>
      <w:drawing>
        <wp:anchor distT="0" distB="0" distL="114300" distR="114300" simplePos="0" relativeHeight="251658240" behindDoc="1" locked="0" layoutInCell="1" allowOverlap="1" wp14:anchorId="73E8F0E1" wp14:editId="3A9AC8CD">
          <wp:simplePos x="0" y="0"/>
          <wp:positionH relativeFrom="column">
            <wp:posOffset>5243830</wp:posOffset>
          </wp:positionH>
          <wp:positionV relativeFrom="paragraph">
            <wp:posOffset>-6350</wp:posOffset>
          </wp:positionV>
          <wp:extent cx="759460" cy="388620"/>
          <wp:effectExtent l="0" t="0" r="2540" b="0"/>
          <wp:wrapTight wrapText="bothSides">
            <wp:wrapPolygon edited="0">
              <wp:start x="0" y="0"/>
              <wp:lineTo x="0" y="20118"/>
              <wp:lineTo x="21130" y="20118"/>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9460" cy="388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6E6A"/>
    <w:multiLevelType w:val="hybridMultilevel"/>
    <w:tmpl w:val="2CF89A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A23737"/>
    <w:multiLevelType w:val="hybridMultilevel"/>
    <w:tmpl w:val="E124C958"/>
    <w:lvl w:ilvl="0" w:tplc="4009000F">
      <w:start w:val="1"/>
      <w:numFmt w:val="decimal"/>
      <w:lvlText w:val="%1."/>
      <w:lvlJc w:val="left"/>
      <w:pPr>
        <w:ind w:left="643" w:hanging="360"/>
      </w:pPr>
    </w:lvl>
    <w:lvl w:ilvl="1" w:tplc="40090019" w:tentative="1">
      <w:start w:val="1"/>
      <w:numFmt w:val="lowerLetter"/>
      <w:lvlText w:val="%2."/>
      <w:lvlJc w:val="left"/>
      <w:pPr>
        <w:ind w:left="1363" w:hanging="360"/>
      </w:pPr>
    </w:lvl>
    <w:lvl w:ilvl="2" w:tplc="4009001B" w:tentative="1">
      <w:start w:val="1"/>
      <w:numFmt w:val="lowerRoman"/>
      <w:lvlText w:val="%3."/>
      <w:lvlJc w:val="right"/>
      <w:pPr>
        <w:ind w:left="2083" w:hanging="180"/>
      </w:pPr>
    </w:lvl>
    <w:lvl w:ilvl="3" w:tplc="4009000F" w:tentative="1">
      <w:start w:val="1"/>
      <w:numFmt w:val="decimal"/>
      <w:lvlText w:val="%4."/>
      <w:lvlJc w:val="left"/>
      <w:pPr>
        <w:ind w:left="2803" w:hanging="360"/>
      </w:pPr>
    </w:lvl>
    <w:lvl w:ilvl="4" w:tplc="40090019" w:tentative="1">
      <w:start w:val="1"/>
      <w:numFmt w:val="lowerLetter"/>
      <w:lvlText w:val="%5."/>
      <w:lvlJc w:val="left"/>
      <w:pPr>
        <w:ind w:left="3523" w:hanging="360"/>
      </w:pPr>
    </w:lvl>
    <w:lvl w:ilvl="5" w:tplc="4009001B" w:tentative="1">
      <w:start w:val="1"/>
      <w:numFmt w:val="lowerRoman"/>
      <w:lvlText w:val="%6."/>
      <w:lvlJc w:val="right"/>
      <w:pPr>
        <w:ind w:left="4243" w:hanging="180"/>
      </w:pPr>
    </w:lvl>
    <w:lvl w:ilvl="6" w:tplc="4009000F" w:tentative="1">
      <w:start w:val="1"/>
      <w:numFmt w:val="decimal"/>
      <w:lvlText w:val="%7."/>
      <w:lvlJc w:val="left"/>
      <w:pPr>
        <w:ind w:left="4963" w:hanging="360"/>
      </w:pPr>
    </w:lvl>
    <w:lvl w:ilvl="7" w:tplc="40090019" w:tentative="1">
      <w:start w:val="1"/>
      <w:numFmt w:val="lowerLetter"/>
      <w:lvlText w:val="%8."/>
      <w:lvlJc w:val="left"/>
      <w:pPr>
        <w:ind w:left="5683" w:hanging="360"/>
      </w:pPr>
    </w:lvl>
    <w:lvl w:ilvl="8" w:tplc="4009001B" w:tentative="1">
      <w:start w:val="1"/>
      <w:numFmt w:val="lowerRoman"/>
      <w:lvlText w:val="%9."/>
      <w:lvlJc w:val="right"/>
      <w:pPr>
        <w:ind w:left="6403" w:hanging="180"/>
      </w:pPr>
    </w:lvl>
  </w:abstractNum>
  <w:num w:numId="1" w16cid:durableId="1358501928">
    <w:abstractNumId w:val="0"/>
  </w:num>
  <w:num w:numId="2" w16cid:durableId="1438214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04C"/>
    <w:rsid w:val="000A30C5"/>
    <w:rsid w:val="000C73A6"/>
    <w:rsid w:val="000E58F7"/>
    <w:rsid w:val="00133C77"/>
    <w:rsid w:val="001D083E"/>
    <w:rsid w:val="00231F69"/>
    <w:rsid w:val="002B40C1"/>
    <w:rsid w:val="003323A1"/>
    <w:rsid w:val="0035146C"/>
    <w:rsid w:val="003C769E"/>
    <w:rsid w:val="00406FC4"/>
    <w:rsid w:val="004660CA"/>
    <w:rsid w:val="00577D39"/>
    <w:rsid w:val="006210A0"/>
    <w:rsid w:val="00641103"/>
    <w:rsid w:val="0075771C"/>
    <w:rsid w:val="00772873"/>
    <w:rsid w:val="00785FF1"/>
    <w:rsid w:val="00800197"/>
    <w:rsid w:val="008E041D"/>
    <w:rsid w:val="008F6868"/>
    <w:rsid w:val="00920D2E"/>
    <w:rsid w:val="00936A79"/>
    <w:rsid w:val="00941C56"/>
    <w:rsid w:val="00A85C18"/>
    <w:rsid w:val="00B554DB"/>
    <w:rsid w:val="00B848C4"/>
    <w:rsid w:val="00B92551"/>
    <w:rsid w:val="00BD1E72"/>
    <w:rsid w:val="00BD400D"/>
    <w:rsid w:val="00BE6321"/>
    <w:rsid w:val="00C27443"/>
    <w:rsid w:val="00C90EF2"/>
    <w:rsid w:val="00CA104C"/>
    <w:rsid w:val="00D11FCA"/>
    <w:rsid w:val="00D52ECA"/>
    <w:rsid w:val="00DA0835"/>
    <w:rsid w:val="00DA21B7"/>
    <w:rsid w:val="00DA5FA8"/>
    <w:rsid w:val="00DB17E0"/>
    <w:rsid w:val="00DD118A"/>
    <w:rsid w:val="00EF4B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E7088"/>
  <w15:chartTrackingRefBased/>
  <w15:docId w15:val="{931A058D-7CA2-4D5B-8C88-F5BA95B0F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A0"/>
    <w:pPr>
      <w:spacing w:after="0" w:line="360" w:lineRule="auto"/>
      <w:jc w:val="both"/>
    </w:pPr>
    <w:rPr>
      <w:rFonts w:ascii="Times New Roman" w:hAnsi="Times New Roman" w:cs="Arial"/>
      <w:color w:val="000000" w:themeColor="text1"/>
      <w:sz w:val="24"/>
      <w:szCs w:val="24"/>
      <w:lang w:eastAsia="en-IN"/>
    </w:rPr>
  </w:style>
  <w:style w:type="paragraph" w:styleId="Heading1">
    <w:name w:val="heading 1"/>
    <w:link w:val="Heading1Char"/>
    <w:autoRedefine/>
    <w:uiPriority w:val="9"/>
    <w:qFormat/>
    <w:rsid w:val="00DA5FA8"/>
    <w:pPr>
      <w:spacing w:after="0" w:line="360" w:lineRule="auto"/>
      <w:jc w:val="both"/>
      <w:outlineLvl w:val="0"/>
    </w:pPr>
    <w:rPr>
      <w:rFonts w:ascii="Arial" w:eastAsia="Calibri" w:hAnsi="Arial" w:cs="Calibri"/>
      <w:b/>
      <w:color w:val="000000" w:themeColor="text1"/>
      <w:szCs w:val="32"/>
      <w:lang w:eastAsia="en-IN"/>
    </w:rPr>
  </w:style>
  <w:style w:type="paragraph" w:styleId="Heading2">
    <w:name w:val="heading 2"/>
    <w:link w:val="Heading2Char"/>
    <w:autoRedefine/>
    <w:uiPriority w:val="9"/>
    <w:unhideWhenUsed/>
    <w:qFormat/>
    <w:rsid w:val="006210A0"/>
    <w:pPr>
      <w:spacing w:before="200" w:after="120" w:line="360" w:lineRule="auto"/>
      <w:outlineLvl w:val="1"/>
    </w:pPr>
    <w:rPr>
      <w:rFonts w:ascii="Times New Roman" w:hAnsi="Times New Roman" w:cs="Arial"/>
      <w:b/>
      <w:bCs/>
      <w:color w:val="000000" w:themeColor="text1"/>
      <w:sz w:val="24"/>
      <w:szCs w:val="28"/>
      <w:lang w:eastAsia="en-IN"/>
    </w:rPr>
  </w:style>
  <w:style w:type="paragraph" w:styleId="Heading3">
    <w:name w:val="heading 3"/>
    <w:basedOn w:val="Normal"/>
    <w:link w:val="Heading3Char"/>
    <w:uiPriority w:val="9"/>
    <w:qFormat/>
    <w:rsid w:val="00CA104C"/>
    <w:pPr>
      <w:spacing w:before="100" w:beforeAutospacing="1" w:after="100" w:afterAutospacing="1" w:line="240" w:lineRule="auto"/>
      <w:jc w:val="left"/>
      <w:outlineLvl w:val="2"/>
    </w:pPr>
    <w:rPr>
      <w:rFonts w:eastAsia="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10A0"/>
    <w:rPr>
      <w:rFonts w:ascii="Times New Roman" w:hAnsi="Times New Roman" w:cs="Arial"/>
      <w:b/>
      <w:bCs/>
      <w:color w:val="000000" w:themeColor="text1"/>
      <w:sz w:val="24"/>
      <w:szCs w:val="28"/>
      <w:lang w:eastAsia="en-IN"/>
    </w:rPr>
  </w:style>
  <w:style w:type="character" w:customStyle="1" w:styleId="Heading1Char">
    <w:name w:val="Heading 1 Char"/>
    <w:basedOn w:val="DefaultParagraphFont"/>
    <w:link w:val="Heading1"/>
    <w:uiPriority w:val="9"/>
    <w:rsid w:val="00DA5FA8"/>
    <w:rPr>
      <w:rFonts w:ascii="Arial" w:eastAsia="Calibri" w:hAnsi="Arial" w:cs="Calibri"/>
      <w:b/>
      <w:color w:val="000000" w:themeColor="text1"/>
      <w:szCs w:val="32"/>
      <w:lang w:eastAsia="en-IN"/>
    </w:rPr>
  </w:style>
  <w:style w:type="character" w:customStyle="1" w:styleId="Heading3Char">
    <w:name w:val="Heading 3 Char"/>
    <w:basedOn w:val="DefaultParagraphFont"/>
    <w:link w:val="Heading3"/>
    <w:uiPriority w:val="9"/>
    <w:rsid w:val="00CA104C"/>
    <w:rPr>
      <w:rFonts w:ascii="Times New Roman" w:eastAsia="Times New Roman" w:hAnsi="Times New Roman" w:cs="Times New Roman"/>
      <w:b/>
      <w:bCs/>
      <w:sz w:val="27"/>
      <w:szCs w:val="27"/>
      <w:lang w:eastAsia="en-IN"/>
    </w:rPr>
  </w:style>
  <w:style w:type="paragraph" w:customStyle="1" w:styleId="font-claude-response-body">
    <w:name w:val="font-claude-response-body"/>
    <w:basedOn w:val="Normal"/>
    <w:rsid w:val="00CA104C"/>
    <w:pPr>
      <w:spacing w:before="100" w:beforeAutospacing="1" w:after="100" w:afterAutospacing="1" w:line="240" w:lineRule="auto"/>
      <w:jc w:val="left"/>
    </w:pPr>
    <w:rPr>
      <w:rFonts w:eastAsia="Times New Roman" w:cs="Times New Roman"/>
      <w:color w:val="auto"/>
    </w:rPr>
  </w:style>
  <w:style w:type="paragraph" w:styleId="NoSpacing">
    <w:name w:val="No Spacing"/>
    <w:uiPriority w:val="1"/>
    <w:qFormat/>
    <w:rsid w:val="008F6868"/>
    <w:pPr>
      <w:spacing w:after="0" w:line="240" w:lineRule="auto"/>
      <w:jc w:val="both"/>
    </w:pPr>
    <w:rPr>
      <w:rFonts w:ascii="Times New Roman" w:hAnsi="Times New Roman" w:cs="Arial"/>
      <w:color w:val="000000" w:themeColor="text1"/>
      <w:sz w:val="24"/>
      <w:szCs w:val="24"/>
      <w:lang w:eastAsia="en-IN"/>
    </w:rPr>
  </w:style>
  <w:style w:type="character" w:styleId="Emphasis">
    <w:name w:val="Emphasis"/>
    <w:basedOn w:val="DefaultParagraphFont"/>
    <w:uiPriority w:val="20"/>
    <w:qFormat/>
    <w:rsid w:val="00936A79"/>
    <w:rPr>
      <w:i/>
      <w:iCs/>
    </w:rPr>
  </w:style>
  <w:style w:type="character" w:styleId="Hyperlink">
    <w:name w:val="Hyperlink"/>
    <w:basedOn w:val="DefaultParagraphFont"/>
    <w:uiPriority w:val="99"/>
    <w:unhideWhenUsed/>
    <w:rsid w:val="00936A79"/>
    <w:rPr>
      <w:color w:val="0000FF"/>
      <w:u w:val="single"/>
    </w:rPr>
  </w:style>
  <w:style w:type="paragraph" w:styleId="ListParagraph">
    <w:name w:val="List Paragraph"/>
    <w:basedOn w:val="Normal"/>
    <w:uiPriority w:val="34"/>
    <w:qFormat/>
    <w:rsid w:val="00EF4BD6"/>
    <w:pPr>
      <w:ind w:left="720"/>
      <w:contextualSpacing/>
    </w:pPr>
  </w:style>
  <w:style w:type="character" w:styleId="Strong">
    <w:name w:val="Strong"/>
    <w:basedOn w:val="DefaultParagraphFont"/>
    <w:uiPriority w:val="22"/>
    <w:qFormat/>
    <w:rsid w:val="003323A1"/>
    <w:rPr>
      <w:b/>
      <w:bCs/>
    </w:rPr>
  </w:style>
  <w:style w:type="paragraph" w:styleId="Header">
    <w:name w:val="header"/>
    <w:basedOn w:val="Normal"/>
    <w:link w:val="HeaderChar"/>
    <w:uiPriority w:val="99"/>
    <w:unhideWhenUsed/>
    <w:rsid w:val="003323A1"/>
    <w:pPr>
      <w:tabs>
        <w:tab w:val="center" w:pos="4513"/>
        <w:tab w:val="right" w:pos="9026"/>
      </w:tabs>
      <w:spacing w:line="240" w:lineRule="auto"/>
    </w:pPr>
  </w:style>
  <w:style w:type="character" w:customStyle="1" w:styleId="HeaderChar">
    <w:name w:val="Header Char"/>
    <w:basedOn w:val="DefaultParagraphFont"/>
    <w:link w:val="Header"/>
    <w:uiPriority w:val="99"/>
    <w:rsid w:val="003323A1"/>
    <w:rPr>
      <w:rFonts w:ascii="Times New Roman" w:hAnsi="Times New Roman" w:cs="Arial"/>
      <w:color w:val="000000" w:themeColor="text1"/>
      <w:sz w:val="24"/>
      <w:szCs w:val="24"/>
      <w:lang w:eastAsia="en-IN"/>
    </w:rPr>
  </w:style>
  <w:style w:type="paragraph" w:styleId="Footer">
    <w:name w:val="footer"/>
    <w:basedOn w:val="Normal"/>
    <w:link w:val="FooterChar"/>
    <w:uiPriority w:val="99"/>
    <w:unhideWhenUsed/>
    <w:rsid w:val="003323A1"/>
    <w:pPr>
      <w:tabs>
        <w:tab w:val="center" w:pos="4513"/>
        <w:tab w:val="right" w:pos="9026"/>
      </w:tabs>
      <w:spacing w:line="240" w:lineRule="auto"/>
    </w:pPr>
  </w:style>
  <w:style w:type="character" w:customStyle="1" w:styleId="FooterChar">
    <w:name w:val="Footer Char"/>
    <w:basedOn w:val="DefaultParagraphFont"/>
    <w:link w:val="Footer"/>
    <w:uiPriority w:val="99"/>
    <w:rsid w:val="003323A1"/>
    <w:rPr>
      <w:rFonts w:ascii="Times New Roman" w:hAnsi="Times New Roman" w:cs="Arial"/>
      <w:color w:val="000000" w:themeColor="text1"/>
      <w:sz w:val="24"/>
      <w:szCs w:val="24"/>
      <w:lang w:eastAsia="en-IN"/>
    </w:rPr>
  </w:style>
  <w:style w:type="paragraph" w:styleId="TOCHeading">
    <w:name w:val="TOC Heading"/>
    <w:basedOn w:val="Heading1"/>
    <w:next w:val="Normal"/>
    <w:uiPriority w:val="39"/>
    <w:unhideWhenUsed/>
    <w:qFormat/>
    <w:rsid w:val="003323A1"/>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3323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728949">
      <w:bodyDiv w:val="1"/>
      <w:marLeft w:val="0"/>
      <w:marRight w:val="0"/>
      <w:marTop w:val="0"/>
      <w:marBottom w:val="0"/>
      <w:divBdr>
        <w:top w:val="none" w:sz="0" w:space="0" w:color="auto"/>
        <w:left w:val="none" w:sz="0" w:space="0" w:color="auto"/>
        <w:bottom w:val="none" w:sz="0" w:space="0" w:color="auto"/>
        <w:right w:val="none" w:sz="0" w:space="0" w:color="auto"/>
      </w:divBdr>
    </w:div>
    <w:div w:id="958801218">
      <w:bodyDiv w:val="1"/>
      <w:marLeft w:val="0"/>
      <w:marRight w:val="0"/>
      <w:marTop w:val="0"/>
      <w:marBottom w:val="0"/>
      <w:divBdr>
        <w:top w:val="none" w:sz="0" w:space="0" w:color="auto"/>
        <w:left w:val="none" w:sz="0" w:space="0" w:color="auto"/>
        <w:bottom w:val="none" w:sz="0" w:space="0" w:color="auto"/>
        <w:right w:val="none" w:sz="0" w:space="0" w:color="auto"/>
      </w:divBdr>
    </w:div>
    <w:div w:id="1429541480">
      <w:bodyDiv w:val="1"/>
      <w:marLeft w:val="0"/>
      <w:marRight w:val="0"/>
      <w:marTop w:val="0"/>
      <w:marBottom w:val="0"/>
      <w:divBdr>
        <w:top w:val="none" w:sz="0" w:space="0" w:color="auto"/>
        <w:left w:val="none" w:sz="0" w:space="0" w:color="auto"/>
        <w:bottom w:val="none" w:sz="0" w:space="0" w:color="auto"/>
        <w:right w:val="none" w:sz="0" w:space="0" w:color="auto"/>
      </w:divBdr>
    </w:div>
    <w:div w:id="184990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mir.org/2024/1/e55546/PDF" TargetMode="External"/><Relationship Id="rId13" Type="http://schemas.openxmlformats.org/officeDocument/2006/relationships/hyperlink" Target="https://onlinelibrary.wiley.com/doi/pdf/10.1155/2024/988882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piral.imperial.ac.uk/server/api/core/bitstreams/96232bdb-9f69-419c-b554-ef13d6a38d2f/content" TargetMode="External"/><Relationship Id="rId17" Type="http://schemas.openxmlformats.org/officeDocument/2006/relationships/hyperlink" Target="https://www.frontiersin.org/journals/public-health/articles/10.3389/fpubh.2023.1286479/pdf" TargetMode="External"/><Relationship Id="rId2" Type="http://schemas.openxmlformats.org/officeDocument/2006/relationships/numbering" Target="numbering.xml"/><Relationship Id="rId16" Type="http://schemas.openxmlformats.org/officeDocument/2006/relationships/hyperlink" Target="https://onlinelibrary.wiley.com/doi/pdf/10.1111/dme.155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2171053/pdf/10.1177_09697330241291159.pdf" TargetMode="External"/><Relationship Id="rId5" Type="http://schemas.openxmlformats.org/officeDocument/2006/relationships/webSettings" Target="webSettings.xml"/><Relationship Id="rId15" Type="http://schemas.openxmlformats.org/officeDocument/2006/relationships/hyperlink" Target="https://www.nmc.org.uk/globalassets/sitedocuments/nmc-publications/nmc-code.pdf" TargetMode="External"/><Relationship Id="rId10" Type="http://schemas.openxmlformats.org/officeDocument/2006/relationships/hyperlink" Target="https://bmcnurs.biomedcentral.com/counter/pdf/10.1186/s12912-023-01246-4.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mchealthservres.biomedcentral.com/counter/pdf/10.1186/s12913-025-12310-x.pdf" TargetMode="External"/><Relationship Id="rId14" Type="http://schemas.openxmlformats.org/officeDocument/2006/relationships/hyperlink" Target="https://pure-oai.bham.ac.uk/ws/portalfiles/portal/215552494/Kelsall-KnightL2023Exploring_AAM.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F12C8-156F-4180-B299-9599500F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2677</Words>
  <Characters>15264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Maryam Waseem (2433389)</cp:lastModifiedBy>
  <cp:revision>28</cp:revision>
  <dcterms:created xsi:type="dcterms:W3CDTF">2026-06-24T08:23:00Z</dcterms:created>
  <dcterms:modified xsi:type="dcterms:W3CDTF">2026-06-28T01:09:00Z</dcterms:modified>
</cp:coreProperties>
</file>