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8D348E" w:rsidR="0003759A" w:rsidP="5FEC19FB" w:rsidRDefault="4DD1586D" w14:paraId="31B04632" w14:textId="77777777" w14:noSpellErr="1">
      <w:pPr>
        <w:spacing w:line="360" w:lineRule="auto"/>
        <w:jc w:val="center"/>
        <w:rPr>
          <w:rFonts w:ascii="Arial" w:hAnsi="Arial" w:cs="Arial"/>
          <w:b w:val="1"/>
          <w:bCs w:val="1"/>
          <w:sz w:val="24"/>
          <w:szCs w:val="24"/>
          <w:u w:val="single"/>
        </w:rPr>
      </w:pPr>
      <w:r w:rsidRPr="5FEC19FB" w:rsidR="5FEC19FB">
        <w:rPr>
          <w:rFonts w:ascii="Arial" w:hAnsi="Arial" w:cs="Arial"/>
          <w:b w:val="1"/>
          <w:bCs w:val="1"/>
          <w:sz w:val="24"/>
          <w:szCs w:val="24"/>
          <w:u w:val="single"/>
        </w:rPr>
        <w:t>An Evaluation of the Offences Against the Persons Act 1861 Legislation and whether a Reform Is Necessary</w:t>
      </w:r>
    </w:p>
    <w:p w:rsidRPr="008D348E" w:rsidR="005469EF" w:rsidP="5FEC19FB" w:rsidRDefault="4DD1586D" w14:paraId="3DF40737" w14:textId="48064543">
      <w:pPr>
        <w:spacing w:line="360" w:lineRule="auto"/>
        <w:rPr>
          <w:rFonts w:ascii="Arial" w:hAnsi="Arial" w:cs="Arial"/>
          <w:color w:val="000000" w:themeColor="text1" w:themeTint="FF" w:themeShade="FF"/>
          <w:sz w:val="24"/>
          <w:szCs w:val="24"/>
        </w:rPr>
      </w:pPr>
      <w:r w:rsidRPr="5FEC19FB" w:rsidR="5FEC19FB">
        <w:rPr>
          <w:rFonts w:ascii="Arial" w:hAnsi="Arial" w:cs="Arial"/>
          <w:sz w:val="24"/>
          <w:szCs w:val="24"/>
        </w:rPr>
        <w:t xml:space="preserve">The Offences Against the Persons Act was created in August 1861, and it outlined many different offences and how people </w:t>
      </w:r>
      <w:r w:rsidRPr="5FEC19FB" w:rsidR="5FEC19FB">
        <w:rPr>
          <w:rFonts w:ascii="Arial" w:hAnsi="Arial" w:cs="Arial"/>
          <w:color w:val="000000" w:themeColor="text1" w:themeTint="FF" w:themeShade="FF"/>
          <w:sz w:val="24"/>
          <w:szCs w:val="24"/>
        </w:rPr>
        <w:t xml:space="preserve">should be dealt with when they committed </w:t>
      </w:r>
      <w:r w:rsidRPr="5FEC19FB" w:rsidR="5FEC19FB">
        <w:rPr>
          <w:rFonts w:ascii="Arial" w:hAnsi="Arial" w:cs="Arial"/>
          <w:color w:val="000000" w:themeColor="text1" w:themeTint="FF" w:themeShade="FF"/>
          <w:sz w:val="24"/>
          <w:szCs w:val="24"/>
        </w:rPr>
        <w:t>an</w:t>
      </w:r>
      <w:r w:rsidRPr="5FEC19FB" w:rsidR="5FEC19FB">
        <w:rPr>
          <w:rFonts w:ascii="Arial" w:hAnsi="Arial" w:cs="Arial"/>
          <w:color w:val="000000" w:themeColor="text1" w:themeTint="FF" w:themeShade="FF"/>
          <w:sz w:val="24"/>
          <w:szCs w:val="24"/>
        </w:rPr>
        <w:t xml:space="preserve"> offence</w:t>
      </w:r>
      <w:r w:rsidRPr="5FEC19FB" w:rsidR="5FEC19FB">
        <w:rPr>
          <w:rFonts w:ascii="Arial" w:hAnsi="Arial" w:cs="Arial"/>
          <w:color w:val="000000" w:themeColor="text1" w:themeTint="FF" w:themeShade="FF"/>
          <w:sz w:val="24"/>
          <w:szCs w:val="24"/>
        </w:rPr>
        <w:t xml:space="preserve"> against the person</w:t>
      </w:r>
      <w:r w:rsidRPr="5FEC19FB" w:rsidR="5FEC19FB">
        <w:rPr>
          <w:rFonts w:ascii="Arial" w:hAnsi="Arial" w:cs="Arial"/>
          <w:color w:val="000000" w:themeColor="text1" w:themeTint="FF" w:themeShade="FF"/>
          <w:sz w:val="24"/>
          <w:szCs w:val="24"/>
        </w:rPr>
        <w:t xml:space="preserve">. This legislation is used very frequently due to its large scope of offences from committing homicide to non-fatal offences </w:t>
      </w:r>
      <w:r w:rsidRPr="5FEC19FB" w:rsidR="5FEC19FB">
        <w:rPr>
          <w:rFonts w:ascii="Arial" w:hAnsi="Arial" w:cs="Arial"/>
          <w:color w:val="FF0000"/>
          <w:sz w:val="24"/>
          <w:szCs w:val="24"/>
        </w:rPr>
        <w:t>(</w:t>
      </w:r>
      <w:r w:rsidRPr="5FEC19FB" w:rsidR="5FEC19FB">
        <w:rPr>
          <w:rFonts w:ascii="Arial" w:hAnsi="Arial" w:cs="Arial"/>
          <w:b w:val="1"/>
          <w:bCs w:val="1"/>
          <w:color w:val="FF0000"/>
          <w:sz w:val="24"/>
          <w:szCs w:val="24"/>
        </w:rPr>
        <w:t>cite</w:t>
      </w:r>
      <w:r w:rsidRPr="5FEC19FB" w:rsidR="5FEC19FB">
        <w:rPr>
          <w:rFonts w:ascii="Arial" w:hAnsi="Arial" w:cs="Arial"/>
          <w:color w:val="FF0000"/>
          <w:sz w:val="24"/>
          <w:szCs w:val="24"/>
        </w:rPr>
        <w:t>)</w:t>
      </w:r>
      <w:r w:rsidRPr="5FEC19FB" w:rsidR="5FEC19FB">
        <w:rPr>
          <w:rFonts w:ascii="Arial" w:hAnsi="Arial" w:cs="Arial"/>
          <w:color w:val="000000" w:themeColor="text1" w:themeTint="FF" w:themeShade="FF"/>
          <w:sz w:val="24"/>
          <w:szCs w:val="24"/>
        </w:rPr>
        <w:t xml:space="preserve">. As stated by </w:t>
      </w:r>
      <w:proofErr w:type="spellStart"/>
      <w:r w:rsidRPr="5FEC19FB" w:rsidR="5FEC19FB">
        <w:rPr>
          <w:rFonts w:ascii="Arial" w:hAnsi="Arial" w:cs="Arial"/>
          <w:color w:val="FF0000"/>
          <w:sz w:val="24"/>
          <w:szCs w:val="24"/>
        </w:rPr>
        <w:t>Bowcott</w:t>
      </w:r>
      <w:proofErr w:type="spellEnd"/>
      <w:r w:rsidRPr="5FEC19FB" w:rsidR="5FEC19FB">
        <w:rPr>
          <w:rFonts w:ascii="Arial" w:hAnsi="Arial" w:cs="Arial"/>
          <w:color w:val="FF0000"/>
          <w:sz w:val="24"/>
          <w:szCs w:val="24"/>
        </w:rPr>
        <w:t xml:space="preserve"> (2015)</w:t>
      </w:r>
      <w:r w:rsidRPr="5FEC19FB" w:rsidR="5FEC19FB">
        <w:rPr>
          <w:rFonts w:ascii="Arial" w:hAnsi="Arial" w:cs="Arial"/>
          <w:color w:val="000000" w:themeColor="text1" w:themeTint="FF" w:themeShade="FF"/>
          <w:sz w:val="24"/>
          <w:szCs w:val="24"/>
        </w:rPr>
        <w:t>, in terms of prosecutions, over 26,000</w:t>
      </w:r>
      <w:r w:rsidRPr="5FEC19FB" w:rsidR="5FEC19FB">
        <w:rPr>
          <w:rFonts w:ascii="Arial" w:hAnsi="Arial" w:cs="Arial"/>
          <w:color w:val="000000" w:themeColor="text1" w:themeTint="FF" w:themeShade="FF"/>
          <w:sz w:val="24"/>
          <w:szCs w:val="24"/>
        </w:rPr>
        <w:t xml:space="preserve"> take place every year under the Offences Against the Person Act. The non-fatal offence</w:t>
      </w:r>
      <w:r w:rsidRPr="5FEC19FB" w:rsidR="5FEC19FB">
        <w:rPr>
          <w:rFonts w:ascii="Arial" w:hAnsi="Arial" w:cs="Arial"/>
          <w:color w:val="000000" w:themeColor="text1" w:themeTint="FF" w:themeShade="FF"/>
          <w:sz w:val="24"/>
          <w:szCs w:val="24"/>
        </w:rPr>
        <w:t xml:space="preserve">s are the offences which don’t </w:t>
      </w:r>
      <w:r w:rsidRPr="5FEC19FB" w:rsidR="5FEC19FB">
        <w:rPr>
          <w:rFonts w:ascii="Arial" w:hAnsi="Arial" w:cs="Arial"/>
          <w:color w:val="000000" w:themeColor="text1" w:themeTint="FF" w:themeShade="FF"/>
          <w:sz w:val="24"/>
          <w:szCs w:val="24"/>
        </w:rPr>
        <w:t xml:space="preserve">result in </w:t>
      </w:r>
      <w:r w:rsidRPr="5FEC19FB" w:rsidR="5FEC19FB">
        <w:rPr>
          <w:rFonts w:ascii="Arial" w:hAnsi="Arial" w:cs="Arial"/>
          <w:color w:val="000000" w:themeColor="text1" w:themeTint="FF" w:themeShade="FF"/>
          <w:sz w:val="24"/>
          <w:szCs w:val="24"/>
        </w:rPr>
        <w:t>death</w:t>
      </w:r>
      <w:r w:rsidRPr="5FEC19FB" w:rsidR="5FEC19FB">
        <w:rPr>
          <w:rFonts w:ascii="Arial" w:hAnsi="Arial" w:cs="Arial"/>
          <w:color w:val="000000" w:themeColor="text1" w:themeTint="FF" w:themeShade="FF"/>
          <w:sz w:val="24"/>
          <w:szCs w:val="24"/>
        </w:rPr>
        <w:t xml:space="preserve"> from another</w:t>
      </w:r>
      <w:r w:rsidRPr="5FEC19FB" w:rsidR="5FEC19FB">
        <w:rPr>
          <w:rFonts w:ascii="Arial" w:hAnsi="Arial" w:cs="Arial"/>
          <w:color w:val="000000" w:themeColor="text1" w:themeTint="FF" w:themeShade="FF"/>
          <w:sz w:val="24"/>
          <w:szCs w:val="24"/>
        </w:rPr>
        <w:t>’</w:t>
      </w:r>
      <w:r w:rsidRPr="5FEC19FB" w:rsidR="5FEC19FB">
        <w:rPr>
          <w:rFonts w:ascii="Arial" w:hAnsi="Arial" w:cs="Arial"/>
          <w:color w:val="000000" w:themeColor="text1" w:themeTint="FF" w:themeShade="FF"/>
          <w:sz w:val="24"/>
          <w:szCs w:val="24"/>
        </w:rPr>
        <w:t>s actions</w:t>
      </w:r>
      <w:r w:rsidRPr="5FEC19FB" w:rsidR="5FEC19FB">
        <w:rPr>
          <w:rFonts w:ascii="Arial" w:hAnsi="Arial" w:cs="Arial"/>
          <w:color w:val="000000" w:themeColor="text1" w:themeTint="FF" w:themeShade="FF"/>
          <w:sz w:val="24"/>
          <w:szCs w:val="24"/>
        </w:rPr>
        <w:t>. These</w:t>
      </w:r>
      <w:r w:rsidRPr="5FEC19FB" w:rsidR="5FEC19FB">
        <w:rPr>
          <w:rFonts w:ascii="Arial" w:hAnsi="Arial" w:cs="Arial"/>
          <w:color w:val="000000" w:themeColor="text1" w:themeTint="FF" w:themeShade="FF"/>
          <w:sz w:val="24"/>
          <w:szCs w:val="24"/>
        </w:rPr>
        <w:t xml:space="preserve"> offences range from an assault or battery occurring, </w:t>
      </w:r>
      <w:r w:rsidRPr="5FEC19FB" w:rsidR="5FEC19FB">
        <w:rPr>
          <w:rFonts w:ascii="Arial" w:hAnsi="Arial" w:cs="Arial"/>
          <w:color w:val="000000" w:themeColor="text1" w:themeTint="FF" w:themeShade="FF"/>
          <w:sz w:val="24"/>
          <w:szCs w:val="24"/>
        </w:rPr>
        <w:t>to an individual inflicting severe injuries and pain onto another</w:t>
      </w:r>
      <w:r w:rsidRPr="5FEC19FB" w:rsidR="5FEC19FB">
        <w:rPr>
          <w:rFonts w:ascii="Arial" w:hAnsi="Arial" w:cs="Arial"/>
          <w:color w:val="000000" w:themeColor="text1" w:themeTint="FF" w:themeShade="FF"/>
          <w:sz w:val="24"/>
          <w:szCs w:val="24"/>
        </w:rPr>
        <w:t xml:space="preserve">, but not to the extent of death </w:t>
      </w:r>
      <w:r w:rsidRPr="5FEC19FB" w:rsidR="5FEC19FB">
        <w:rPr>
          <w:rFonts w:ascii="Arial" w:hAnsi="Arial" w:cs="Arial"/>
          <w:color w:val="FF0000"/>
          <w:sz w:val="24"/>
          <w:szCs w:val="24"/>
        </w:rPr>
        <w:t>(</w:t>
      </w:r>
      <w:r w:rsidRPr="5FEC19FB" w:rsidR="5FEC19FB">
        <w:rPr>
          <w:rFonts w:ascii="Arial" w:hAnsi="Arial" w:cs="Arial"/>
          <w:color w:val="FF0000"/>
          <w:sz w:val="24"/>
          <w:szCs w:val="24"/>
        </w:rPr>
        <w:t>Jepson, 2007</w:t>
      </w:r>
      <w:r w:rsidRPr="5FEC19FB" w:rsidR="5FEC19FB">
        <w:rPr>
          <w:rFonts w:ascii="Arial" w:hAnsi="Arial" w:cs="Arial"/>
          <w:color w:val="FF0000"/>
          <w:sz w:val="24"/>
          <w:szCs w:val="24"/>
        </w:rPr>
        <w:t>).</w:t>
      </w:r>
    </w:p>
    <w:p w:rsidRPr="008D348E" w:rsidR="00E45C1F" w:rsidP="5FEC19FB" w:rsidRDefault="4DD1586D" w14:paraId="3C759FC4" w14:textId="68410886" w14:noSpellErr="1">
      <w:pPr>
        <w:spacing w:line="360" w:lineRule="auto"/>
        <w:rPr>
          <w:rFonts w:ascii="Arial" w:hAnsi="Arial" w:cs="Arial"/>
          <w:sz w:val="24"/>
          <w:szCs w:val="24"/>
        </w:rPr>
      </w:pPr>
      <w:r w:rsidRPr="5FEC19FB" w:rsidR="5FEC19FB">
        <w:rPr>
          <w:rFonts w:ascii="Arial" w:hAnsi="Arial" w:cs="Arial"/>
          <w:sz w:val="24"/>
          <w:szCs w:val="24"/>
        </w:rPr>
        <w:t xml:space="preserve">In terms of the Offences Against the Person Act 1861 (OAPA 1861), there seems to be several issues with the legislation, as will be identified. This was enhanced when eighty eight percent of personnel who </w:t>
      </w:r>
      <w:r w:rsidRPr="5FEC19FB" w:rsidR="5FEC19FB">
        <w:rPr>
          <w:rFonts w:ascii="Arial" w:hAnsi="Arial" w:cs="Arial"/>
          <w:sz w:val="24"/>
          <w:szCs w:val="24"/>
        </w:rPr>
        <w:t>were</w:t>
      </w:r>
      <w:r w:rsidRPr="5FEC19FB" w:rsidR="5FEC19FB">
        <w:rPr>
          <w:rFonts w:ascii="Arial" w:hAnsi="Arial" w:cs="Arial"/>
          <w:sz w:val="24"/>
          <w:szCs w:val="24"/>
        </w:rPr>
        <w:t xml:space="preserve"> involved with reinforcing the law, for example the Police service, Crown Court and many others, voted in 2015 that the legislation needed a reform. </w:t>
      </w:r>
      <w:r w:rsidRPr="5FEC19FB" w:rsidR="5FEC19FB">
        <w:rPr>
          <w:rFonts w:ascii="Arial" w:hAnsi="Arial" w:cs="Arial"/>
          <w:b w:val="1"/>
          <w:bCs w:val="1"/>
          <w:color w:val="FF0000"/>
          <w:sz w:val="24"/>
          <w:szCs w:val="24"/>
        </w:rPr>
        <w:t>(cite)</w:t>
      </w:r>
    </w:p>
    <w:p w:rsidRPr="008D348E" w:rsidR="005F770D" w:rsidP="5FEC19FB" w:rsidRDefault="4DD1586D" w14:paraId="1120B204" w14:textId="1E39D42F">
      <w:pPr>
        <w:spacing w:line="360" w:lineRule="auto"/>
        <w:rPr>
          <w:rFonts w:ascii="Arial" w:hAnsi="Arial" w:cs="Arial"/>
          <w:sz w:val="24"/>
          <w:szCs w:val="24"/>
        </w:rPr>
      </w:pPr>
      <w:r w:rsidRPr="5FEC19FB" w:rsidR="5FEC19FB">
        <w:rPr>
          <w:rFonts w:ascii="Arial" w:hAnsi="Arial" w:cs="Arial"/>
          <w:sz w:val="24"/>
          <w:szCs w:val="24"/>
        </w:rPr>
        <w:t xml:space="preserve">In the report by </w:t>
      </w:r>
      <w:proofErr w:type="spellStart"/>
      <w:r w:rsidRPr="5FEC19FB" w:rsidR="5FEC19FB">
        <w:rPr>
          <w:rFonts w:ascii="Arial" w:hAnsi="Arial" w:cs="Arial"/>
          <w:color w:val="FF0000"/>
          <w:sz w:val="24"/>
          <w:szCs w:val="24"/>
        </w:rPr>
        <w:t>Eugenicos</w:t>
      </w:r>
      <w:proofErr w:type="spellEnd"/>
      <w:r w:rsidRPr="5FEC19FB" w:rsidR="5FEC19FB">
        <w:rPr>
          <w:rFonts w:ascii="Arial" w:hAnsi="Arial" w:cs="Arial"/>
          <w:color w:val="FF0000"/>
          <w:sz w:val="24"/>
          <w:szCs w:val="24"/>
        </w:rPr>
        <w:t>, (2017)</w:t>
      </w:r>
      <w:r w:rsidRPr="5FEC19FB" w:rsidR="5FEC19FB">
        <w:rPr>
          <w:rFonts w:ascii="Arial" w:hAnsi="Arial" w:cs="Arial"/>
          <w:sz w:val="24"/>
          <w:szCs w:val="24"/>
        </w:rPr>
        <w:t xml:space="preserve"> it stated that this law is “unclear and distorted hierarchy of offences”, meaning that the degrees of offences are not graded correctly and therefore are confusing to those involved in, and out, of the criminal justice system. This point is illustrated in the report by the fact that Section 20, imposing physical harm on an individual with intention, whether it is by using a weapon or not, and Section 47, </w:t>
      </w:r>
      <w:r w:rsidRPr="5FEC19FB" w:rsidR="5FEC19FB">
        <w:rPr>
          <w:rFonts w:ascii="Arial" w:hAnsi="Arial" w:cs="Arial"/>
          <w:sz w:val="24"/>
          <w:szCs w:val="24"/>
        </w:rPr>
        <w:t xml:space="preserve">which is known as causing </w:t>
      </w:r>
      <w:r w:rsidRPr="5FEC19FB" w:rsidR="5FEC19FB">
        <w:rPr>
          <w:rFonts w:ascii="Arial" w:hAnsi="Arial" w:cs="Arial"/>
          <w:sz w:val="24"/>
          <w:szCs w:val="24"/>
        </w:rPr>
        <w:t>actual bodily harm to an individual,</w:t>
      </w:r>
      <w:r w:rsidRPr="5FEC19FB" w:rsidR="5FEC19FB">
        <w:rPr>
          <w:rFonts w:ascii="Arial" w:hAnsi="Arial" w:cs="Arial"/>
          <w:sz w:val="24"/>
          <w:szCs w:val="24"/>
        </w:rPr>
        <w:t xml:space="preserve"> both have the same sentence</w:t>
      </w:r>
      <w:r w:rsidRPr="5FEC19FB" w:rsidR="5FEC19FB">
        <w:rPr>
          <w:rFonts w:ascii="Arial" w:hAnsi="Arial" w:cs="Arial"/>
          <w:sz w:val="24"/>
          <w:szCs w:val="24"/>
        </w:rPr>
        <w:t xml:space="preserve"> in terms of</w:t>
      </w:r>
      <w:r w:rsidRPr="5FEC19FB" w:rsidR="5FEC19FB">
        <w:rPr>
          <w:rFonts w:ascii="Arial" w:hAnsi="Arial" w:cs="Arial"/>
          <w:sz w:val="24"/>
          <w:szCs w:val="24"/>
        </w:rPr>
        <w:t xml:space="preserve"> the highest sentence which can be given</w:t>
      </w:r>
      <w:r w:rsidRPr="5FEC19FB" w:rsidR="5FEC19FB">
        <w:rPr>
          <w:rFonts w:ascii="Arial" w:hAnsi="Arial" w:cs="Arial"/>
          <w:sz w:val="24"/>
          <w:szCs w:val="24"/>
        </w:rPr>
        <w:t xml:space="preserve"> for the offence committed</w:t>
      </w:r>
      <w:r w:rsidRPr="5FEC19FB" w:rsidR="5FEC19FB">
        <w:rPr>
          <w:rFonts w:ascii="Arial" w:hAnsi="Arial" w:cs="Arial"/>
          <w:sz w:val="24"/>
          <w:szCs w:val="24"/>
        </w:rPr>
        <w:t xml:space="preserve">. These offences have different severities, as Section 20 is a more serious offence than Section 47 describes, and therefore the imprisonment time is not reflected on the offence, so the law is perceived as having a distorted hierarchy </w:t>
      </w:r>
      <w:r w:rsidRPr="5FEC19FB" w:rsidR="5FEC19FB">
        <w:rPr>
          <w:rFonts w:ascii="Arial" w:hAnsi="Arial" w:cs="Arial"/>
          <w:color w:val="FF0000"/>
          <w:sz w:val="24"/>
          <w:szCs w:val="24"/>
        </w:rPr>
        <w:t>(</w:t>
      </w:r>
      <w:proofErr w:type="spellStart"/>
      <w:r w:rsidRPr="5FEC19FB" w:rsidR="5FEC19FB">
        <w:rPr>
          <w:rFonts w:ascii="Arial" w:hAnsi="Arial" w:cs="Arial"/>
          <w:color w:val="FF0000"/>
          <w:sz w:val="24"/>
          <w:szCs w:val="24"/>
        </w:rPr>
        <w:t>Eugenicos</w:t>
      </w:r>
      <w:proofErr w:type="spellEnd"/>
      <w:r w:rsidRPr="5FEC19FB" w:rsidR="5FEC19FB">
        <w:rPr>
          <w:rFonts w:ascii="Arial" w:hAnsi="Arial" w:cs="Arial"/>
          <w:color w:val="FF0000"/>
          <w:sz w:val="24"/>
          <w:szCs w:val="24"/>
        </w:rPr>
        <w:t xml:space="preserve">, 2017). </w:t>
      </w:r>
      <w:r w:rsidRPr="5FEC19FB" w:rsidR="5FEC19FB">
        <w:rPr>
          <w:rFonts w:ascii="Arial" w:hAnsi="Arial" w:cs="Arial"/>
          <w:sz w:val="24"/>
          <w:szCs w:val="24"/>
        </w:rPr>
        <w:t xml:space="preserve">In a report discussing the modernisation of the legislation regarding the violent offences against an individual, it provides information on how the legislation covers the topics of “ABH” (Actual Bodily Harm) and “GBH” (Grievous Bodily Harm), but its hierarchy is not consistent or clear </w:t>
      </w:r>
      <w:r w:rsidRPr="5FEC19FB" w:rsidR="5FEC19FB">
        <w:rPr>
          <w:rFonts w:ascii="Arial" w:hAnsi="Arial" w:cs="Arial"/>
          <w:color w:val="FF0000"/>
          <w:sz w:val="24"/>
          <w:szCs w:val="24"/>
        </w:rPr>
        <w:t>(Law Commission (2015) – 3</w:t>
      </w:r>
      <w:r w:rsidRPr="5FEC19FB" w:rsidR="5FEC19FB">
        <w:rPr>
          <w:rFonts w:ascii="Arial" w:hAnsi="Arial" w:cs="Arial"/>
          <w:color w:val="FF0000"/>
          <w:sz w:val="24"/>
          <w:szCs w:val="24"/>
          <w:vertAlign w:val="superscript"/>
        </w:rPr>
        <w:t>rd</w:t>
      </w:r>
      <w:r w:rsidRPr="5FEC19FB" w:rsidR="5FEC19FB">
        <w:rPr>
          <w:rFonts w:ascii="Arial" w:hAnsi="Arial" w:cs="Arial"/>
          <w:color w:val="FF0000"/>
          <w:sz w:val="24"/>
          <w:szCs w:val="24"/>
        </w:rPr>
        <w:t xml:space="preserve"> report).</w:t>
      </w:r>
    </w:p>
    <w:p w:rsidRPr="008D348E" w:rsidR="006A480B" w:rsidP="5FEC19FB" w:rsidRDefault="4DD1586D" w14:paraId="5564BEC6" w14:textId="003CE0D5">
      <w:pPr>
        <w:spacing w:line="360" w:lineRule="auto"/>
        <w:rPr>
          <w:rFonts w:ascii="Arial" w:hAnsi="Arial" w:cs="Arial"/>
          <w:sz w:val="24"/>
          <w:szCs w:val="24"/>
        </w:rPr>
      </w:pPr>
      <w:r w:rsidRPr="5FEC19FB" w:rsidR="5FEC19FB">
        <w:rPr>
          <w:rFonts w:ascii="Arial" w:hAnsi="Arial" w:cs="Arial"/>
          <w:sz w:val="24"/>
          <w:szCs w:val="24"/>
        </w:rPr>
        <w:t xml:space="preserve">The above point is furthered in the </w:t>
      </w:r>
      <w:r w:rsidRPr="5FEC19FB" w:rsidR="5FEC19FB">
        <w:rPr>
          <w:rFonts w:ascii="Arial" w:hAnsi="Arial" w:cs="Arial"/>
          <w:color w:val="FF0000"/>
          <w:sz w:val="24"/>
          <w:szCs w:val="24"/>
        </w:rPr>
        <w:t xml:space="preserve">Law commission report (2011) </w:t>
      </w:r>
      <w:r w:rsidRPr="5FEC19FB" w:rsidR="5FEC19FB">
        <w:rPr>
          <w:rFonts w:ascii="Arial" w:hAnsi="Arial" w:cs="Arial"/>
          <w:sz w:val="24"/>
          <w:szCs w:val="24"/>
        </w:rPr>
        <w:t xml:space="preserve">when the report discusses the fact that the conduct between Section 20 and Section 18 is hard to distinguish. This is due to them having very similar wording apart from two words being different, which are “causing” and “inflicting”. These are two separate offences, yet very similar, showing how the legislation is unclear and distorted </w:t>
      </w:r>
      <w:r w:rsidRPr="5FEC19FB" w:rsidR="5FEC19FB">
        <w:rPr>
          <w:rFonts w:ascii="Arial" w:hAnsi="Arial" w:cs="Arial"/>
          <w:color w:val="FF0000"/>
          <w:sz w:val="24"/>
          <w:szCs w:val="24"/>
        </w:rPr>
        <w:t>(Law Commission</w:t>
      </w:r>
      <w:r w:rsidRPr="5FEC19FB" w:rsidR="5FEC19FB">
        <w:rPr>
          <w:rFonts w:ascii="Arial" w:hAnsi="Arial" w:cs="Arial"/>
          <w:color w:val="FF0000"/>
          <w:sz w:val="24"/>
          <w:szCs w:val="24"/>
        </w:rPr>
        <w:t>,</w:t>
      </w:r>
      <w:r w:rsidRPr="5FEC19FB" w:rsidR="5FEC19FB">
        <w:rPr>
          <w:rFonts w:ascii="Arial" w:hAnsi="Arial" w:cs="Arial"/>
          <w:color w:val="FF0000"/>
          <w:sz w:val="24"/>
          <w:szCs w:val="24"/>
        </w:rPr>
        <w:t xml:space="preserve"> 2011)</w:t>
      </w:r>
      <w:r w:rsidRPr="5FEC19FB" w:rsidR="5FEC19FB">
        <w:rPr>
          <w:rFonts w:ascii="Arial" w:hAnsi="Arial" w:cs="Arial"/>
          <w:sz w:val="24"/>
          <w:szCs w:val="24"/>
        </w:rPr>
        <w:t xml:space="preserve">. A report by </w:t>
      </w:r>
      <w:proofErr w:type="spellStart"/>
      <w:r w:rsidRPr="5FEC19FB" w:rsidR="5FEC19FB">
        <w:rPr>
          <w:rFonts w:ascii="Arial" w:hAnsi="Arial" w:cs="Arial"/>
          <w:color w:val="FF0000"/>
          <w:sz w:val="24"/>
          <w:szCs w:val="24"/>
        </w:rPr>
        <w:t>Tabbish</w:t>
      </w:r>
      <w:proofErr w:type="spellEnd"/>
      <w:r w:rsidRPr="5FEC19FB" w:rsidR="5FEC19FB">
        <w:rPr>
          <w:rFonts w:ascii="Arial" w:hAnsi="Arial" w:cs="Arial"/>
          <w:color w:val="FF0000"/>
          <w:sz w:val="24"/>
          <w:szCs w:val="24"/>
        </w:rPr>
        <w:t xml:space="preserve"> (2014), </w:t>
      </w:r>
      <w:r w:rsidRPr="5FEC19FB" w:rsidR="5FEC19FB">
        <w:rPr>
          <w:rFonts w:ascii="Arial" w:hAnsi="Arial" w:cs="Arial"/>
          <w:sz w:val="24"/>
          <w:szCs w:val="24"/>
        </w:rPr>
        <w:t xml:space="preserve">states that under both Section 18 and Section 20 of the OAPA 1861, someone can be convicted for either “wounding” or “causing grievous bodily harm”. This therefore provides an obstacle for the courts, as there is no clear hierarchy of which section is more serious </w:t>
      </w:r>
      <w:r w:rsidRPr="5FEC19FB" w:rsidR="5FEC19FB">
        <w:rPr>
          <w:rFonts w:ascii="Arial" w:hAnsi="Arial" w:cs="Arial"/>
          <w:color w:val="FF0000"/>
          <w:sz w:val="24"/>
          <w:szCs w:val="24"/>
        </w:rPr>
        <w:t>(Tabbish,2014).</w:t>
      </w:r>
    </w:p>
    <w:p w:rsidRPr="008D348E" w:rsidR="00E45C1F" w:rsidP="5FEC19FB" w:rsidRDefault="4DD1586D" w14:paraId="23315C15" w14:textId="4A0FBF79" w14:noSpellErr="1">
      <w:pPr>
        <w:spacing w:line="360" w:lineRule="auto"/>
        <w:rPr>
          <w:rFonts w:ascii="Arial" w:hAnsi="Arial" w:cs="Arial"/>
          <w:sz w:val="24"/>
          <w:szCs w:val="24"/>
        </w:rPr>
      </w:pPr>
      <w:r w:rsidRPr="5FEC19FB" w:rsidR="5FEC19FB">
        <w:rPr>
          <w:rFonts w:ascii="Arial" w:hAnsi="Arial" w:cs="Arial"/>
          <w:sz w:val="24"/>
          <w:szCs w:val="24"/>
        </w:rPr>
        <w:t xml:space="preserve">In contrast to the legislation being hard to distinguish, the legislation has been identified as having language which is old-fashioned rather than modern day terminology. This means that the legislation can be confusing for the personnel involved in the criminal justice system, as well as the defendants too. More people are representing themselves in modern times, but with the terminology being out dated and providing too much detail, it provides an </w:t>
      </w:r>
      <w:r w:rsidRPr="5FEC19FB" w:rsidR="5FEC19FB">
        <w:rPr>
          <w:rFonts w:ascii="Arial" w:hAnsi="Arial" w:cs="Arial"/>
          <w:sz w:val="24"/>
          <w:szCs w:val="24"/>
        </w:rPr>
        <w:t>issue</w:t>
      </w:r>
      <w:r w:rsidRPr="5FEC19FB" w:rsidR="5FEC19FB">
        <w:rPr>
          <w:rFonts w:ascii="Arial" w:hAnsi="Arial" w:cs="Arial"/>
          <w:sz w:val="24"/>
          <w:szCs w:val="24"/>
        </w:rPr>
        <w:t xml:space="preserve"> for the defendants </w:t>
      </w:r>
      <w:r w:rsidRPr="5FEC19FB" w:rsidR="5FEC19FB">
        <w:rPr>
          <w:rFonts w:ascii="Arial" w:hAnsi="Arial" w:cs="Arial"/>
          <w:color w:val="FF0000"/>
          <w:sz w:val="24"/>
          <w:szCs w:val="24"/>
        </w:rPr>
        <w:t>(law commission,2015)</w:t>
      </w:r>
      <w:r w:rsidRPr="5FEC19FB" w:rsidR="5FEC19FB">
        <w:rPr>
          <w:rFonts w:ascii="Arial" w:hAnsi="Arial" w:cs="Arial"/>
          <w:sz w:val="24"/>
          <w:szCs w:val="24"/>
        </w:rPr>
        <w:t>. By the law being old-fashioned, it could mean that injustices occur towards the individuals</w:t>
      </w:r>
      <w:r w:rsidRPr="5FEC19FB" w:rsidR="5FEC19FB">
        <w:rPr>
          <w:rFonts w:ascii="Arial" w:hAnsi="Arial" w:cs="Arial"/>
          <w:sz w:val="24"/>
          <w:szCs w:val="24"/>
        </w:rPr>
        <w:t>,</w:t>
      </w:r>
      <w:r w:rsidRPr="5FEC19FB" w:rsidR="5FEC19FB">
        <w:rPr>
          <w:rFonts w:ascii="Arial" w:hAnsi="Arial" w:cs="Arial"/>
          <w:sz w:val="24"/>
          <w:szCs w:val="24"/>
        </w:rPr>
        <w:t xml:space="preserve"> due to the law being confusing and understood in an incorrect way or format </w:t>
      </w:r>
      <w:r w:rsidRPr="5FEC19FB" w:rsidR="5FEC19FB">
        <w:rPr>
          <w:rFonts w:ascii="Arial" w:hAnsi="Arial" w:cs="Arial"/>
          <w:color w:val="FF0000"/>
          <w:sz w:val="24"/>
          <w:szCs w:val="24"/>
        </w:rPr>
        <w:t xml:space="preserve">(Allen, 2013). </w:t>
      </w:r>
      <w:r w:rsidRPr="5FEC19FB" w:rsidR="5FEC19FB">
        <w:rPr>
          <w:rFonts w:ascii="Arial" w:hAnsi="Arial" w:cs="Arial"/>
          <w:sz w:val="24"/>
          <w:szCs w:val="24"/>
        </w:rPr>
        <w:t xml:space="preserve">For example, one of the offences </w:t>
      </w:r>
      <w:r w:rsidRPr="5FEC19FB" w:rsidR="5FEC19FB">
        <w:rPr>
          <w:rFonts w:ascii="Arial" w:hAnsi="Arial" w:cs="Arial"/>
          <w:sz w:val="24"/>
          <w:szCs w:val="24"/>
        </w:rPr>
        <w:t>which is still in this legislation, but</w:t>
      </w:r>
      <w:r w:rsidRPr="5FEC19FB" w:rsidR="5FEC19FB">
        <w:rPr>
          <w:rFonts w:ascii="Arial" w:hAnsi="Arial" w:cs="Arial"/>
          <w:sz w:val="24"/>
          <w:szCs w:val="24"/>
        </w:rPr>
        <w:t xml:space="preserve"> doesn’t have a requirement, is preventing an individual </w:t>
      </w:r>
      <w:r w:rsidRPr="5FEC19FB" w:rsidR="5FEC19FB">
        <w:rPr>
          <w:rFonts w:ascii="Arial" w:hAnsi="Arial" w:cs="Arial"/>
          <w:sz w:val="24"/>
          <w:szCs w:val="24"/>
        </w:rPr>
        <w:t>to escape</w:t>
      </w:r>
      <w:r w:rsidRPr="5FEC19FB" w:rsidR="5FEC19FB">
        <w:rPr>
          <w:rFonts w:ascii="Arial" w:hAnsi="Arial" w:cs="Arial"/>
          <w:sz w:val="24"/>
          <w:szCs w:val="24"/>
        </w:rPr>
        <w:t>, or save someone else life, on a shipwreck.</w:t>
      </w:r>
      <w:r w:rsidRPr="5FEC19FB" w:rsidR="5FEC19FB">
        <w:rPr>
          <w:rFonts w:ascii="Arial" w:hAnsi="Arial" w:cs="Arial"/>
          <w:sz w:val="24"/>
          <w:szCs w:val="24"/>
        </w:rPr>
        <w:t xml:space="preserve"> </w:t>
      </w:r>
      <w:r w:rsidRPr="5FEC19FB" w:rsidR="5FEC19FB">
        <w:rPr>
          <w:rFonts w:ascii="Arial" w:hAnsi="Arial" w:cs="Arial"/>
          <w:color w:val="FF0000"/>
          <w:sz w:val="24"/>
          <w:szCs w:val="24"/>
        </w:rPr>
        <w:t>(Law commission, 2011)</w:t>
      </w:r>
      <w:r w:rsidRPr="5FEC19FB" w:rsidR="5FEC19FB">
        <w:rPr>
          <w:rFonts w:ascii="Arial" w:hAnsi="Arial" w:cs="Arial"/>
          <w:sz w:val="24"/>
          <w:szCs w:val="24"/>
        </w:rPr>
        <w:t>.</w:t>
      </w:r>
      <w:r w:rsidRPr="5FEC19FB" w:rsidR="5FEC19FB">
        <w:rPr>
          <w:rFonts w:ascii="Arial" w:hAnsi="Arial" w:cs="Arial"/>
          <w:sz w:val="24"/>
          <w:szCs w:val="24"/>
        </w:rPr>
        <w:t xml:space="preserve"> </w:t>
      </w:r>
      <w:r w:rsidRPr="5FEC19FB" w:rsidR="5FEC19FB">
        <w:rPr>
          <w:rFonts w:ascii="Arial" w:hAnsi="Arial" w:cs="Arial"/>
          <w:color w:val="FF0000"/>
          <w:sz w:val="24"/>
          <w:szCs w:val="24"/>
        </w:rPr>
        <w:t>Love (2014)</w:t>
      </w:r>
      <w:r w:rsidRPr="5FEC19FB" w:rsidR="5FEC19FB">
        <w:rPr>
          <w:rFonts w:ascii="Arial" w:hAnsi="Arial" w:cs="Arial"/>
          <w:sz w:val="24"/>
          <w:szCs w:val="24"/>
        </w:rPr>
        <w:t xml:space="preserve"> states how this offence was an offence which was required when the legislation was created rather than in the 21</w:t>
      </w:r>
      <w:r w:rsidRPr="5FEC19FB" w:rsidR="5FEC19FB">
        <w:rPr>
          <w:rFonts w:ascii="Arial" w:hAnsi="Arial" w:cs="Arial"/>
          <w:sz w:val="24"/>
          <w:szCs w:val="24"/>
          <w:vertAlign w:val="superscript"/>
        </w:rPr>
        <w:t>st</w:t>
      </w:r>
      <w:r w:rsidRPr="5FEC19FB" w:rsidR="5FEC19FB">
        <w:rPr>
          <w:rFonts w:ascii="Arial" w:hAnsi="Arial" w:cs="Arial"/>
          <w:sz w:val="24"/>
          <w:szCs w:val="24"/>
        </w:rPr>
        <w:t xml:space="preserve"> century</w:t>
      </w:r>
      <w:r w:rsidRPr="5FEC19FB" w:rsidR="5FEC19FB">
        <w:rPr>
          <w:rFonts w:ascii="Arial" w:hAnsi="Arial" w:cs="Arial"/>
          <w:sz w:val="24"/>
          <w:szCs w:val="24"/>
        </w:rPr>
        <w:t xml:space="preserve"> (</w:t>
      </w:r>
      <w:r w:rsidRPr="5FEC19FB" w:rsidR="5FEC19FB">
        <w:rPr>
          <w:rFonts w:ascii="Arial" w:hAnsi="Arial" w:cs="Arial"/>
          <w:color w:val="FF0000"/>
          <w:sz w:val="24"/>
          <w:szCs w:val="24"/>
        </w:rPr>
        <w:t>Love, 2014</w:t>
      </w:r>
      <w:r w:rsidRPr="5FEC19FB" w:rsidR="5FEC19FB">
        <w:rPr>
          <w:rFonts w:ascii="Arial" w:hAnsi="Arial" w:cs="Arial"/>
          <w:sz w:val="24"/>
          <w:szCs w:val="24"/>
        </w:rPr>
        <w:t>)</w:t>
      </w:r>
      <w:r w:rsidRPr="5FEC19FB" w:rsidR="5FEC19FB">
        <w:rPr>
          <w:rFonts w:ascii="Arial" w:hAnsi="Arial" w:cs="Arial"/>
          <w:sz w:val="24"/>
          <w:szCs w:val="24"/>
        </w:rPr>
        <w:t>.</w:t>
      </w:r>
    </w:p>
    <w:p w:rsidRPr="008D348E" w:rsidR="00CA7E17" w:rsidP="5FEC19FB" w:rsidRDefault="4DD1586D" w14:paraId="0CD238BB" w14:textId="64E3DB54" w14:noSpellErr="1">
      <w:pPr>
        <w:spacing w:line="360" w:lineRule="auto"/>
        <w:rPr>
          <w:rFonts w:ascii="Arial" w:hAnsi="Arial" w:cs="Arial"/>
          <w:sz w:val="24"/>
          <w:szCs w:val="24"/>
        </w:rPr>
      </w:pPr>
      <w:r w:rsidRPr="5FEC19FB" w:rsidR="5FEC19FB">
        <w:rPr>
          <w:rFonts w:ascii="Arial" w:hAnsi="Arial" w:cs="Arial"/>
          <w:sz w:val="24"/>
          <w:szCs w:val="24"/>
        </w:rPr>
        <w:t xml:space="preserve">Furthermore, along with the language being old-fashioned, many of the offences provide too much detail and specificity for an offence, which then makes it harder to decipher under which section an offence has been committed </w:t>
      </w:r>
      <w:r w:rsidRPr="5FEC19FB" w:rsidR="5FEC19FB">
        <w:rPr>
          <w:rFonts w:ascii="Arial" w:hAnsi="Arial" w:cs="Arial"/>
          <w:color w:val="FF0000"/>
          <w:sz w:val="24"/>
          <w:szCs w:val="24"/>
        </w:rPr>
        <w:t xml:space="preserve">(Law Commission, 2015). </w:t>
      </w:r>
      <w:r w:rsidRPr="5FEC19FB" w:rsidR="5FEC19FB">
        <w:rPr>
          <w:rFonts w:ascii="Arial" w:hAnsi="Arial" w:cs="Arial"/>
          <w:sz w:val="24"/>
          <w:szCs w:val="24"/>
        </w:rPr>
        <w:t xml:space="preserve">One point discussed by in a report was the way in which offences have a description attached to them. Due to the OAPA 1861 being a Victorian legislation, it has “factual scenarios” alongside the complicated language posed by the Act </w:t>
      </w:r>
      <w:r w:rsidRPr="5FEC19FB" w:rsidR="5FEC19FB">
        <w:rPr>
          <w:rFonts w:ascii="Arial" w:hAnsi="Arial" w:cs="Arial"/>
          <w:color w:val="FF0000"/>
          <w:sz w:val="24"/>
          <w:szCs w:val="24"/>
        </w:rPr>
        <w:t>(Law Commission, 2015 – smaller report)</w:t>
      </w:r>
      <w:r w:rsidRPr="5FEC19FB" w:rsidR="5FEC19FB">
        <w:rPr>
          <w:rFonts w:ascii="Arial" w:hAnsi="Arial" w:cs="Arial"/>
          <w:sz w:val="24"/>
          <w:szCs w:val="24"/>
        </w:rPr>
        <w:t xml:space="preserve">.   </w:t>
      </w:r>
    </w:p>
    <w:p w:rsidRPr="008D348E" w:rsidR="00B203FD" w:rsidP="5FEC19FB" w:rsidRDefault="4DD1586D" w14:paraId="3AAAD243" w14:textId="0D15EF05">
      <w:pPr>
        <w:spacing w:line="360" w:lineRule="auto"/>
        <w:rPr>
          <w:rFonts w:ascii="Arial" w:hAnsi="Arial" w:cs="Arial"/>
          <w:sz w:val="24"/>
          <w:szCs w:val="24"/>
        </w:rPr>
      </w:pPr>
      <w:r w:rsidRPr="5FEC19FB" w:rsidR="5FEC19FB">
        <w:rPr>
          <w:rFonts w:ascii="Arial" w:hAnsi="Arial" w:cs="Arial"/>
          <w:sz w:val="24"/>
          <w:szCs w:val="24"/>
        </w:rPr>
        <w:t>On the other hand</w:t>
      </w:r>
      <w:r w:rsidRPr="5FEC19FB" w:rsidR="5FEC19FB">
        <w:rPr>
          <w:rFonts w:ascii="Arial" w:hAnsi="Arial" w:cs="Arial"/>
          <w:sz w:val="24"/>
          <w:szCs w:val="24"/>
        </w:rPr>
        <w:t xml:space="preserve"> to reforming the legislation</w:t>
      </w:r>
      <w:r w:rsidRPr="5FEC19FB" w:rsidR="5FEC19FB">
        <w:rPr>
          <w:rFonts w:ascii="Arial" w:hAnsi="Arial" w:cs="Arial"/>
          <w:sz w:val="24"/>
          <w:szCs w:val="24"/>
        </w:rPr>
        <w:t xml:space="preserve">, </w:t>
      </w:r>
      <w:proofErr w:type="spellStart"/>
      <w:r w:rsidRPr="5FEC19FB" w:rsidR="5FEC19FB">
        <w:rPr>
          <w:rFonts w:ascii="Arial" w:hAnsi="Arial" w:cs="Arial"/>
          <w:color w:val="FF0000"/>
          <w:sz w:val="24"/>
          <w:szCs w:val="24"/>
        </w:rPr>
        <w:t>Molan</w:t>
      </w:r>
      <w:proofErr w:type="spellEnd"/>
      <w:r w:rsidRPr="5FEC19FB" w:rsidR="5FEC19FB">
        <w:rPr>
          <w:rFonts w:ascii="Arial" w:hAnsi="Arial" w:cs="Arial"/>
          <w:color w:val="FF0000"/>
          <w:sz w:val="24"/>
          <w:szCs w:val="24"/>
        </w:rPr>
        <w:t xml:space="preserve"> (</w:t>
      </w:r>
      <w:r w:rsidRPr="5FEC19FB" w:rsidR="5FEC19FB">
        <w:rPr>
          <w:rFonts w:ascii="Arial" w:hAnsi="Arial" w:cs="Arial"/>
          <w:b w:val="1"/>
          <w:bCs w:val="1"/>
          <w:color w:val="FF0000"/>
          <w:sz w:val="24"/>
          <w:szCs w:val="24"/>
        </w:rPr>
        <w:t>check date</w:t>
      </w:r>
      <w:r w:rsidRPr="5FEC19FB" w:rsidR="5FEC19FB">
        <w:rPr>
          <w:rFonts w:ascii="Arial" w:hAnsi="Arial" w:cs="Arial"/>
          <w:color w:val="FF0000"/>
          <w:sz w:val="24"/>
          <w:szCs w:val="24"/>
        </w:rPr>
        <w:t xml:space="preserve">) </w:t>
      </w:r>
      <w:r w:rsidRPr="5FEC19FB" w:rsidR="5FEC19FB">
        <w:rPr>
          <w:rFonts w:ascii="Arial" w:hAnsi="Arial" w:cs="Arial"/>
          <w:sz w:val="24"/>
          <w:szCs w:val="24"/>
        </w:rPr>
        <w:t xml:space="preserve">suggests that a positive outcome occurred due to OAPA Act 1861, in the case of </w:t>
      </w:r>
      <w:r w:rsidRPr="5FEC19FB" w:rsidR="5FEC19FB">
        <w:rPr>
          <w:rFonts w:ascii="Arial" w:hAnsi="Arial" w:cs="Arial"/>
          <w:color w:val="FF0000"/>
          <w:sz w:val="24"/>
          <w:szCs w:val="24"/>
        </w:rPr>
        <w:t xml:space="preserve">R v Brown (1993). </w:t>
      </w:r>
      <w:r w:rsidRPr="5FEC19FB" w:rsidR="5FEC19FB">
        <w:rPr>
          <w:rFonts w:ascii="Arial" w:hAnsi="Arial" w:cs="Arial"/>
          <w:sz w:val="24"/>
          <w:szCs w:val="24"/>
        </w:rPr>
        <w:t>As a brief overview, this case included a group of men taking part in recorded “sadomasochistic activities”, activities in which someone thrives on causing pain to another individual, and then sending them videos to each other in this group. As a result of the offence, they were prosecuted under section 47 and section 20 of the OAPA Act, exampling that some justice became of this Act.</w:t>
      </w:r>
      <w:r w:rsidRPr="5FEC19FB" w:rsidR="5FEC19FB">
        <w:rPr>
          <w:rFonts w:ascii="Arial" w:hAnsi="Arial" w:cs="Arial"/>
          <w:sz w:val="24"/>
          <w:szCs w:val="24"/>
        </w:rPr>
        <w:t xml:space="preserve"> </w:t>
      </w:r>
      <w:r w:rsidRPr="5FEC19FB" w:rsidR="5FEC19FB">
        <w:rPr>
          <w:rFonts w:ascii="Arial" w:hAnsi="Arial" w:cs="Arial"/>
          <w:color w:val="FF0000"/>
          <w:sz w:val="24"/>
          <w:szCs w:val="24"/>
        </w:rPr>
        <w:t>(cite??)</w:t>
      </w:r>
    </w:p>
    <w:p w:rsidRPr="008D348E" w:rsidR="00C1531A" w:rsidP="5FEC19FB" w:rsidRDefault="4DD1586D" w14:paraId="3668D9AD" w14:textId="15344D3F" w14:noSpellErr="1">
      <w:pPr>
        <w:spacing w:line="360" w:lineRule="auto"/>
        <w:rPr>
          <w:rFonts w:ascii="Arial" w:hAnsi="Arial" w:cs="Arial"/>
          <w:sz w:val="24"/>
          <w:szCs w:val="24"/>
        </w:rPr>
      </w:pPr>
      <w:r w:rsidRPr="5FEC19FB" w:rsidR="5FEC19FB">
        <w:rPr>
          <w:rFonts w:ascii="Arial" w:hAnsi="Arial" w:cs="Arial"/>
          <w:sz w:val="24"/>
          <w:szCs w:val="24"/>
        </w:rPr>
        <w:t>The Offences Against the Person Act 1861 has been identified as needing a reform for many years, and there have been several failed attempts over the ye</w:t>
      </w:r>
      <w:r w:rsidRPr="5FEC19FB" w:rsidR="5FEC19FB">
        <w:rPr>
          <w:rFonts w:ascii="Arial" w:hAnsi="Arial" w:cs="Arial"/>
          <w:sz w:val="24"/>
          <w:szCs w:val="24"/>
        </w:rPr>
        <w:t xml:space="preserve">ars. </w:t>
      </w:r>
      <w:r w:rsidRPr="5FEC19FB" w:rsidR="5FEC19FB">
        <w:rPr>
          <w:rFonts w:ascii="Arial" w:hAnsi="Arial" w:cs="Arial"/>
          <w:sz w:val="24"/>
          <w:szCs w:val="24"/>
        </w:rPr>
        <w:t>For example, since 1980, attempts took place in the years 1980, 1985, 1989, 1992, 1993 and most recently in 1998, with a draft bill named “Violence: Reforming the Offences against the Person Act 1861”</w:t>
      </w:r>
      <w:r w:rsidRPr="5FEC19FB" w:rsidR="5FEC19FB">
        <w:rPr>
          <w:rFonts w:ascii="Arial" w:hAnsi="Arial" w:cs="Arial"/>
          <w:sz w:val="24"/>
          <w:szCs w:val="24"/>
        </w:rPr>
        <w:t xml:space="preserve"> (</w:t>
      </w:r>
      <w:r w:rsidRPr="5FEC19FB" w:rsidR="5FEC19FB">
        <w:rPr>
          <w:rFonts w:ascii="Arial" w:hAnsi="Arial" w:cs="Arial"/>
          <w:color w:val="FF0000"/>
          <w:sz w:val="24"/>
          <w:szCs w:val="24"/>
        </w:rPr>
        <w:t>Law commissions report (lawcom.gov.uk))</w:t>
      </w:r>
      <w:r w:rsidRPr="5FEC19FB" w:rsidR="5FEC19FB">
        <w:rPr>
          <w:rFonts w:ascii="Arial" w:hAnsi="Arial" w:cs="Arial"/>
          <w:sz w:val="24"/>
          <w:szCs w:val="24"/>
        </w:rPr>
        <w:t xml:space="preserve">. Over the years, the Law Commission have gathered evidence to agree on the fact that the non-fatal offences against a person needed change, but to do so, it was required to be changed over time, using many bills, rather than one big change in the legislation </w:t>
      </w:r>
      <w:r w:rsidRPr="5FEC19FB" w:rsidR="5FEC19FB">
        <w:rPr>
          <w:rFonts w:ascii="Arial" w:hAnsi="Arial" w:cs="Arial"/>
          <w:color w:val="FF0000"/>
          <w:sz w:val="24"/>
          <w:szCs w:val="24"/>
        </w:rPr>
        <w:t>(Allen, 2013)</w:t>
      </w:r>
      <w:r w:rsidRPr="5FEC19FB" w:rsidR="5FEC19FB">
        <w:rPr>
          <w:rFonts w:ascii="Arial" w:hAnsi="Arial" w:cs="Arial"/>
          <w:sz w:val="24"/>
          <w:szCs w:val="24"/>
        </w:rPr>
        <w:t>.</w:t>
      </w:r>
      <w:r w:rsidRPr="5FEC19FB" w:rsidR="5FEC19FB">
        <w:rPr>
          <w:rFonts w:ascii="Arial" w:hAnsi="Arial" w:cs="Arial"/>
          <w:sz w:val="24"/>
          <w:szCs w:val="24"/>
        </w:rPr>
        <w:t xml:space="preserve"> Even though it is stated </w:t>
      </w:r>
      <w:r w:rsidRPr="5FEC19FB" w:rsidR="5FEC19FB">
        <w:rPr>
          <w:rFonts w:ascii="Arial" w:hAnsi="Arial" w:cs="Arial"/>
          <w:sz w:val="24"/>
          <w:szCs w:val="24"/>
        </w:rPr>
        <w:t xml:space="preserve">above about the last failed attempt being in 1998, </w:t>
      </w:r>
      <w:r w:rsidRPr="5FEC19FB" w:rsidR="5FEC19FB">
        <w:rPr>
          <w:rFonts w:ascii="Arial" w:hAnsi="Arial" w:cs="Arial"/>
          <w:sz w:val="24"/>
          <w:szCs w:val="24"/>
        </w:rPr>
        <w:t>the Law Commission released</w:t>
      </w:r>
      <w:r w:rsidRPr="5FEC19FB" w:rsidR="5FEC19FB">
        <w:rPr>
          <w:rFonts w:ascii="Arial" w:hAnsi="Arial" w:cs="Arial"/>
          <w:sz w:val="24"/>
          <w:szCs w:val="24"/>
        </w:rPr>
        <w:t xml:space="preserve"> a report of recommendations in 2015, which was presented to the Government</w:t>
      </w:r>
      <w:r w:rsidRPr="5FEC19FB" w:rsidR="5FEC19FB">
        <w:rPr>
          <w:rFonts w:ascii="Arial" w:hAnsi="Arial" w:cs="Arial"/>
          <w:sz w:val="24"/>
          <w:szCs w:val="24"/>
        </w:rPr>
        <w:t>, to try and initiate changes in the legislation</w:t>
      </w:r>
      <w:r w:rsidRPr="5FEC19FB" w:rsidR="5FEC19FB">
        <w:rPr>
          <w:rFonts w:ascii="Arial" w:hAnsi="Arial" w:cs="Arial"/>
          <w:sz w:val="24"/>
          <w:szCs w:val="24"/>
        </w:rPr>
        <w:t xml:space="preserve"> </w:t>
      </w:r>
      <w:r w:rsidRPr="5FEC19FB" w:rsidR="5FEC19FB">
        <w:rPr>
          <w:rFonts w:ascii="Arial" w:hAnsi="Arial" w:cs="Arial"/>
          <w:color w:val="FF0000"/>
          <w:sz w:val="24"/>
          <w:szCs w:val="24"/>
        </w:rPr>
        <w:t>(Law Commission, 2015).</w:t>
      </w:r>
    </w:p>
    <w:p w:rsidR="007207AA" w:rsidP="5FEC19FB" w:rsidRDefault="4DD1586D" w14:paraId="6E578A2C" w14:noSpellErr="1" w14:textId="22151252">
      <w:pPr>
        <w:spacing w:line="360" w:lineRule="auto"/>
        <w:rPr>
          <w:rFonts w:ascii="Arial" w:hAnsi="Arial" w:cs="Arial"/>
          <w:sz w:val="24"/>
          <w:szCs w:val="24"/>
        </w:rPr>
      </w:pPr>
      <w:r w:rsidRPr="5FEC19FB" w:rsidR="5FEC19FB">
        <w:rPr>
          <w:rFonts w:ascii="Arial" w:hAnsi="Arial" w:cs="Arial"/>
          <w:sz w:val="24"/>
          <w:szCs w:val="24"/>
        </w:rPr>
        <w:t xml:space="preserve">Regarding the recommendations, </w:t>
      </w:r>
      <w:r w:rsidRPr="5FEC19FB" w:rsidR="5FEC19FB">
        <w:rPr>
          <w:rFonts w:ascii="Arial" w:hAnsi="Arial" w:cs="Arial"/>
          <w:color w:val="FF0000"/>
          <w:sz w:val="24"/>
          <w:szCs w:val="24"/>
        </w:rPr>
        <w:t xml:space="preserve">the Law Commission (2011) </w:t>
      </w:r>
      <w:r w:rsidRPr="5FEC19FB" w:rsidR="5FEC19FB">
        <w:rPr>
          <w:rFonts w:ascii="Arial" w:hAnsi="Arial" w:cs="Arial"/>
          <w:sz w:val="24"/>
          <w:szCs w:val="24"/>
        </w:rPr>
        <w:t>expressed how the law commission recommended the creation of a structured hierarchy, and the report also mentioned</w:t>
      </w:r>
      <w:r w:rsidRPr="5FEC19FB" w:rsidR="5FEC19FB">
        <w:rPr>
          <w:rFonts w:ascii="Arial" w:hAnsi="Arial" w:cs="Arial"/>
          <w:sz w:val="24"/>
          <w:szCs w:val="24"/>
        </w:rPr>
        <w:t>...</w:t>
      </w:r>
      <w:r w:rsidRPr="5FEC19FB" w:rsidR="5FEC19FB">
        <w:rPr>
          <w:rFonts w:ascii="Arial" w:hAnsi="Arial" w:cs="Arial"/>
          <w:b w:val="1"/>
          <w:bCs w:val="1"/>
          <w:color w:val="00B050"/>
          <w:sz w:val="24"/>
          <w:szCs w:val="24"/>
        </w:rPr>
        <w:t xml:space="preserve"> </w:t>
      </w:r>
      <w:r w:rsidRPr="5FEC19FB" w:rsidR="5FEC19FB">
        <w:rPr>
          <w:rFonts w:ascii="Arial" w:hAnsi="Arial" w:cs="Arial"/>
          <w:sz w:val="24"/>
          <w:szCs w:val="24"/>
        </w:rPr>
        <w:t xml:space="preserve">in 2011 </w:t>
      </w:r>
      <w:r w:rsidRPr="5FEC19FB" w:rsidR="5FEC19FB">
        <w:rPr>
          <w:rFonts w:ascii="Arial" w:hAnsi="Arial" w:cs="Arial"/>
          <w:color w:val="FF0000"/>
          <w:sz w:val="24"/>
          <w:szCs w:val="24"/>
        </w:rPr>
        <w:t>(Law Commission, 2011)</w:t>
      </w:r>
      <w:r w:rsidRPr="5FEC19FB" w:rsidR="5FEC19FB">
        <w:rPr>
          <w:rFonts w:ascii="Arial" w:hAnsi="Arial" w:cs="Arial"/>
          <w:sz w:val="24"/>
          <w:szCs w:val="24"/>
        </w:rPr>
        <w:t xml:space="preserve">. </w:t>
      </w:r>
    </w:p>
    <w:p w:rsidR="006E7C1A" w:rsidP="5FEC19FB" w:rsidRDefault="007207AA" w14:paraId="5906D418" w14:noSpellErr="1" w14:textId="181D33F5">
      <w:pPr>
        <w:spacing w:line="360" w:lineRule="auto"/>
        <w:rPr>
          <w:rFonts w:ascii="Arial" w:hAnsi="Arial" w:cs="Arial"/>
          <w:sz w:val="24"/>
          <w:szCs w:val="24"/>
        </w:rPr>
      </w:pPr>
      <w:r w:rsidRPr="5FEC19FB" w:rsidR="5FEC19FB">
        <w:rPr>
          <w:rFonts w:ascii="Arial" w:hAnsi="Arial" w:cs="Arial"/>
          <w:color w:val="000000" w:themeColor="text1" w:themeTint="FF" w:themeShade="FF"/>
          <w:sz w:val="24"/>
          <w:szCs w:val="24"/>
        </w:rPr>
        <w:t xml:space="preserve">Regarding the recommendations for reform, research has shown that the 1998 draft Bill suggested a creation of four offences to replace section 18, 20 and 47 of the OAPA 1861. These offences are as followed; 1. Causing an injury of a serious nature to another individual intentionally, 2. Causing an injury of a serious nature to another individual recklessly, 3. Causing another individual injury an injury either intentionally or recklessly, and 4. Intentionally or recklessly slightly injuring another </w:t>
      </w:r>
      <w:r w:rsidRPr="5FEC19FB" w:rsidR="5FEC19FB">
        <w:rPr>
          <w:rFonts w:ascii="Arial" w:hAnsi="Arial" w:cs="Arial"/>
          <w:color w:val="000000" w:themeColor="text1" w:themeTint="FF" w:themeShade="FF"/>
          <w:sz w:val="24"/>
          <w:szCs w:val="24"/>
        </w:rPr>
        <w:t xml:space="preserve">individual, or making another individual think they are going to be harmed. In terms of these four offences, the 1998 draft Bill proposes that the first and fourth offence should specifically replace sections 18, 20, and 47 of the OAPA 1861, and replace </w:t>
      </w:r>
      <w:r w:rsidRPr="5FEC19FB" w:rsidR="5FEC19FB">
        <w:rPr>
          <w:rFonts w:ascii="Arial" w:hAnsi="Arial" w:cs="Arial"/>
          <w:color w:val="000000" w:themeColor="text1" w:themeTint="FF" w:themeShade="FF"/>
          <w:sz w:val="24"/>
          <w:szCs w:val="24"/>
        </w:rPr>
        <w:t xml:space="preserve">the </w:t>
      </w:r>
      <w:r w:rsidRPr="5FEC19FB" w:rsidR="5FEC19FB">
        <w:rPr>
          <w:rFonts w:ascii="Arial" w:hAnsi="Arial" w:cs="Arial"/>
          <w:color w:val="000000" w:themeColor="text1" w:themeTint="FF" w:themeShade="FF"/>
          <w:sz w:val="24"/>
          <w:szCs w:val="24"/>
        </w:rPr>
        <w:t xml:space="preserve">offence convicting people with battery and </w:t>
      </w:r>
      <w:r w:rsidRPr="5FEC19FB" w:rsidR="5FEC19FB">
        <w:rPr>
          <w:rFonts w:ascii="Arial" w:hAnsi="Arial" w:cs="Arial"/>
          <w:color w:val="000000" w:themeColor="text1" w:themeTint="FF" w:themeShade="FF"/>
          <w:sz w:val="24"/>
          <w:szCs w:val="24"/>
        </w:rPr>
        <w:t>assault</w:t>
      </w:r>
      <w:r w:rsidRPr="5FEC19FB" w:rsidR="5FEC19FB">
        <w:rPr>
          <w:rFonts w:ascii="Arial" w:hAnsi="Arial" w:cs="Arial"/>
          <w:color w:val="000000" w:themeColor="text1" w:themeTint="FF" w:themeShade="FF"/>
          <w:sz w:val="24"/>
          <w:szCs w:val="24"/>
        </w:rPr>
        <w:t>, under common law</w:t>
      </w:r>
      <w:r w:rsidRPr="5FEC19FB" w:rsidR="5FEC19FB">
        <w:rPr>
          <w:rFonts w:ascii="Arial" w:hAnsi="Arial" w:cs="Arial"/>
          <w:color w:val="000000" w:themeColor="text1" w:themeTint="FF" w:themeShade="FF"/>
          <w:sz w:val="24"/>
          <w:szCs w:val="24"/>
        </w:rPr>
        <w:t xml:space="preserve"> </w:t>
      </w:r>
      <w:r w:rsidRPr="5FEC19FB" w:rsidR="5FEC19FB">
        <w:rPr>
          <w:rFonts w:ascii="Arial" w:hAnsi="Arial" w:cs="Arial"/>
          <w:color w:val="FF0000"/>
          <w:sz w:val="24"/>
          <w:szCs w:val="24"/>
        </w:rPr>
        <w:t>(</w:t>
      </w:r>
      <w:r w:rsidRPr="5FEC19FB" w:rsidR="5FEC19FB">
        <w:rPr>
          <w:rFonts w:ascii="Arial" w:hAnsi="Arial" w:cs="Arial"/>
          <w:b w:val="1"/>
          <w:bCs w:val="1"/>
          <w:color w:val="FF0000"/>
          <w:sz w:val="24"/>
          <w:szCs w:val="24"/>
        </w:rPr>
        <w:t>Jackson. Storey, 2015</w:t>
      </w:r>
      <w:r w:rsidRPr="5FEC19FB" w:rsidR="5FEC19FB">
        <w:rPr>
          <w:rFonts w:ascii="Arial" w:hAnsi="Arial" w:cs="Arial"/>
          <w:color w:val="FF0000"/>
          <w:sz w:val="24"/>
          <w:szCs w:val="24"/>
        </w:rPr>
        <w:t xml:space="preserve">). </w:t>
      </w:r>
      <w:r>
        <w:br/>
      </w:r>
      <w:r w:rsidRPr="5FEC19FB" w:rsidR="5FEC19FB">
        <w:rPr>
          <w:rFonts w:ascii="Arial" w:hAnsi="Arial" w:cs="Arial"/>
          <w:color w:val="000000" w:themeColor="text1" w:themeTint="FF" w:themeShade="FF"/>
          <w:sz w:val="24"/>
          <w:szCs w:val="24"/>
        </w:rPr>
        <w:t xml:space="preserve">Regarding offences against another individual, most of the offences do not require severe injuries to occur and therefore under the Home Offices 1998 draft Bill, the person prosecuting will have 2 options which they can choice. They can either charge the individual in the Magistrates court, meaning the trial will be cheaper, although the defendant would not be known as “someone who has caused actual injury”, or the defendant can be charged in the Crown court. By the defendant having a trial in the Crown court, the trial costs much more money, and there could be insufficient requirements for the case to go through this court, due to the severity of the offence, as these options are based on low levels of injury </w:t>
      </w:r>
      <w:r w:rsidRPr="5FEC19FB" w:rsidR="5FEC19FB">
        <w:rPr>
          <w:rFonts w:ascii="Arial" w:hAnsi="Arial" w:cs="Arial"/>
          <w:color w:val="FF0000"/>
          <w:sz w:val="24"/>
          <w:szCs w:val="24"/>
        </w:rPr>
        <w:t>(Law Commission, 2015 – smaller report).</w:t>
      </w:r>
    </w:p>
    <w:p w:rsidRPr="007207AA" w:rsidR="00650693" w:rsidP="5FEC19FB" w:rsidRDefault="4DD1586D" w14:paraId="2D8BAA86" w14:textId="3C59B879" w14:noSpellErr="1">
      <w:pPr>
        <w:spacing w:line="360" w:lineRule="auto"/>
        <w:rPr>
          <w:rFonts w:ascii="Arial" w:hAnsi="Arial" w:cs="Arial"/>
          <w:color w:val="FF0000"/>
          <w:sz w:val="24"/>
          <w:szCs w:val="24"/>
        </w:rPr>
      </w:pPr>
      <w:r w:rsidRPr="5FEC19FB" w:rsidR="5FEC19FB">
        <w:rPr>
          <w:rFonts w:ascii="Arial" w:hAnsi="Arial" w:cs="Arial"/>
          <w:sz w:val="24"/>
          <w:szCs w:val="24"/>
        </w:rPr>
        <w:t xml:space="preserve">In 2015, a report was produced concerning the OAPA 1861, containing the proposed changes to the law. The report suggests abolishing several offences which are no longer required anymore, such as “Impeding person escaping from wreck”, and condensing offences, creating a more structured hierarchy. An example of this is where three offences concerning railways could be changed into one offences, which would therefore have a wider scope of offences under it, named “causing danger to a person on a railway” </w:t>
      </w:r>
      <w:r w:rsidRPr="5FEC19FB" w:rsidR="5FEC19FB">
        <w:rPr>
          <w:rFonts w:ascii="Arial" w:hAnsi="Arial" w:cs="Arial"/>
          <w:color w:val="FF0000"/>
          <w:sz w:val="24"/>
          <w:szCs w:val="24"/>
        </w:rPr>
        <w:t>(Law Commission,2015).</w:t>
      </w:r>
    </w:p>
    <w:p w:rsidRPr="008D348E" w:rsidR="006771BD" w:rsidP="5FEC19FB" w:rsidRDefault="4DD1586D" w14:paraId="589D942C" w14:textId="74684E04">
      <w:pPr>
        <w:spacing w:line="360" w:lineRule="auto"/>
        <w:rPr>
          <w:rFonts w:ascii="Arial" w:hAnsi="Arial" w:cs="Arial"/>
          <w:color w:val="000000" w:themeColor="text1" w:themeTint="FF" w:themeShade="FF"/>
          <w:sz w:val="24"/>
          <w:szCs w:val="24"/>
        </w:rPr>
      </w:pPr>
      <w:r w:rsidRPr="5FEC19FB" w:rsidR="5FEC19FB">
        <w:rPr>
          <w:rFonts w:ascii="Arial" w:hAnsi="Arial" w:cs="Arial"/>
          <w:sz w:val="24"/>
          <w:szCs w:val="24"/>
        </w:rPr>
        <w:t>On comparison to creating a structured hierarchy, a suggestion has arisen of creating a new offence of “aggravated assault” (</w:t>
      </w:r>
      <w:r w:rsidRPr="5FEC19FB" w:rsidR="5FEC19FB">
        <w:rPr>
          <w:rFonts w:ascii="Arial" w:hAnsi="Arial" w:cs="Arial"/>
          <w:b w:val="1"/>
          <w:bCs w:val="1"/>
          <w:color w:val="FF0000"/>
          <w:sz w:val="24"/>
          <w:szCs w:val="24"/>
        </w:rPr>
        <w:t>Draft Bill, 1998</w:t>
      </w:r>
      <w:r w:rsidRPr="5FEC19FB" w:rsidR="5FEC19FB">
        <w:rPr>
          <w:rFonts w:ascii="Arial" w:hAnsi="Arial" w:cs="Arial"/>
          <w:sz w:val="24"/>
          <w:szCs w:val="24"/>
        </w:rPr>
        <w:t>). This offence has arisen due to the OAPA 1861 being perceived as having a disparity between the offence of committing a common law offence and actual bodily harm (ABH) with intent.</w:t>
      </w:r>
      <w:r w:rsidRPr="5FEC19FB" w:rsidR="5FEC19FB">
        <w:rPr>
          <w:rFonts w:ascii="Arial" w:hAnsi="Arial" w:cs="Arial"/>
          <w:b w:val="1"/>
          <w:bCs w:val="1"/>
          <w:sz w:val="24"/>
          <w:szCs w:val="24"/>
        </w:rPr>
        <w:t xml:space="preserve"> </w:t>
      </w:r>
      <w:r w:rsidRPr="5FEC19FB" w:rsidR="5FEC19FB">
        <w:rPr>
          <w:rFonts w:ascii="Arial" w:hAnsi="Arial" w:cs="Arial"/>
          <w:sz w:val="24"/>
          <w:szCs w:val="24"/>
        </w:rPr>
        <w:t xml:space="preserve">The </w:t>
      </w:r>
      <w:r w:rsidRPr="5FEC19FB" w:rsidR="5FEC19FB">
        <w:rPr>
          <w:rFonts w:ascii="Arial" w:hAnsi="Arial" w:cs="Arial"/>
          <w:color w:val="FF0000"/>
          <w:sz w:val="24"/>
          <w:szCs w:val="24"/>
        </w:rPr>
        <w:t>Draft Bill (1998</w:t>
      </w:r>
      <w:r w:rsidRPr="5FEC19FB" w:rsidR="5FEC19FB">
        <w:rPr>
          <w:rFonts w:ascii="Arial" w:hAnsi="Arial" w:cs="Arial"/>
          <w:sz w:val="24"/>
          <w:szCs w:val="24"/>
        </w:rPr>
        <w:t xml:space="preserve">) suggests that this new offence should be created as a summary offence, as it allows the offence to be dealt with in the Magistrates Court rather than the Crown Court. </w:t>
      </w:r>
      <w:proofErr w:type="spellStart"/>
      <w:r w:rsidRPr="5FEC19FB" w:rsidR="5FEC19FB">
        <w:rPr>
          <w:rFonts w:ascii="Arial" w:hAnsi="Arial" w:cs="Arial"/>
          <w:color w:val="FF0000"/>
          <w:sz w:val="24"/>
          <w:szCs w:val="24"/>
        </w:rPr>
        <w:t>Bowcott</w:t>
      </w:r>
      <w:proofErr w:type="spellEnd"/>
      <w:r w:rsidRPr="5FEC19FB" w:rsidR="5FEC19FB">
        <w:rPr>
          <w:rFonts w:ascii="Arial" w:hAnsi="Arial" w:cs="Arial"/>
          <w:color w:val="FF0000"/>
          <w:sz w:val="24"/>
          <w:szCs w:val="24"/>
        </w:rPr>
        <w:t xml:space="preserve"> (2015)</w:t>
      </w:r>
      <w:r w:rsidRPr="5FEC19FB" w:rsidR="5FEC19FB">
        <w:rPr>
          <w:rFonts w:ascii="Arial" w:hAnsi="Arial" w:cs="Arial"/>
          <w:sz w:val="24"/>
          <w:szCs w:val="24"/>
        </w:rPr>
        <w:t xml:space="preserve"> observes that by creating the offence of “Aggravated Assault”, cases would be cheaper to deal with. </w:t>
      </w:r>
      <w:r>
        <w:br/>
      </w:r>
      <w:r w:rsidRPr="5FEC19FB" w:rsidR="5FEC19FB">
        <w:rPr>
          <w:rFonts w:ascii="Arial" w:hAnsi="Arial" w:cs="Arial"/>
          <w:color w:val="000000" w:themeColor="text1" w:themeTint="FF" w:themeShade="FF"/>
          <w:sz w:val="24"/>
          <w:szCs w:val="24"/>
        </w:rPr>
        <w:t xml:space="preserve">According to gov.uk, the Magistrates court can currently only sentence up to six months in prison, unless there is more than one offence, which then allows the magistrates to sentence up to a year in prison. Therefore, at this present time, if the Magistrates believes that the sentence given to an offence should be higher than six </w:t>
      </w:r>
      <w:r w:rsidRPr="5FEC19FB" w:rsidR="5FEC19FB">
        <w:rPr>
          <w:rFonts w:ascii="Arial" w:hAnsi="Arial" w:cs="Arial"/>
          <w:color w:val="000000" w:themeColor="text1" w:themeTint="FF" w:themeShade="FF"/>
          <w:sz w:val="24"/>
          <w:szCs w:val="24"/>
        </w:rPr>
        <w:t xml:space="preserve">months, they are required to pass it to the Crown court </w:t>
      </w:r>
      <w:r w:rsidRPr="5FEC19FB" w:rsidR="5FEC19FB">
        <w:rPr>
          <w:rFonts w:ascii="Arial" w:hAnsi="Arial" w:cs="Arial"/>
          <w:color w:val="FF0000"/>
          <w:sz w:val="24"/>
          <w:szCs w:val="24"/>
        </w:rPr>
        <w:t>(</w:t>
      </w:r>
      <w:r w:rsidRPr="5FEC19FB" w:rsidR="5FEC19FB">
        <w:rPr>
          <w:rFonts w:ascii="Arial" w:hAnsi="Arial" w:cs="Arial"/>
          <w:b w:val="1"/>
          <w:bCs w:val="1"/>
          <w:color w:val="FF0000"/>
          <w:sz w:val="24"/>
          <w:szCs w:val="24"/>
        </w:rPr>
        <w:t>gov.uk, find out year</w:t>
      </w:r>
      <w:r w:rsidRPr="5FEC19FB" w:rsidR="5FEC19FB">
        <w:rPr>
          <w:rFonts w:ascii="Arial" w:hAnsi="Arial" w:cs="Arial"/>
          <w:color w:val="000000" w:themeColor="text1" w:themeTint="FF" w:themeShade="FF"/>
          <w:sz w:val="24"/>
          <w:szCs w:val="24"/>
        </w:rPr>
        <w:t xml:space="preserve">). The statics which </w:t>
      </w:r>
      <w:proofErr w:type="spellStart"/>
      <w:r w:rsidRPr="5FEC19FB" w:rsidR="5FEC19FB">
        <w:rPr>
          <w:rFonts w:ascii="Arial" w:hAnsi="Arial" w:cs="Arial"/>
          <w:color w:val="FF0000"/>
          <w:sz w:val="24"/>
          <w:szCs w:val="24"/>
        </w:rPr>
        <w:t>Bowcott</w:t>
      </w:r>
      <w:proofErr w:type="spellEnd"/>
      <w:r w:rsidRPr="5FEC19FB" w:rsidR="5FEC19FB">
        <w:rPr>
          <w:rFonts w:ascii="Arial" w:hAnsi="Arial" w:cs="Arial"/>
          <w:color w:val="FF0000"/>
          <w:sz w:val="24"/>
          <w:szCs w:val="24"/>
        </w:rPr>
        <w:t xml:space="preserve"> (2015) </w:t>
      </w:r>
      <w:r w:rsidRPr="5FEC19FB" w:rsidR="5FEC19FB">
        <w:rPr>
          <w:rFonts w:ascii="Arial" w:hAnsi="Arial" w:cs="Arial"/>
          <w:color w:val="000000" w:themeColor="text1" w:themeTint="FF" w:themeShade="FF"/>
          <w:sz w:val="24"/>
          <w:szCs w:val="24"/>
        </w:rPr>
        <w:t xml:space="preserve">presents suggests </w:t>
      </w:r>
      <w:r w:rsidRPr="5FEC19FB" w:rsidR="5FEC19FB">
        <w:rPr>
          <w:rFonts w:ascii="Arial" w:hAnsi="Arial" w:cs="Arial"/>
          <w:color w:val="000000" w:themeColor="text1" w:themeTint="FF" w:themeShade="FF"/>
          <w:sz w:val="24"/>
          <w:szCs w:val="24"/>
        </w:rPr>
        <w:t xml:space="preserve">that </w:t>
      </w:r>
      <w:r w:rsidRPr="5FEC19FB" w:rsidR="5FEC19FB">
        <w:rPr>
          <w:rFonts w:ascii="Arial" w:hAnsi="Arial" w:cs="Arial"/>
          <w:color w:val="000000" w:themeColor="text1" w:themeTint="FF" w:themeShade="FF"/>
          <w:sz w:val="24"/>
          <w:szCs w:val="24"/>
        </w:rPr>
        <w:t xml:space="preserve">out of every ABH </w:t>
      </w:r>
      <w:r w:rsidRPr="5FEC19FB" w:rsidR="5FEC19FB">
        <w:rPr>
          <w:rFonts w:ascii="Arial" w:hAnsi="Arial" w:cs="Arial"/>
          <w:color w:val="000000" w:themeColor="text1" w:themeTint="FF" w:themeShade="FF"/>
          <w:sz w:val="24"/>
          <w:szCs w:val="24"/>
        </w:rPr>
        <w:t>case that was</w:t>
      </w:r>
      <w:r w:rsidRPr="5FEC19FB" w:rsidR="5FEC19FB">
        <w:rPr>
          <w:rFonts w:ascii="Arial" w:hAnsi="Arial" w:cs="Arial"/>
          <w:color w:val="000000" w:themeColor="text1" w:themeTint="FF" w:themeShade="FF"/>
          <w:sz w:val="24"/>
          <w:szCs w:val="24"/>
        </w:rPr>
        <w:t xml:space="preserve"> dealt with </w:t>
      </w:r>
      <w:r w:rsidRPr="5FEC19FB" w:rsidR="5FEC19FB">
        <w:rPr>
          <w:rFonts w:ascii="Arial" w:hAnsi="Arial" w:cs="Arial"/>
          <w:color w:val="000000" w:themeColor="text1" w:themeTint="FF" w:themeShade="FF"/>
          <w:sz w:val="24"/>
          <w:szCs w:val="24"/>
        </w:rPr>
        <w:t xml:space="preserve">in 2014, 70% of </w:t>
      </w:r>
      <w:r w:rsidRPr="5FEC19FB" w:rsidR="5FEC19FB">
        <w:rPr>
          <w:rFonts w:ascii="Arial" w:hAnsi="Arial" w:cs="Arial"/>
          <w:color w:val="000000" w:themeColor="text1" w:themeTint="FF" w:themeShade="FF"/>
          <w:sz w:val="24"/>
          <w:szCs w:val="24"/>
        </w:rPr>
        <w:t xml:space="preserve">them had either 12 </w:t>
      </w:r>
      <w:r w:rsidRPr="5FEC19FB" w:rsidR="5FEC19FB">
        <w:rPr>
          <w:rFonts w:ascii="Arial" w:hAnsi="Arial" w:cs="Arial"/>
          <w:color w:val="000000" w:themeColor="text1" w:themeTint="FF" w:themeShade="FF"/>
          <w:sz w:val="24"/>
          <w:szCs w:val="24"/>
        </w:rPr>
        <w:t>months sentence or less</w:t>
      </w:r>
      <w:r w:rsidRPr="5FEC19FB" w:rsidR="5FEC19FB">
        <w:rPr>
          <w:rFonts w:ascii="Arial" w:hAnsi="Arial" w:cs="Arial"/>
          <w:color w:val="000000" w:themeColor="text1" w:themeTint="FF" w:themeShade="FF"/>
          <w:sz w:val="24"/>
          <w:szCs w:val="24"/>
        </w:rPr>
        <w:t xml:space="preserve">. This suggests that if the government increased the sentence time which the Magistrates court can allocate, more cases could be dealt with in the Magistrates court instead of the Crown court, yet the government do not seem to want to carry out this action </w:t>
      </w:r>
      <w:r w:rsidRPr="5FEC19FB" w:rsidR="5FEC19FB">
        <w:rPr>
          <w:rFonts w:ascii="Arial" w:hAnsi="Arial" w:cs="Arial"/>
          <w:b w:val="1"/>
          <w:bCs w:val="1"/>
          <w:color w:val="FF0000"/>
          <w:sz w:val="24"/>
          <w:szCs w:val="24"/>
        </w:rPr>
        <w:t>(find source)</w:t>
      </w:r>
      <w:r w:rsidRPr="5FEC19FB" w:rsidR="5FEC19FB">
        <w:rPr>
          <w:rFonts w:ascii="Arial" w:hAnsi="Arial" w:cs="Arial"/>
          <w:color w:val="FF0000"/>
          <w:sz w:val="24"/>
          <w:szCs w:val="24"/>
        </w:rPr>
        <w:t xml:space="preserve">. </w:t>
      </w:r>
    </w:p>
    <w:p w:rsidRPr="008D348E" w:rsidR="00B718B7" w:rsidP="5FEC19FB" w:rsidRDefault="001B2824" w14:paraId="52FFB25D" w14:textId="56AAE6FA" w14:noSpellErr="1">
      <w:pPr>
        <w:spacing w:line="360" w:lineRule="auto"/>
        <w:rPr>
          <w:rFonts w:ascii="Arial" w:hAnsi="Arial" w:cs="Arial"/>
          <w:sz w:val="24"/>
          <w:szCs w:val="24"/>
        </w:rPr>
      </w:pPr>
      <w:r w:rsidRPr="5FEC19FB" w:rsidR="5FEC19FB">
        <w:rPr>
          <w:rFonts w:ascii="Arial" w:hAnsi="Arial" w:cs="Arial"/>
          <w:sz w:val="24"/>
          <w:szCs w:val="24"/>
        </w:rPr>
        <w:t>Lastly, a</w:t>
      </w:r>
      <w:r w:rsidRPr="5FEC19FB" w:rsidR="5FEC19FB">
        <w:rPr>
          <w:rFonts w:ascii="Arial" w:hAnsi="Arial" w:cs="Arial"/>
          <w:sz w:val="24"/>
          <w:szCs w:val="24"/>
        </w:rPr>
        <w:t>longside the draft Bill 1998 suggesting the “aggravated assault” offence, it additionally recommends editing the offence of threatening to kill, by adding other threats into the offence too, including rape and serious injury. This Bill suggests that all the defendants who commit these crimes should serve up to ten years in prison (</w:t>
      </w:r>
      <w:r w:rsidRPr="5FEC19FB" w:rsidR="5FEC19FB">
        <w:rPr>
          <w:rFonts w:ascii="Arial" w:hAnsi="Arial" w:cs="Arial"/>
          <w:b w:val="1"/>
          <w:bCs w:val="1"/>
          <w:color w:val="FF0000"/>
          <w:sz w:val="24"/>
          <w:szCs w:val="24"/>
        </w:rPr>
        <w:t>cite</w:t>
      </w:r>
      <w:r w:rsidRPr="5FEC19FB" w:rsidR="5FEC19FB">
        <w:rPr>
          <w:rFonts w:ascii="Arial" w:hAnsi="Arial" w:cs="Arial"/>
          <w:sz w:val="24"/>
          <w:szCs w:val="24"/>
        </w:rPr>
        <w:t>).</w:t>
      </w:r>
    </w:p>
    <w:p w:rsidRPr="008D348E" w:rsidR="00642510" w:rsidP="5FEC19FB" w:rsidRDefault="4DD1586D" w14:paraId="79BD5D9A" w14:textId="23F6A8D9">
      <w:pPr>
        <w:spacing w:line="360" w:lineRule="auto"/>
        <w:rPr>
          <w:rFonts w:ascii="Arial" w:hAnsi="Arial" w:cs="Arial"/>
          <w:color w:val="000000" w:themeColor="text1" w:themeTint="FF" w:themeShade="FF"/>
          <w:sz w:val="24"/>
          <w:szCs w:val="24"/>
        </w:rPr>
      </w:pPr>
      <w:r w:rsidRPr="5FEC19FB" w:rsidR="5FEC19FB">
        <w:rPr>
          <w:rFonts w:ascii="Arial" w:hAnsi="Arial" w:cs="Arial"/>
          <w:color w:val="000000" w:themeColor="text1" w:themeTint="FF" w:themeShade="FF"/>
          <w:sz w:val="24"/>
          <w:szCs w:val="24"/>
        </w:rPr>
        <w:t xml:space="preserve">In 2015, it was stated that “the legislation is out of date and in some areas obsolete; new ways of offending are not adequately captured”, by the Lord Chief Justice of England and Wales, the </w:t>
      </w:r>
      <w:proofErr w:type="spellStart"/>
      <w:r w:rsidRPr="5FEC19FB" w:rsidR="5FEC19FB">
        <w:rPr>
          <w:rFonts w:ascii="Arial" w:hAnsi="Arial" w:cs="Arial"/>
          <w:color w:val="000000" w:themeColor="text1" w:themeTint="FF" w:themeShade="FF"/>
          <w:sz w:val="24"/>
          <w:szCs w:val="24"/>
        </w:rPr>
        <w:t>Rt</w:t>
      </w:r>
      <w:proofErr w:type="spellEnd"/>
      <w:r w:rsidRPr="5FEC19FB" w:rsidR="5FEC19FB">
        <w:rPr>
          <w:rFonts w:ascii="Arial" w:hAnsi="Arial" w:cs="Arial"/>
          <w:color w:val="000000" w:themeColor="text1" w:themeTint="FF" w:themeShade="FF"/>
          <w:sz w:val="24"/>
          <w:szCs w:val="24"/>
        </w:rPr>
        <w:t xml:space="preserve"> Hon and Lord Thomas of </w:t>
      </w:r>
      <w:proofErr w:type="spellStart"/>
      <w:r w:rsidRPr="5FEC19FB" w:rsidR="5FEC19FB">
        <w:rPr>
          <w:rFonts w:ascii="Arial" w:hAnsi="Arial" w:cs="Arial"/>
          <w:color w:val="000000" w:themeColor="text1" w:themeTint="FF" w:themeShade="FF"/>
          <w:sz w:val="24"/>
          <w:szCs w:val="24"/>
        </w:rPr>
        <w:t>Cwmgiedd</w:t>
      </w:r>
      <w:proofErr w:type="spellEnd"/>
      <w:r w:rsidRPr="5FEC19FB" w:rsidR="5FEC19FB">
        <w:rPr>
          <w:rFonts w:ascii="Arial" w:hAnsi="Arial" w:cs="Arial"/>
          <w:color w:val="000000" w:themeColor="text1" w:themeTint="FF" w:themeShade="FF"/>
          <w:sz w:val="24"/>
          <w:szCs w:val="24"/>
        </w:rPr>
        <w:t xml:space="preserve">, while referring to the Offences Against the Person Act 1861 </w:t>
      </w:r>
      <w:r w:rsidRPr="5FEC19FB" w:rsidR="5FEC19FB">
        <w:rPr>
          <w:rFonts w:ascii="Arial" w:hAnsi="Arial" w:cs="Arial"/>
          <w:color w:val="FF0000"/>
          <w:sz w:val="24"/>
          <w:szCs w:val="24"/>
        </w:rPr>
        <w:t>(Law Commission, 2015 – small report</w:t>
      </w:r>
      <w:r w:rsidRPr="5FEC19FB" w:rsidR="5FEC19FB">
        <w:rPr>
          <w:rFonts w:ascii="Arial" w:hAnsi="Arial" w:cs="Arial"/>
          <w:color w:val="000000" w:themeColor="text1" w:themeTint="FF" w:themeShade="FF"/>
          <w:sz w:val="24"/>
          <w:szCs w:val="24"/>
        </w:rPr>
        <w:t xml:space="preserve">). Research has shown that currently there is an </w:t>
      </w:r>
      <w:r w:rsidRPr="5FEC19FB" w:rsidR="5FEC19FB">
        <w:rPr>
          <w:rFonts w:ascii="Arial" w:hAnsi="Arial" w:cs="Arial"/>
          <w:sz w:val="24"/>
          <w:szCs w:val="24"/>
        </w:rPr>
        <w:t xml:space="preserve">“unclear and distorted hierarchy of offences”, and the language used is complicated, with the terminology and detail referring to the Victorian period. Various sources of information have observed that, in terms of reform of the Offences Against the Person Act 1861, there are a few key points which are suggested to take place, to allow the legislation to have a clear hierarchy, be simpler to understand and to have modern offences which take place </w:t>
      </w:r>
      <w:r w:rsidRPr="5FEC19FB" w:rsidR="5FEC19FB">
        <w:rPr>
          <w:rFonts w:ascii="Arial" w:hAnsi="Arial" w:cs="Arial"/>
          <w:color w:val="FF0000"/>
          <w:sz w:val="24"/>
          <w:szCs w:val="24"/>
        </w:rPr>
        <w:t>(Law Commission, 2015 – 3</w:t>
      </w:r>
      <w:r w:rsidRPr="5FEC19FB" w:rsidR="5FEC19FB">
        <w:rPr>
          <w:rFonts w:ascii="Arial" w:hAnsi="Arial" w:cs="Arial"/>
          <w:color w:val="FF0000"/>
          <w:sz w:val="24"/>
          <w:szCs w:val="24"/>
          <w:vertAlign w:val="superscript"/>
        </w:rPr>
        <w:t>rd</w:t>
      </w:r>
      <w:r w:rsidRPr="5FEC19FB" w:rsidR="5FEC19FB">
        <w:rPr>
          <w:rFonts w:ascii="Arial" w:hAnsi="Arial" w:cs="Arial"/>
          <w:color w:val="FF0000"/>
          <w:sz w:val="24"/>
          <w:szCs w:val="24"/>
        </w:rPr>
        <w:t xml:space="preserve"> report</w:t>
      </w:r>
      <w:r w:rsidRPr="5FEC19FB" w:rsidR="5FEC19FB">
        <w:rPr>
          <w:rFonts w:ascii="Arial" w:hAnsi="Arial" w:cs="Arial"/>
          <w:sz w:val="24"/>
          <w:szCs w:val="24"/>
        </w:rPr>
        <w:t>).</w:t>
      </w:r>
    </w:p>
    <w:p w:rsidRPr="008D348E" w:rsidR="00E63043" w:rsidP="00EF05FD" w:rsidRDefault="00E63043" w14:paraId="2624A887" w14:textId="77777777">
      <w:pPr>
        <w:spacing w:line="360" w:lineRule="auto"/>
        <w:rPr>
          <w:rFonts w:ascii="Arial" w:hAnsi="Arial" w:cs="Arial"/>
          <w:bCs/>
          <w:sz w:val="24"/>
          <w:szCs w:val="24"/>
        </w:rPr>
      </w:pPr>
    </w:p>
    <w:p w:rsidRPr="008D348E" w:rsidR="00C37ADD" w:rsidP="00EF05FD" w:rsidRDefault="00C37ADD" w14:paraId="1F693726" w14:textId="77777777">
      <w:pPr>
        <w:spacing w:line="360" w:lineRule="auto"/>
        <w:rPr>
          <w:rFonts w:ascii="Arial" w:hAnsi="Arial" w:cs="Arial"/>
          <w:bCs/>
          <w:sz w:val="24"/>
          <w:szCs w:val="24"/>
        </w:rPr>
      </w:pPr>
    </w:p>
    <w:sectPr w:rsidRPr="008D348E" w:rsidR="00C37ADD">
      <w:headerReference w:type="even" r:id="rId9"/>
      <w:headerReference w:type="default" r:id="rId10"/>
      <w:footerReference w:type="even" r:id="rId11"/>
      <w:footerReference w:type="default" r:id="rId12"/>
      <w:headerReference w:type="first" r:id="rId13"/>
      <w:footerReference w:type="first" r:id="rId14"/>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4E93" w:rsidP="00115E0B" w:rsidRDefault="00D64E93" w14:paraId="33864C37" w14:textId="77777777">
      <w:pPr>
        <w:spacing w:after="0" w:line="240" w:lineRule="auto"/>
      </w:pPr>
      <w:r>
        <w:separator/>
      </w:r>
    </w:p>
  </w:endnote>
  <w:endnote w:type="continuationSeparator" w:id="0">
    <w:p w:rsidR="00D64E93" w:rsidP="00115E0B" w:rsidRDefault="00D64E93" w14:paraId="60D05C5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E0B" w:rsidRDefault="00115E0B" w14:paraId="695A70E3"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6346564"/>
      <w:docPartObj>
        <w:docPartGallery w:val="Page Numbers (Bottom of Page)"/>
        <w:docPartUnique/>
      </w:docPartObj>
    </w:sdtPr>
    <w:sdtEndPr>
      <w:rPr>
        <w:noProof/>
      </w:rPr>
    </w:sdtEndPr>
    <w:sdtContent>
      <w:bookmarkStart w:name="_GoBack" w:displacedByCustomXml="prev" w:id="0"/>
      <w:bookmarkEnd w:displacedByCustomXml="prev" w:id="0"/>
      <w:p w:rsidR="00115E0B" w:rsidRDefault="00115E0B" w14:paraId="5C55ABFB" w14:textId="43232C22">
        <w:pPr>
          <w:pStyle w:val="Footer"/>
          <w:jc w:val="center"/>
        </w:pPr>
        <w:r>
          <w:fldChar w:fldCharType="begin"/>
        </w:r>
        <w:r>
          <w:instrText xml:space="preserve"> PAGE   \* MERGEFORMAT </w:instrText>
        </w:r>
        <w:r>
          <w:fldChar w:fldCharType="separate"/>
        </w:r>
        <w:r>
          <w:rPr>
            <w:noProof/>
          </w:rPr>
          <w:t>6</w:t>
        </w:r>
        <w:r>
          <w:rPr>
            <w:noProof/>
          </w:rPr>
          <w:fldChar w:fldCharType="end"/>
        </w:r>
      </w:p>
    </w:sdtContent>
  </w:sdt>
  <w:p w:rsidR="00115E0B" w:rsidRDefault="00115E0B" w14:paraId="7EF59EC9"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E0B" w:rsidRDefault="00115E0B" w14:paraId="74BEF1F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4E93" w:rsidP="00115E0B" w:rsidRDefault="00D64E93" w14:paraId="17056B26" w14:textId="77777777">
      <w:pPr>
        <w:spacing w:after="0" w:line="240" w:lineRule="auto"/>
      </w:pPr>
      <w:r>
        <w:separator/>
      </w:r>
    </w:p>
  </w:footnote>
  <w:footnote w:type="continuationSeparator" w:id="0">
    <w:p w:rsidR="00D64E93" w:rsidP="00115E0B" w:rsidRDefault="00D64E93" w14:paraId="174BAA11"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E0B" w:rsidRDefault="00115E0B" w14:paraId="104E317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E0B" w:rsidRDefault="00115E0B" w14:paraId="7DE4F111"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E0B" w:rsidRDefault="00115E0B" w14:paraId="47150AAA" w14:textId="77777777">
    <w:pPr>
      <w:pStyle w:val="Header"/>
    </w:pPr>
  </w:p>
</w:hdr>
</file>

<file path=word/people.xml><?xml version="1.0" encoding="utf-8"?>
<w15:people xmlns:mc="http://schemas.openxmlformats.org/markup-compatibility/2006" xmlns:w15="http://schemas.microsoft.com/office/word/2012/wordml" mc:Ignorable="w15">
  <w15:person w15:author="Katie Toulcher (1704525)">
    <w15:presenceInfo w15:providerId="AD" w15:userId="10037FFEA489FF98@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59A"/>
    <w:rsid w:val="00003D2F"/>
    <w:rsid w:val="0000583C"/>
    <w:rsid w:val="00006ADA"/>
    <w:rsid w:val="0002038E"/>
    <w:rsid w:val="00022047"/>
    <w:rsid w:val="00030676"/>
    <w:rsid w:val="00032018"/>
    <w:rsid w:val="00035381"/>
    <w:rsid w:val="0003631D"/>
    <w:rsid w:val="0003759A"/>
    <w:rsid w:val="00041A71"/>
    <w:rsid w:val="0004571D"/>
    <w:rsid w:val="00054E8D"/>
    <w:rsid w:val="00057DD5"/>
    <w:rsid w:val="00060496"/>
    <w:rsid w:val="00071E73"/>
    <w:rsid w:val="00072927"/>
    <w:rsid w:val="00073434"/>
    <w:rsid w:val="0008134B"/>
    <w:rsid w:val="0008168C"/>
    <w:rsid w:val="00090A15"/>
    <w:rsid w:val="00092E40"/>
    <w:rsid w:val="00097CB1"/>
    <w:rsid w:val="000A2F08"/>
    <w:rsid w:val="000A538E"/>
    <w:rsid w:val="000A76C4"/>
    <w:rsid w:val="000A7E8A"/>
    <w:rsid w:val="000B2C7F"/>
    <w:rsid w:val="000B62A1"/>
    <w:rsid w:val="000C4785"/>
    <w:rsid w:val="000C5074"/>
    <w:rsid w:val="000C6A6F"/>
    <w:rsid w:val="000E1C25"/>
    <w:rsid w:val="000E3D2B"/>
    <w:rsid w:val="000E6FE4"/>
    <w:rsid w:val="000F1FDD"/>
    <w:rsid w:val="000F235F"/>
    <w:rsid w:val="000F50A4"/>
    <w:rsid w:val="00101DEF"/>
    <w:rsid w:val="0010358B"/>
    <w:rsid w:val="0010741E"/>
    <w:rsid w:val="00110269"/>
    <w:rsid w:val="00115E0B"/>
    <w:rsid w:val="001167C5"/>
    <w:rsid w:val="00123419"/>
    <w:rsid w:val="0012380C"/>
    <w:rsid w:val="00124838"/>
    <w:rsid w:val="0013360D"/>
    <w:rsid w:val="00154D84"/>
    <w:rsid w:val="00156B40"/>
    <w:rsid w:val="0016271C"/>
    <w:rsid w:val="001631D6"/>
    <w:rsid w:val="001711D0"/>
    <w:rsid w:val="00172B26"/>
    <w:rsid w:val="001763B4"/>
    <w:rsid w:val="00185A11"/>
    <w:rsid w:val="001862DF"/>
    <w:rsid w:val="00193CBA"/>
    <w:rsid w:val="0019400F"/>
    <w:rsid w:val="00194B10"/>
    <w:rsid w:val="001A1AAC"/>
    <w:rsid w:val="001A4E37"/>
    <w:rsid w:val="001A4F87"/>
    <w:rsid w:val="001B2824"/>
    <w:rsid w:val="001B759A"/>
    <w:rsid w:val="001C419E"/>
    <w:rsid w:val="001D4B52"/>
    <w:rsid w:val="001D7DC7"/>
    <w:rsid w:val="001F44C8"/>
    <w:rsid w:val="001F45D5"/>
    <w:rsid w:val="001F4B23"/>
    <w:rsid w:val="001F5E86"/>
    <w:rsid w:val="00212E52"/>
    <w:rsid w:val="00215CC9"/>
    <w:rsid w:val="0021650B"/>
    <w:rsid w:val="002206AD"/>
    <w:rsid w:val="0022254D"/>
    <w:rsid w:val="00224B4E"/>
    <w:rsid w:val="00227805"/>
    <w:rsid w:val="0023172F"/>
    <w:rsid w:val="00232C2F"/>
    <w:rsid w:val="00233A95"/>
    <w:rsid w:val="00234ECC"/>
    <w:rsid w:val="00236878"/>
    <w:rsid w:val="002374D4"/>
    <w:rsid w:val="00244B71"/>
    <w:rsid w:val="00245731"/>
    <w:rsid w:val="002477C9"/>
    <w:rsid w:val="0025444B"/>
    <w:rsid w:val="00262D02"/>
    <w:rsid w:val="002705C4"/>
    <w:rsid w:val="00281A6E"/>
    <w:rsid w:val="00282C50"/>
    <w:rsid w:val="00285608"/>
    <w:rsid w:val="00286690"/>
    <w:rsid w:val="00295C52"/>
    <w:rsid w:val="00297CF4"/>
    <w:rsid w:val="002B08C6"/>
    <w:rsid w:val="002B2AEC"/>
    <w:rsid w:val="002B7078"/>
    <w:rsid w:val="002B70C5"/>
    <w:rsid w:val="002C1F68"/>
    <w:rsid w:val="002C722A"/>
    <w:rsid w:val="002D4F04"/>
    <w:rsid w:val="002E15BF"/>
    <w:rsid w:val="002E20AD"/>
    <w:rsid w:val="002E3453"/>
    <w:rsid w:val="002F22B1"/>
    <w:rsid w:val="002F5144"/>
    <w:rsid w:val="002F52E0"/>
    <w:rsid w:val="00300205"/>
    <w:rsid w:val="00303AF2"/>
    <w:rsid w:val="00306166"/>
    <w:rsid w:val="003062EC"/>
    <w:rsid w:val="00314FDA"/>
    <w:rsid w:val="00317643"/>
    <w:rsid w:val="00322007"/>
    <w:rsid w:val="00324EE6"/>
    <w:rsid w:val="00327B88"/>
    <w:rsid w:val="0033150F"/>
    <w:rsid w:val="00336663"/>
    <w:rsid w:val="00343FEC"/>
    <w:rsid w:val="00347411"/>
    <w:rsid w:val="00357ED4"/>
    <w:rsid w:val="00361B5C"/>
    <w:rsid w:val="00384422"/>
    <w:rsid w:val="003904C4"/>
    <w:rsid w:val="00393032"/>
    <w:rsid w:val="00393490"/>
    <w:rsid w:val="0039520A"/>
    <w:rsid w:val="00397FA9"/>
    <w:rsid w:val="003A166A"/>
    <w:rsid w:val="003A1D93"/>
    <w:rsid w:val="003A50E0"/>
    <w:rsid w:val="003A7657"/>
    <w:rsid w:val="003B192A"/>
    <w:rsid w:val="003B3E1A"/>
    <w:rsid w:val="003B6FB4"/>
    <w:rsid w:val="003C20B4"/>
    <w:rsid w:val="003C41B5"/>
    <w:rsid w:val="003D20DF"/>
    <w:rsid w:val="003D3CD7"/>
    <w:rsid w:val="003D689E"/>
    <w:rsid w:val="003D6A79"/>
    <w:rsid w:val="003D76F9"/>
    <w:rsid w:val="003D79F0"/>
    <w:rsid w:val="003E1521"/>
    <w:rsid w:val="003E7BEB"/>
    <w:rsid w:val="003F1216"/>
    <w:rsid w:val="003F1893"/>
    <w:rsid w:val="003F343F"/>
    <w:rsid w:val="003F5A6A"/>
    <w:rsid w:val="00404649"/>
    <w:rsid w:val="004055C5"/>
    <w:rsid w:val="00405920"/>
    <w:rsid w:val="0041318E"/>
    <w:rsid w:val="0041495C"/>
    <w:rsid w:val="00415F6B"/>
    <w:rsid w:val="00423ED4"/>
    <w:rsid w:val="00446B11"/>
    <w:rsid w:val="0044786F"/>
    <w:rsid w:val="00447D89"/>
    <w:rsid w:val="00450A43"/>
    <w:rsid w:val="00451043"/>
    <w:rsid w:val="00457FBF"/>
    <w:rsid w:val="00476AB6"/>
    <w:rsid w:val="00480B79"/>
    <w:rsid w:val="00481FBD"/>
    <w:rsid w:val="004A723A"/>
    <w:rsid w:val="004B5417"/>
    <w:rsid w:val="004C1436"/>
    <w:rsid w:val="004C3612"/>
    <w:rsid w:val="004D13B4"/>
    <w:rsid w:val="004D2FE2"/>
    <w:rsid w:val="004D5570"/>
    <w:rsid w:val="004E3328"/>
    <w:rsid w:val="004F060E"/>
    <w:rsid w:val="004F107F"/>
    <w:rsid w:val="004F5E2A"/>
    <w:rsid w:val="004F74C2"/>
    <w:rsid w:val="00510BF9"/>
    <w:rsid w:val="0051399F"/>
    <w:rsid w:val="005150C5"/>
    <w:rsid w:val="00515199"/>
    <w:rsid w:val="00521682"/>
    <w:rsid w:val="005469EF"/>
    <w:rsid w:val="0054739A"/>
    <w:rsid w:val="00550BC7"/>
    <w:rsid w:val="00556F09"/>
    <w:rsid w:val="00560719"/>
    <w:rsid w:val="0056698B"/>
    <w:rsid w:val="00576E36"/>
    <w:rsid w:val="005775F4"/>
    <w:rsid w:val="00580071"/>
    <w:rsid w:val="00580FF3"/>
    <w:rsid w:val="00586FCD"/>
    <w:rsid w:val="0059705A"/>
    <w:rsid w:val="00597D3E"/>
    <w:rsid w:val="005A6081"/>
    <w:rsid w:val="005A70A7"/>
    <w:rsid w:val="005B09AB"/>
    <w:rsid w:val="005B2A9E"/>
    <w:rsid w:val="005C5269"/>
    <w:rsid w:val="005C657D"/>
    <w:rsid w:val="005D602F"/>
    <w:rsid w:val="005E07D0"/>
    <w:rsid w:val="005E3B5F"/>
    <w:rsid w:val="005E649F"/>
    <w:rsid w:val="005E6E08"/>
    <w:rsid w:val="005E7F60"/>
    <w:rsid w:val="005F240F"/>
    <w:rsid w:val="005F770D"/>
    <w:rsid w:val="00600E60"/>
    <w:rsid w:val="00614614"/>
    <w:rsid w:val="00614DAF"/>
    <w:rsid w:val="00620F07"/>
    <w:rsid w:val="006304E3"/>
    <w:rsid w:val="00634565"/>
    <w:rsid w:val="00634FC3"/>
    <w:rsid w:val="00637BB7"/>
    <w:rsid w:val="00642510"/>
    <w:rsid w:val="00650693"/>
    <w:rsid w:val="00652BB2"/>
    <w:rsid w:val="00652E3B"/>
    <w:rsid w:val="00656155"/>
    <w:rsid w:val="00657AD9"/>
    <w:rsid w:val="00662F14"/>
    <w:rsid w:val="006636E7"/>
    <w:rsid w:val="00667545"/>
    <w:rsid w:val="00671C50"/>
    <w:rsid w:val="0067231E"/>
    <w:rsid w:val="0067292E"/>
    <w:rsid w:val="00675276"/>
    <w:rsid w:val="006771BD"/>
    <w:rsid w:val="00685CB3"/>
    <w:rsid w:val="006861AC"/>
    <w:rsid w:val="00687B9F"/>
    <w:rsid w:val="006A2B5F"/>
    <w:rsid w:val="006A480B"/>
    <w:rsid w:val="006B3101"/>
    <w:rsid w:val="006B4317"/>
    <w:rsid w:val="006B5BC4"/>
    <w:rsid w:val="006C7A76"/>
    <w:rsid w:val="006E5EC0"/>
    <w:rsid w:val="006E7C1A"/>
    <w:rsid w:val="006F0508"/>
    <w:rsid w:val="006F6078"/>
    <w:rsid w:val="006F615F"/>
    <w:rsid w:val="006F61D5"/>
    <w:rsid w:val="007003F1"/>
    <w:rsid w:val="007019F9"/>
    <w:rsid w:val="00703A52"/>
    <w:rsid w:val="007207AA"/>
    <w:rsid w:val="00720A39"/>
    <w:rsid w:val="00720AFF"/>
    <w:rsid w:val="00720D48"/>
    <w:rsid w:val="00723EB7"/>
    <w:rsid w:val="00727128"/>
    <w:rsid w:val="00727812"/>
    <w:rsid w:val="00732B17"/>
    <w:rsid w:val="0073314F"/>
    <w:rsid w:val="007342EB"/>
    <w:rsid w:val="0074338E"/>
    <w:rsid w:val="007475A6"/>
    <w:rsid w:val="007506D4"/>
    <w:rsid w:val="007553CC"/>
    <w:rsid w:val="00771965"/>
    <w:rsid w:val="00771F11"/>
    <w:rsid w:val="007723A2"/>
    <w:rsid w:val="00773BD8"/>
    <w:rsid w:val="007750C1"/>
    <w:rsid w:val="00781226"/>
    <w:rsid w:val="00781D3D"/>
    <w:rsid w:val="0078280C"/>
    <w:rsid w:val="00782D68"/>
    <w:rsid w:val="007835F5"/>
    <w:rsid w:val="00783C03"/>
    <w:rsid w:val="007A0600"/>
    <w:rsid w:val="007A76BC"/>
    <w:rsid w:val="007C4401"/>
    <w:rsid w:val="007C7CEB"/>
    <w:rsid w:val="007D2FB8"/>
    <w:rsid w:val="007E2C53"/>
    <w:rsid w:val="007E3BF2"/>
    <w:rsid w:val="007F2E0C"/>
    <w:rsid w:val="007F4419"/>
    <w:rsid w:val="007F4935"/>
    <w:rsid w:val="007F6D50"/>
    <w:rsid w:val="00804C8B"/>
    <w:rsid w:val="00812130"/>
    <w:rsid w:val="00813AE4"/>
    <w:rsid w:val="008168EF"/>
    <w:rsid w:val="00824E2E"/>
    <w:rsid w:val="00825473"/>
    <w:rsid w:val="0082692B"/>
    <w:rsid w:val="00830979"/>
    <w:rsid w:val="00833812"/>
    <w:rsid w:val="00835F7C"/>
    <w:rsid w:val="00841F48"/>
    <w:rsid w:val="00842B04"/>
    <w:rsid w:val="0084556E"/>
    <w:rsid w:val="00855357"/>
    <w:rsid w:val="008674F1"/>
    <w:rsid w:val="00871305"/>
    <w:rsid w:val="00875C0B"/>
    <w:rsid w:val="00880D31"/>
    <w:rsid w:val="00884068"/>
    <w:rsid w:val="00886097"/>
    <w:rsid w:val="00886807"/>
    <w:rsid w:val="008871F4"/>
    <w:rsid w:val="008926C0"/>
    <w:rsid w:val="008A0A91"/>
    <w:rsid w:val="008C025D"/>
    <w:rsid w:val="008D348E"/>
    <w:rsid w:val="008D3B1C"/>
    <w:rsid w:val="008D5DC6"/>
    <w:rsid w:val="008D7D6F"/>
    <w:rsid w:val="008E10E3"/>
    <w:rsid w:val="008F1DC3"/>
    <w:rsid w:val="008F68C6"/>
    <w:rsid w:val="0090616B"/>
    <w:rsid w:val="00911388"/>
    <w:rsid w:val="00913F2D"/>
    <w:rsid w:val="009222F0"/>
    <w:rsid w:val="00922463"/>
    <w:rsid w:val="0093561E"/>
    <w:rsid w:val="00943AA3"/>
    <w:rsid w:val="009511CF"/>
    <w:rsid w:val="009565D0"/>
    <w:rsid w:val="0096199E"/>
    <w:rsid w:val="00962F99"/>
    <w:rsid w:val="00964D9F"/>
    <w:rsid w:val="00965998"/>
    <w:rsid w:val="00965E3B"/>
    <w:rsid w:val="00966687"/>
    <w:rsid w:val="00983E09"/>
    <w:rsid w:val="00983F6D"/>
    <w:rsid w:val="009930A7"/>
    <w:rsid w:val="00996BBC"/>
    <w:rsid w:val="00997F01"/>
    <w:rsid w:val="009A03BE"/>
    <w:rsid w:val="009A59AE"/>
    <w:rsid w:val="009B1ED6"/>
    <w:rsid w:val="009B685D"/>
    <w:rsid w:val="009B74D2"/>
    <w:rsid w:val="009C1A1C"/>
    <w:rsid w:val="009C7D8E"/>
    <w:rsid w:val="009D3467"/>
    <w:rsid w:val="009D41E2"/>
    <w:rsid w:val="009D693D"/>
    <w:rsid w:val="009D7548"/>
    <w:rsid w:val="009E1D85"/>
    <w:rsid w:val="009E3D19"/>
    <w:rsid w:val="009F763D"/>
    <w:rsid w:val="00A07ECA"/>
    <w:rsid w:val="00A11078"/>
    <w:rsid w:val="00A215E8"/>
    <w:rsid w:val="00A251DB"/>
    <w:rsid w:val="00A27498"/>
    <w:rsid w:val="00A32168"/>
    <w:rsid w:val="00A35844"/>
    <w:rsid w:val="00A37B70"/>
    <w:rsid w:val="00A41FDA"/>
    <w:rsid w:val="00A43292"/>
    <w:rsid w:val="00A466E3"/>
    <w:rsid w:val="00A601A6"/>
    <w:rsid w:val="00A624D4"/>
    <w:rsid w:val="00A768D9"/>
    <w:rsid w:val="00A76F38"/>
    <w:rsid w:val="00A829D1"/>
    <w:rsid w:val="00A845B3"/>
    <w:rsid w:val="00A85A94"/>
    <w:rsid w:val="00A85AFF"/>
    <w:rsid w:val="00A8687A"/>
    <w:rsid w:val="00A929C0"/>
    <w:rsid w:val="00A96524"/>
    <w:rsid w:val="00AA2C97"/>
    <w:rsid w:val="00AA6379"/>
    <w:rsid w:val="00AA77D0"/>
    <w:rsid w:val="00AB0A9E"/>
    <w:rsid w:val="00AB7F1B"/>
    <w:rsid w:val="00AC07B9"/>
    <w:rsid w:val="00AC2211"/>
    <w:rsid w:val="00AC2FF0"/>
    <w:rsid w:val="00AD0A06"/>
    <w:rsid w:val="00AD69AB"/>
    <w:rsid w:val="00AE413A"/>
    <w:rsid w:val="00AE485F"/>
    <w:rsid w:val="00AF1B25"/>
    <w:rsid w:val="00AF30A9"/>
    <w:rsid w:val="00AF43FE"/>
    <w:rsid w:val="00AF5E8F"/>
    <w:rsid w:val="00B00C0F"/>
    <w:rsid w:val="00B04413"/>
    <w:rsid w:val="00B06DFF"/>
    <w:rsid w:val="00B07F92"/>
    <w:rsid w:val="00B1060A"/>
    <w:rsid w:val="00B203FD"/>
    <w:rsid w:val="00B22E43"/>
    <w:rsid w:val="00B256CF"/>
    <w:rsid w:val="00B25AF0"/>
    <w:rsid w:val="00B4137D"/>
    <w:rsid w:val="00B45614"/>
    <w:rsid w:val="00B50B72"/>
    <w:rsid w:val="00B52E3A"/>
    <w:rsid w:val="00B56957"/>
    <w:rsid w:val="00B62F54"/>
    <w:rsid w:val="00B651BC"/>
    <w:rsid w:val="00B66441"/>
    <w:rsid w:val="00B66A1E"/>
    <w:rsid w:val="00B718B7"/>
    <w:rsid w:val="00B73565"/>
    <w:rsid w:val="00B77FD8"/>
    <w:rsid w:val="00B840D2"/>
    <w:rsid w:val="00B877FF"/>
    <w:rsid w:val="00B906D3"/>
    <w:rsid w:val="00B91B41"/>
    <w:rsid w:val="00B94BA7"/>
    <w:rsid w:val="00BA2133"/>
    <w:rsid w:val="00BA6889"/>
    <w:rsid w:val="00BB1D8B"/>
    <w:rsid w:val="00BC4565"/>
    <w:rsid w:val="00BC79F0"/>
    <w:rsid w:val="00BD0518"/>
    <w:rsid w:val="00BD33CB"/>
    <w:rsid w:val="00BD5754"/>
    <w:rsid w:val="00BD72E5"/>
    <w:rsid w:val="00BE5C90"/>
    <w:rsid w:val="00BE65B4"/>
    <w:rsid w:val="00BE66AE"/>
    <w:rsid w:val="00BF19C8"/>
    <w:rsid w:val="00BF3E1F"/>
    <w:rsid w:val="00BF42BF"/>
    <w:rsid w:val="00C10D91"/>
    <w:rsid w:val="00C14795"/>
    <w:rsid w:val="00C1531A"/>
    <w:rsid w:val="00C37ADD"/>
    <w:rsid w:val="00C412C3"/>
    <w:rsid w:val="00C41FB4"/>
    <w:rsid w:val="00C472E8"/>
    <w:rsid w:val="00C51C38"/>
    <w:rsid w:val="00C5270B"/>
    <w:rsid w:val="00C5283E"/>
    <w:rsid w:val="00C52D3C"/>
    <w:rsid w:val="00C53AC7"/>
    <w:rsid w:val="00C54685"/>
    <w:rsid w:val="00C71515"/>
    <w:rsid w:val="00C73C82"/>
    <w:rsid w:val="00C7411A"/>
    <w:rsid w:val="00C76CF4"/>
    <w:rsid w:val="00C825A3"/>
    <w:rsid w:val="00C85226"/>
    <w:rsid w:val="00C876CC"/>
    <w:rsid w:val="00C90706"/>
    <w:rsid w:val="00C938B3"/>
    <w:rsid w:val="00CA4353"/>
    <w:rsid w:val="00CA7E17"/>
    <w:rsid w:val="00CB0336"/>
    <w:rsid w:val="00CB2C1D"/>
    <w:rsid w:val="00CB2C4F"/>
    <w:rsid w:val="00CC1B92"/>
    <w:rsid w:val="00CC385B"/>
    <w:rsid w:val="00CC5347"/>
    <w:rsid w:val="00CD0992"/>
    <w:rsid w:val="00CD32DA"/>
    <w:rsid w:val="00CD67E8"/>
    <w:rsid w:val="00CD74C4"/>
    <w:rsid w:val="00CF019A"/>
    <w:rsid w:val="00CF3B9E"/>
    <w:rsid w:val="00CF6F72"/>
    <w:rsid w:val="00CF72F8"/>
    <w:rsid w:val="00D02DE2"/>
    <w:rsid w:val="00D10F0F"/>
    <w:rsid w:val="00D1401F"/>
    <w:rsid w:val="00D15F41"/>
    <w:rsid w:val="00D23563"/>
    <w:rsid w:val="00D23E17"/>
    <w:rsid w:val="00D26728"/>
    <w:rsid w:val="00D27613"/>
    <w:rsid w:val="00D33836"/>
    <w:rsid w:val="00D3615F"/>
    <w:rsid w:val="00D55FAE"/>
    <w:rsid w:val="00D64E93"/>
    <w:rsid w:val="00D66ABE"/>
    <w:rsid w:val="00D67194"/>
    <w:rsid w:val="00D72EAC"/>
    <w:rsid w:val="00D80F9B"/>
    <w:rsid w:val="00D81DA3"/>
    <w:rsid w:val="00D821B9"/>
    <w:rsid w:val="00D840A5"/>
    <w:rsid w:val="00D86183"/>
    <w:rsid w:val="00D874A8"/>
    <w:rsid w:val="00D93588"/>
    <w:rsid w:val="00D93EF8"/>
    <w:rsid w:val="00D95E0D"/>
    <w:rsid w:val="00D9652C"/>
    <w:rsid w:val="00D97369"/>
    <w:rsid w:val="00DA0B56"/>
    <w:rsid w:val="00DA2A15"/>
    <w:rsid w:val="00DA5956"/>
    <w:rsid w:val="00DA7E00"/>
    <w:rsid w:val="00DB0580"/>
    <w:rsid w:val="00DB4456"/>
    <w:rsid w:val="00DB7B2F"/>
    <w:rsid w:val="00DC2B57"/>
    <w:rsid w:val="00DC79FF"/>
    <w:rsid w:val="00DD0A51"/>
    <w:rsid w:val="00DD439A"/>
    <w:rsid w:val="00DD7B1B"/>
    <w:rsid w:val="00DE15EF"/>
    <w:rsid w:val="00DE18B3"/>
    <w:rsid w:val="00DE3433"/>
    <w:rsid w:val="00DE57A8"/>
    <w:rsid w:val="00DF1C5A"/>
    <w:rsid w:val="00DF5907"/>
    <w:rsid w:val="00E00E94"/>
    <w:rsid w:val="00E11187"/>
    <w:rsid w:val="00E1247C"/>
    <w:rsid w:val="00E12B4E"/>
    <w:rsid w:val="00E20F2A"/>
    <w:rsid w:val="00E232BA"/>
    <w:rsid w:val="00E27591"/>
    <w:rsid w:val="00E275E9"/>
    <w:rsid w:val="00E27AAB"/>
    <w:rsid w:val="00E31763"/>
    <w:rsid w:val="00E34F82"/>
    <w:rsid w:val="00E35C48"/>
    <w:rsid w:val="00E4581E"/>
    <w:rsid w:val="00E45C1F"/>
    <w:rsid w:val="00E4697D"/>
    <w:rsid w:val="00E51211"/>
    <w:rsid w:val="00E51517"/>
    <w:rsid w:val="00E53ED5"/>
    <w:rsid w:val="00E61BE5"/>
    <w:rsid w:val="00E63043"/>
    <w:rsid w:val="00E6793A"/>
    <w:rsid w:val="00E702C8"/>
    <w:rsid w:val="00E75A44"/>
    <w:rsid w:val="00E82770"/>
    <w:rsid w:val="00E85149"/>
    <w:rsid w:val="00E9700D"/>
    <w:rsid w:val="00EA264A"/>
    <w:rsid w:val="00EA6865"/>
    <w:rsid w:val="00EA6E68"/>
    <w:rsid w:val="00EA72C9"/>
    <w:rsid w:val="00EA7595"/>
    <w:rsid w:val="00EB5AEC"/>
    <w:rsid w:val="00EC00A0"/>
    <w:rsid w:val="00EC3518"/>
    <w:rsid w:val="00EC4F56"/>
    <w:rsid w:val="00EE196B"/>
    <w:rsid w:val="00EE5586"/>
    <w:rsid w:val="00EE7748"/>
    <w:rsid w:val="00EF02D2"/>
    <w:rsid w:val="00EF05FD"/>
    <w:rsid w:val="00EF0A58"/>
    <w:rsid w:val="00EF2EA6"/>
    <w:rsid w:val="00EF32EB"/>
    <w:rsid w:val="00F01D5E"/>
    <w:rsid w:val="00F05749"/>
    <w:rsid w:val="00F10379"/>
    <w:rsid w:val="00F252EF"/>
    <w:rsid w:val="00F32CAD"/>
    <w:rsid w:val="00F34FB1"/>
    <w:rsid w:val="00F376E7"/>
    <w:rsid w:val="00F415DE"/>
    <w:rsid w:val="00F5342C"/>
    <w:rsid w:val="00F74DDA"/>
    <w:rsid w:val="00F7587D"/>
    <w:rsid w:val="00F820A9"/>
    <w:rsid w:val="00F837BA"/>
    <w:rsid w:val="00F83E45"/>
    <w:rsid w:val="00F86F63"/>
    <w:rsid w:val="00F9117D"/>
    <w:rsid w:val="00F9507C"/>
    <w:rsid w:val="00FA0327"/>
    <w:rsid w:val="00FA08CD"/>
    <w:rsid w:val="00FA23F9"/>
    <w:rsid w:val="00FA41F0"/>
    <w:rsid w:val="00FD076A"/>
    <w:rsid w:val="00FD256F"/>
    <w:rsid w:val="00FD4BD0"/>
    <w:rsid w:val="00FD5995"/>
    <w:rsid w:val="00FD70B1"/>
    <w:rsid w:val="00FD74FF"/>
    <w:rsid w:val="4DD1586D"/>
    <w:rsid w:val="5FEC19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028BE"/>
  <w15:chartTrackingRefBased/>
  <w15:docId w15:val="{2E3EA1FF-2000-4D89-815E-D66D5DF5E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C37ADD"/>
    <w:rPr>
      <w:color w:val="0563C1" w:themeColor="hyperlink"/>
      <w:u w:val="single"/>
    </w:rPr>
  </w:style>
  <w:style w:type="character" w:styleId="UnresolvedMention">
    <w:name w:val="Unresolved Mention"/>
    <w:basedOn w:val="DefaultParagraphFont"/>
    <w:uiPriority w:val="99"/>
    <w:semiHidden/>
    <w:unhideWhenUsed/>
    <w:rsid w:val="00C37ADD"/>
    <w:rPr>
      <w:color w:val="808080"/>
      <w:shd w:val="clear" w:color="auto" w:fill="E6E6E6"/>
    </w:rPr>
  </w:style>
  <w:style w:type="paragraph" w:styleId="Header">
    <w:name w:val="header"/>
    <w:basedOn w:val="Normal"/>
    <w:link w:val="HeaderChar"/>
    <w:uiPriority w:val="99"/>
    <w:unhideWhenUsed/>
    <w:rsid w:val="00115E0B"/>
    <w:pPr>
      <w:tabs>
        <w:tab w:val="center" w:pos="4513"/>
        <w:tab w:val="right" w:pos="9026"/>
      </w:tabs>
      <w:spacing w:after="0" w:line="240" w:lineRule="auto"/>
    </w:pPr>
  </w:style>
  <w:style w:type="character" w:styleId="HeaderChar" w:customStyle="1">
    <w:name w:val="Header Char"/>
    <w:basedOn w:val="DefaultParagraphFont"/>
    <w:link w:val="Header"/>
    <w:uiPriority w:val="99"/>
    <w:rsid w:val="00115E0B"/>
  </w:style>
  <w:style w:type="paragraph" w:styleId="Footer">
    <w:name w:val="footer"/>
    <w:basedOn w:val="Normal"/>
    <w:link w:val="FooterChar"/>
    <w:uiPriority w:val="99"/>
    <w:unhideWhenUsed/>
    <w:rsid w:val="00115E0B"/>
    <w:pPr>
      <w:tabs>
        <w:tab w:val="center" w:pos="4513"/>
        <w:tab w:val="right" w:pos="9026"/>
      </w:tabs>
      <w:spacing w:after="0" w:line="240" w:lineRule="auto"/>
    </w:pPr>
  </w:style>
  <w:style w:type="character" w:styleId="FooterChar" w:customStyle="1">
    <w:name w:val="Footer Char"/>
    <w:basedOn w:val="DefaultParagraphFont"/>
    <w:link w:val="Footer"/>
    <w:uiPriority w:val="99"/>
    <w:rsid w:val="00115E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footer" Target="footer2.xml"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header" Target="head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microsoft.com/office/2011/relationships/people" Target="/word/people.xml" Id="R1ea7b7bacc9b47c8" /><Relationship Type="http://schemas.openxmlformats.org/officeDocument/2006/relationships/glossaryDocument" Target="/word/glossary/document.xml" Id="Ra5034809034844d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993e6ed-a1c5-49d5-b55d-0903ba625d8c}"/>
      </w:docPartPr>
      <w:docPartBody>
        <w:p w14:paraId="5FEC19F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A7F6E3-FF91-44F2-98C1-BBD2EA77761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Katie Toulcher (1704525)</dc:creator>
  <keywords/>
  <dc:description/>
  <lastModifiedBy>Katie Toulcher (1704525)</lastModifiedBy>
  <revision>564</revision>
  <dcterms:created xsi:type="dcterms:W3CDTF">2017-10-15T16:50:00.0000000Z</dcterms:created>
  <dcterms:modified xsi:type="dcterms:W3CDTF">2017-11-06T13:08:15.0782340Z</dcterms:modified>
</coreProperties>
</file>