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1C774" w14:textId="77777777"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Certificate In Health and Social Care</w:t>
      </w:r>
    </w:p>
    <w:p w14:paraId="45CD7DFD" w14:textId="77777777" w:rsidR="00E257B5" w:rsidRPr="00E93992" w:rsidRDefault="00E257B5" w:rsidP="00E257B5">
      <w:pPr>
        <w:spacing w:line="360" w:lineRule="auto"/>
        <w:jc w:val="center"/>
        <w:rPr>
          <w:rFonts w:ascii="Arial" w:hAnsi="Arial" w:cs="Arial"/>
          <w:b/>
          <w:bCs/>
          <w:sz w:val="48"/>
          <w:szCs w:val="48"/>
          <w:u w:val="single"/>
        </w:rPr>
      </w:pPr>
    </w:p>
    <w:p w14:paraId="77672C5F" w14:textId="77777777"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Psychology In Health and Social Care</w:t>
      </w:r>
    </w:p>
    <w:p w14:paraId="4C1E3411" w14:textId="77777777"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LCHS4010</w:t>
      </w:r>
    </w:p>
    <w:p w14:paraId="3DC05E3F" w14:textId="77777777" w:rsidR="00E257B5" w:rsidRPr="00E93992" w:rsidRDefault="00E257B5" w:rsidP="00E257B5">
      <w:pPr>
        <w:spacing w:line="360" w:lineRule="auto"/>
        <w:jc w:val="center"/>
        <w:rPr>
          <w:rFonts w:ascii="Arial" w:hAnsi="Arial" w:cs="Arial"/>
          <w:b/>
          <w:bCs/>
          <w:sz w:val="48"/>
          <w:szCs w:val="48"/>
          <w:u w:val="single"/>
        </w:rPr>
      </w:pPr>
    </w:p>
    <w:p w14:paraId="17EC6A36" w14:textId="77777777"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Modular Teacher: Alice Clayton</w:t>
      </w:r>
    </w:p>
    <w:p w14:paraId="63B34C7E" w14:textId="77777777"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Submitted by</w:t>
      </w:r>
    </w:p>
    <w:p w14:paraId="708A646C" w14:textId="3FC84C0F" w:rsidR="00E257B5" w:rsidRPr="00E93992" w:rsidRDefault="00CF63FD" w:rsidP="00E257B5">
      <w:pPr>
        <w:spacing w:line="360" w:lineRule="auto"/>
        <w:jc w:val="center"/>
        <w:rPr>
          <w:rFonts w:ascii="Arial" w:hAnsi="Arial" w:cs="Arial"/>
          <w:b/>
          <w:bCs/>
          <w:sz w:val="48"/>
          <w:szCs w:val="48"/>
          <w:u w:val="single"/>
        </w:rPr>
      </w:pPr>
      <w:r>
        <w:rPr>
          <w:rFonts w:ascii="Arial" w:hAnsi="Arial" w:cs="Arial"/>
          <w:b/>
          <w:bCs/>
          <w:sz w:val="48"/>
          <w:szCs w:val="48"/>
          <w:u w:val="single"/>
        </w:rPr>
        <w:t>Erum Shehzadi</w:t>
      </w:r>
    </w:p>
    <w:p w14:paraId="083B7D99" w14:textId="74B48675"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Student ID: 2</w:t>
      </w:r>
      <w:r w:rsidR="00CF63FD">
        <w:rPr>
          <w:rFonts w:ascii="Arial" w:hAnsi="Arial" w:cs="Arial"/>
          <w:b/>
          <w:bCs/>
          <w:sz w:val="48"/>
          <w:szCs w:val="48"/>
          <w:u w:val="single"/>
        </w:rPr>
        <w:t>3</w:t>
      </w:r>
      <w:r w:rsidR="008B305B">
        <w:rPr>
          <w:rFonts w:ascii="Arial" w:hAnsi="Arial" w:cs="Arial"/>
          <w:b/>
          <w:bCs/>
          <w:sz w:val="48"/>
          <w:szCs w:val="48"/>
          <w:u w:val="single"/>
        </w:rPr>
        <w:t>19030</w:t>
      </w:r>
    </w:p>
    <w:p w14:paraId="6D4DFB85" w14:textId="5EBE85AD" w:rsidR="00E257B5" w:rsidRPr="00E93992" w:rsidRDefault="00E257B5" w:rsidP="00E257B5">
      <w:pPr>
        <w:spacing w:line="360" w:lineRule="auto"/>
        <w:jc w:val="center"/>
        <w:rPr>
          <w:rFonts w:ascii="Arial" w:hAnsi="Arial" w:cs="Arial"/>
          <w:b/>
          <w:bCs/>
          <w:sz w:val="48"/>
          <w:szCs w:val="48"/>
          <w:u w:val="single"/>
        </w:rPr>
      </w:pPr>
      <w:r w:rsidRPr="00E93992">
        <w:rPr>
          <w:rFonts w:ascii="Arial" w:hAnsi="Arial" w:cs="Arial"/>
          <w:b/>
          <w:bCs/>
          <w:sz w:val="48"/>
          <w:szCs w:val="48"/>
          <w:u w:val="single"/>
        </w:rPr>
        <w:t xml:space="preserve">Submitted on </w:t>
      </w:r>
      <w:proofErr w:type="gramStart"/>
      <w:r w:rsidRPr="00E93992">
        <w:rPr>
          <w:rFonts w:ascii="Arial" w:hAnsi="Arial" w:cs="Arial"/>
          <w:b/>
          <w:bCs/>
          <w:sz w:val="48"/>
          <w:szCs w:val="48"/>
          <w:u w:val="single"/>
        </w:rPr>
        <w:t>2</w:t>
      </w:r>
      <w:r w:rsidR="008B305B">
        <w:rPr>
          <w:rFonts w:ascii="Arial" w:hAnsi="Arial" w:cs="Arial"/>
          <w:b/>
          <w:bCs/>
          <w:sz w:val="48"/>
          <w:szCs w:val="48"/>
          <w:u w:val="single"/>
        </w:rPr>
        <w:t>4</w:t>
      </w:r>
      <w:r w:rsidRPr="00E93992">
        <w:rPr>
          <w:rFonts w:ascii="Arial" w:hAnsi="Arial" w:cs="Arial"/>
          <w:b/>
          <w:bCs/>
          <w:sz w:val="48"/>
          <w:szCs w:val="48"/>
          <w:u w:val="single"/>
          <w:vertAlign w:val="superscript"/>
        </w:rPr>
        <w:t>rd</w:t>
      </w:r>
      <w:proofErr w:type="gramEnd"/>
      <w:r w:rsidRPr="00E93992">
        <w:rPr>
          <w:rFonts w:ascii="Arial" w:hAnsi="Arial" w:cs="Arial"/>
          <w:b/>
          <w:bCs/>
          <w:sz w:val="48"/>
          <w:szCs w:val="48"/>
          <w:u w:val="single"/>
        </w:rPr>
        <w:t xml:space="preserve"> March 2026</w:t>
      </w:r>
    </w:p>
    <w:p w14:paraId="63B70C35" w14:textId="77777777" w:rsidR="00E257B5" w:rsidRPr="0026259D" w:rsidRDefault="00E257B5" w:rsidP="00E257B5">
      <w:pPr>
        <w:spacing w:line="360" w:lineRule="auto"/>
        <w:jc w:val="both"/>
        <w:rPr>
          <w:rFonts w:ascii="Arial" w:hAnsi="Arial" w:cs="Arial"/>
          <w:b/>
          <w:bCs/>
          <w:sz w:val="28"/>
          <w:szCs w:val="28"/>
          <w:u w:val="single"/>
        </w:rPr>
      </w:pPr>
    </w:p>
    <w:p w14:paraId="005C46DE" w14:textId="77777777" w:rsidR="00E257B5" w:rsidRPr="0026259D" w:rsidRDefault="00E257B5" w:rsidP="00E257B5">
      <w:pPr>
        <w:spacing w:line="360" w:lineRule="auto"/>
        <w:jc w:val="both"/>
        <w:rPr>
          <w:rFonts w:ascii="Arial" w:hAnsi="Arial" w:cs="Arial"/>
          <w:b/>
          <w:bCs/>
          <w:sz w:val="28"/>
          <w:szCs w:val="28"/>
          <w:u w:val="single"/>
        </w:rPr>
      </w:pPr>
    </w:p>
    <w:p w14:paraId="6F175E8E" w14:textId="77777777" w:rsidR="00E257B5" w:rsidRPr="0026259D" w:rsidRDefault="00E257B5" w:rsidP="00E257B5">
      <w:pPr>
        <w:spacing w:line="360" w:lineRule="auto"/>
        <w:jc w:val="both"/>
        <w:rPr>
          <w:rFonts w:ascii="Arial" w:hAnsi="Arial" w:cs="Arial"/>
          <w:b/>
          <w:bCs/>
          <w:sz w:val="28"/>
          <w:szCs w:val="28"/>
          <w:u w:val="single"/>
        </w:rPr>
      </w:pPr>
    </w:p>
    <w:p w14:paraId="6E93585C" w14:textId="77777777" w:rsidR="00E257B5" w:rsidRPr="0026259D" w:rsidRDefault="00E257B5" w:rsidP="00E257B5">
      <w:pPr>
        <w:spacing w:line="360" w:lineRule="auto"/>
        <w:jc w:val="both"/>
        <w:rPr>
          <w:rFonts w:ascii="Arial" w:hAnsi="Arial" w:cs="Arial"/>
          <w:b/>
          <w:bCs/>
          <w:sz w:val="28"/>
          <w:szCs w:val="28"/>
          <w:u w:val="single"/>
        </w:rPr>
      </w:pPr>
    </w:p>
    <w:p w14:paraId="25B1A381" w14:textId="77777777" w:rsidR="00E257B5" w:rsidRDefault="00E257B5" w:rsidP="00E257B5">
      <w:pPr>
        <w:spacing w:line="360" w:lineRule="auto"/>
        <w:jc w:val="both"/>
        <w:rPr>
          <w:rFonts w:ascii="Arial" w:hAnsi="Arial" w:cs="Arial"/>
          <w:b/>
          <w:bCs/>
          <w:sz w:val="28"/>
          <w:szCs w:val="28"/>
          <w:u w:val="single"/>
        </w:rPr>
      </w:pPr>
    </w:p>
    <w:p w14:paraId="2ADA5CDD" w14:textId="77777777" w:rsidR="00E257B5" w:rsidRDefault="00E257B5" w:rsidP="00E257B5">
      <w:pPr>
        <w:spacing w:line="360" w:lineRule="auto"/>
        <w:jc w:val="both"/>
        <w:rPr>
          <w:rFonts w:ascii="Arial" w:hAnsi="Arial" w:cs="Arial"/>
          <w:b/>
          <w:bCs/>
          <w:sz w:val="36"/>
          <w:szCs w:val="36"/>
          <w:u w:val="single"/>
        </w:rPr>
      </w:pPr>
    </w:p>
    <w:p w14:paraId="2C3DBD8E" w14:textId="77777777" w:rsidR="00C67D3D" w:rsidRDefault="00C67D3D" w:rsidP="00E257B5">
      <w:pPr>
        <w:spacing w:line="360" w:lineRule="auto"/>
        <w:jc w:val="both"/>
        <w:rPr>
          <w:rFonts w:ascii="Arial" w:hAnsi="Arial" w:cs="Arial"/>
          <w:b/>
          <w:bCs/>
          <w:sz w:val="36"/>
          <w:szCs w:val="36"/>
          <w:u w:val="single"/>
        </w:rPr>
      </w:pPr>
    </w:p>
    <w:p w14:paraId="57BF938F" w14:textId="77777777" w:rsidR="00C67D3D" w:rsidRDefault="00C67D3D" w:rsidP="00E257B5">
      <w:pPr>
        <w:spacing w:line="360" w:lineRule="auto"/>
        <w:jc w:val="both"/>
        <w:rPr>
          <w:rFonts w:ascii="Arial" w:hAnsi="Arial" w:cs="Arial"/>
          <w:b/>
          <w:bCs/>
          <w:sz w:val="36"/>
          <w:szCs w:val="36"/>
          <w:u w:val="single"/>
        </w:rPr>
      </w:pPr>
    </w:p>
    <w:p w14:paraId="16294B53" w14:textId="579DB1EC" w:rsidR="00E257B5" w:rsidRDefault="00E257B5" w:rsidP="00E257B5">
      <w:pPr>
        <w:spacing w:line="360" w:lineRule="auto"/>
        <w:jc w:val="both"/>
        <w:rPr>
          <w:rFonts w:ascii="Arial" w:hAnsi="Arial" w:cs="Arial"/>
          <w:b/>
          <w:bCs/>
          <w:sz w:val="36"/>
          <w:szCs w:val="36"/>
          <w:u w:val="single"/>
        </w:rPr>
      </w:pPr>
      <w:r w:rsidRPr="00C070CB">
        <w:rPr>
          <w:rFonts w:ascii="Arial" w:hAnsi="Arial" w:cs="Arial"/>
          <w:b/>
          <w:bCs/>
          <w:sz w:val="36"/>
          <w:szCs w:val="36"/>
          <w:u w:val="single"/>
        </w:rPr>
        <w:lastRenderedPageBreak/>
        <w:t>Table of Contents</w:t>
      </w:r>
    </w:p>
    <w:p w14:paraId="493B7C1A" w14:textId="77777777" w:rsidR="00E257B5" w:rsidRPr="00C070CB" w:rsidRDefault="00E257B5" w:rsidP="00E257B5">
      <w:pPr>
        <w:spacing w:line="360" w:lineRule="auto"/>
        <w:jc w:val="both"/>
        <w:rPr>
          <w:rFonts w:ascii="Arial" w:hAnsi="Arial" w:cs="Arial"/>
          <w:b/>
          <w:bCs/>
          <w:sz w:val="36"/>
          <w:szCs w:val="36"/>
          <w:u w:val="single"/>
        </w:rPr>
      </w:pPr>
    </w:p>
    <w:p w14:paraId="0A14E031" w14:textId="77777777" w:rsidR="00E257B5" w:rsidRPr="003F6B64" w:rsidRDefault="00E257B5" w:rsidP="00E257B5">
      <w:pPr>
        <w:spacing w:line="360" w:lineRule="auto"/>
        <w:jc w:val="both"/>
        <w:rPr>
          <w:rFonts w:ascii="Arial" w:hAnsi="Arial" w:cs="Arial"/>
          <w:b/>
          <w:bCs/>
          <w:sz w:val="28"/>
          <w:szCs w:val="28"/>
        </w:rPr>
      </w:pPr>
      <w:r>
        <w:rPr>
          <w:rFonts w:ascii="Arial" w:hAnsi="Arial" w:cs="Arial"/>
          <w:b/>
          <w:bCs/>
          <w:sz w:val="28"/>
          <w:szCs w:val="28"/>
        </w:rPr>
        <w:t>1)</w:t>
      </w:r>
      <w:r w:rsidRPr="003F6B64">
        <w:rPr>
          <w:rFonts w:ascii="Arial" w:hAnsi="Arial" w:cs="Arial"/>
          <w:b/>
          <w:bCs/>
          <w:sz w:val="28"/>
          <w:szCs w:val="28"/>
        </w:rPr>
        <w:t xml:space="preserve"> Task 1: Annotated Bibliography</w:t>
      </w:r>
      <w:r>
        <w:rPr>
          <w:rFonts w:ascii="Arial" w:hAnsi="Arial" w:cs="Arial"/>
          <w:b/>
          <w:bCs/>
          <w:sz w:val="28"/>
          <w:szCs w:val="28"/>
        </w:rPr>
        <w:t>……………………………………………………3</w:t>
      </w:r>
    </w:p>
    <w:p w14:paraId="5DE97D1C" w14:textId="30C6108E" w:rsidR="00E257B5" w:rsidRPr="00D31BF4" w:rsidRDefault="00E257B5" w:rsidP="00950971">
      <w:pPr>
        <w:spacing w:line="360" w:lineRule="auto"/>
        <w:rPr>
          <w:rFonts w:ascii="Arial" w:hAnsi="Arial" w:cs="Arial"/>
          <w:sz w:val="22"/>
          <w:szCs w:val="22"/>
        </w:rPr>
      </w:pPr>
      <w:r>
        <w:rPr>
          <w:rFonts w:ascii="Arial" w:hAnsi="Arial" w:cs="Arial"/>
          <w:sz w:val="22"/>
          <w:szCs w:val="22"/>
        </w:rPr>
        <w:t>(</w:t>
      </w:r>
      <w:r w:rsidR="00950971">
        <w:rPr>
          <w:rFonts w:ascii="Arial" w:hAnsi="Arial" w:cs="Arial"/>
          <w:sz w:val="22"/>
          <w:szCs w:val="22"/>
        </w:rPr>
        <w:t>1.1</w:t>
      </w:r>
      <w:r w:rsidR="00766861">
        <w:rPr>
          <w:rFonts w:ascii="Arial" w:hAnsi="Arial" w:cs="Arial"/>
          <w:sz w:val="22"/>
          <w:szCs w:val="22"/>
        </w:rPr>
        <w:t>)</w:t>
      </w:r>
      <w:r w:rsidR="00950971" w:rsidRPr="00950971">
        <w:rPr>
          <w:rFonts w:ascii="Arial" w:hAnsi="Arial" w:cs="Arial"/>
          <w:sz w:val="22"/>
          <w:szCs w:val="22"/>
        </w:rPr>
        <w:t xml:space="preserve"> The Psychosocial Development Theory Expressed by Erikson</w:t>
      </w:r>
      <w:r w:rsidR="00DC1494">
        <w:rPr>
          <w:rFonts w:ascii="Arial" w:hAnsi="Arial" w:cs="Arial"/>
          <w:sz w:val="22"/>
          <w:szCs w:val="22"/>
        </w:rPr>
        <w:t>………………………………………</w:t>
      </w:r>
      <w:r w:rsidR="00BE46A0">
        <w:rPr>
          <w:rFonts w:ascii="Arial" w:hAnsi="Arial" w:cs="Arial"/>
          <w:sz w:val="22"/>
          <w:szCs w:val="22"/>
        </w:rPr>
        <w:t>….</w:t>
      </w:r>
      <w:r w:rsidR="00DC1494">
        <w:rPr>
          <w:rFonts w:ascii="Arial" w:hAnsi="Arial" w:cs="Arial"/>
          <w:sz w:val="22"/>
          <w:szCs w:val="22"/>
        </w:rPr>
        <w:t>3</w:t>
      </w:r>
      <w:r>
        <w:rPr>
          <w:rFonts w:ascii="Arial" w:hAnsi="Arial" w:cs="Arial"/>
          <w:sz w:val="22"/>
          <w:szCs w:val="22"/>
        </w:rPr>
        <w:t xml:space="preserve"> </w:t>
      </w:r>
    </w:p>
    <w:p w14:paraId="617175AF" w14:textId="0988794E" w:rsidR="00E257B5" w:rsidRPr="00D31BF4" w:rsidRDefault="00E257B5" w:rsidP="006B43CC">
      <w:pPr>
        <w:spacing w:line="360" w:lineRule="auto"/>
        <w:rPr>
          <w:rFonts w:ascii="Arial" w:hAnsi="Arial" w:cs="Arial"/>
          <w:sz w:val="22"/>
          <w:szCs w:val="22"/>
        </w:rPr>
      </w:pPr>
      <w:r>
        <w:rPr>
          <w:rFonts w:ascii="Arial" w:hAnsi="Arial" w:cs="Arial"/>
          <w:sz w:val="22"/>
          <w:szCs w:val="22"/>
        </w:rPr>
        <w:t xml:space="preserve">(1.2) </w:t>
      </w:r>
      <w:r w:rsidR="00BE46A0" w:rsidRPr="00BE46A0">
        <w:rPr>
          <w:rFonts w:ascii="Arial" w:hAnsi="Arial" w:cs="Arial"/>
          <w:sz w:val="22"/>
          <w:szCs w:val="22"/>
        </w:rPr>
        <w:t>Secondly, the Activity Theory of Havighurst</w:t>
      </w:r>
      <w:r>
        <w:rPr>
          <w:rFonts w:ascii="Arial" w:hAnsi="Arial" w:cs="Arial"/>
          <w:sz w:val="22"/>
          <w:szCs w:val="22"/>
        </w:rPr>
        <w:t>………………………………………………</w:t>
      </w:r>
      <w:r w:rsidR="00BE46A0">
        <w:rPr>
          <w:rFonts w:ascii="Arial" w:hAnsi="Arial" w:cs="Arial"/>
          <w:sz w:val="22"/>
          <w:szCs w:val="22"/>
        </w:rPr>
        <w:t>………………..</w:t>
      </w:r>
      <w:r>
        <w:rPr>
          <w:rFonts w:ascii="Arial" w:hAnsi="Arial" w:cs="Arial"/>
          <w:sz w:val="22"/>
          <w:szCs w:val="22"/>
        </w:rPr>
        <w:t>.3</w:t>
      </w:r>
    </w:p>
    <w:p w14:paraId="58BCA499" w14:textId="7102DB3C" w:rsidR="00E257B5" w:rsidRPr="00D31BF4" w:rsidRDefault="00E257B5" w:rsidP="006B43CC">
      <w:pPr>
        <w:spacing w:line="360" w:lineRule="auto"/>
        <w:rPr>
          <w:rFonts w:ascii="Arial" w:hAnsi="Arial" w:cs="Arial"/>
          <w:sz w:val="22"/>
          <w:szCs w:val="22"/>
        </w:rPr>
      </w:pPr>
      <w:r>
        <w:rPr>
          <w:rFonts w:ascii="Arial" w:hAnsi="Arial" w:cs="Arial"/>
          <w:sz w:val="22"/>
          <w:szCs w:val="22"/>
        </w:rPr>
        <w:t>(1.3)</w:t>
      </w:r>
      <w:r w:rsidR="006B43CC" w:rsidRPr="006B43CC">
        <w:t xml:space="preserve"> </w:t>
      </w:r>
      <w:r w:rsidR="006B43CC" w:rsidRPr="006B43CC">
        <w:rPr>
          <w:rFonts w:ascii="Arial" w:hAnsi="Arial" w:cs="Arial"/>
          <w:sz w:val="22"/>
          <w:szCs w:val="22"/>
        </w:rPr>
        <w:t>Critical Comment</w:t>
      </w:r>
      <w:r>
        <w:rPr>
          <w:rFonts w:ascii="Arial" w:hAnsi="Arial" w:cs="Arial"/>
          <w:sz w:val="22"/>
          <w:szCs w:val="22"/>
        </w:rPr>
        <w:t xml:space="preserve"> ……………………………………………………………………………</w:t>
      </w:r>
      <w:r w:rsidR="006B43CC">
        <w:rPr>
          <w:rFonts w:ascii="Arial" w:hAnsi="Arial" w:cs="Arial"/>
          <w:sz w:val="22"/>
          <w:szCs w:val="22"/>
        </w:rPr>
        <w:t>….</w:t>
      </w:r>
      <w:r>
        <w:rPr>
          <w:rFonts w:ascii="Arial" w:hAnsi="Arial" w:cs="Arial"/>
          <w:sz w:val="22"/>
          <w:szCs w:val="22"/>
        </w:rPr>
        <w:t>………………4</w:t>
      </w:r>
    </w:p>
    <w:p w14:paraId="58035C3E" w14:textId="298DB76F" w:rsidR="00E257B5" w:rsidRPr="00D31BF4" w:rsidRDefault="00E257B5" w:rsidP="006B43CC">
      <w:pPr>
        <w:spacing w:line="360" w:lineRule="auto"/>
        <w:jc w:val="both"/>
        <w:rPr>
          <w:rFonts w:ascii="Arial" w:hAnsi="Arial" w:cs="Arial"/>
          <w:sz w:val="22"/>
          <w:szCs w:val="22"/>
        </w:rPr>
      </w:pPr>
      <w:r>
        <w:rPr>
          <w:rFonts w:ascii="Arial" w:hAnsi="Arial" w:cs="Arial"/>
          <w:sz w:val="22"/>
          <w:szCs w:val="22"/>
        </w:rPr>
        <w:t xml:space="preserve">(1.4) </w:t>
      </w:r>
      <w:r w:rsidR="006B43CC" w:rsidRPr="006B43CC">
        <w:rPr>
          <w:rFonts w:ascii="Arial" w:hAnsi="Arial" w:cs="Arial"/>
          <w:sz w:val="22"/>
          <w:szCs w:val="22"/>
        </w:rPr>
        <w:t>The Attachment Theory of Annie Bowlby</w:t>
      </w:r>
      <w:r>
        <w:rPr>
          <w:rFonts w:ascii="Arial" w:hAnsi="Arial" w:cs="Arial"/>
          <w:sz w:val="22"/>
          <w:szCs w:val="22"/>
        </w:rPr>
        <w:t>…………………………………………………………………….4</w:t>
      </w:r>
    </w:p>
    <w:p w14:paraId="13F6AE7D" w14:textId="34AA6654" w:rsidR="00E257B5" w:rsidRPr="00D31BF4" w:rsidRDefault="00E257B5" w:rsidP="00E257B5">
      <w:pPr>
        <w:spacing w:line="360" w:lineRule="auto"/>
        <w:jc w:val="both"/>
        <w:rPr>
          <w:rFonts w:ascii="Arial" w:hAnsi="Arial" w:cs="Arial"/>
          <w:sz w:val="22"/>
          <w:szCs w:val="22"/>
        </w:rPr>
      </w:pPr>
      <w:r>
        <w:rPr>
          <w:rFonts w:ascii="Arial" w:hAnsi="Arial" w:cs="Arial"/>
          <w:sz w:val="22"/>
          <w:szCs w:val="22"/>
        </w:rPr>
        <w:t xml:space="preserve">(1.5) </w:t>
      </w:r>
      <w:r w:rsidR="00000DEF" w:rsidRPr="00000DEF">
        <w:rPr>
          <w:rFonts w:ascii="Arial" w:hAnsi="Arial" w:cs="Arial"/>
          <w:sz w:val="22"/>
          <w:szCs w:val="22"/>
        </w:rPr>
        <w:t>Methodologies of Positive Psychology for the Ageing Process</w:t>
      </w:r>
      <w:r w:rsidR="00000DEF">
        <w:rPr>
          <w:rFonts w:ascii="Arial" w:hAnsi="Arial" w:cs="Arial"/>
          <w:sz w:val="22"/>
          <w:szCs w:val="22"/>
        </w:rPr>
        <w:t>…………………………………</w:t>
      </w:r>
      <w:r>
        <w:rPr>
          <w:rFonts w:ascii="Arial" w:hAnsi="Arial" w:cs="Arial"/>
          <w:sz w:val="22"/>
          <w:szCs w:val="22"/>
        </w:rPr>
        <w:t>………….4</w:t>
      </w:r>
    </w:p>
    <w:p w14:paraId="6143A700" w14:textId="77777777" w:rsidR="00E257B5" w:rsidRDefault="00E257B5" w:rsidP="00E257B5">
      <w:r w:rsidRPr="00D31BF4">
        <w:rPr>
          <w:rFonts w:ascii="Arial" w:hAnsi="Arial" w:cs="Arial"/>
          <w:b/>
          <w:bCs/>
          <w:sz w:val="28"/>
          <w:szCs w:val="28"/>
        </w:rPr>
        <w:t>2</w:t>
      </w:r>
      <w:r w:rsidRPr="00D31BF4">
        <w:rPr>
          <w:rFonts w:ascii="Arial" w:hAnsi="Arial" w:cs="Arial"/>
          <w:sz w:val="28"/>
          <w:szCs w:val="28"/>
        </w:rPr>
        <w:t xml:space="preserve">) </w:t>
      </w:r>
      <w:r w:rsidRPr="00D31BF4">
        <w:rPr>
          <w:rFonts w:ascii="Arial" w:hAnsi="Arial" w:cs="Arial"/>
          <w:b/>
          <w:bCs/>
          <w:sz w:val="28"/>
          <w:szCs w:val="28"/>
        </w:rPr>
        <w:t>Task</w:t>
      </w:r>
      <w:r w:rsidRPr="003F6B64">
        <w:rPr>
          <w:rFonts w:ascii="Arial" w:hAnsi="Arial" w:cs="Arial"/>
          <w:b/>
          <w:bCs/>
          <w:sz w:val="28"/>
          <w:szCs w:val="28"/>
        </w:rPr>
        <w:t xml:space="preserve"> 2: Short </w:t>
      </w:r>
      <w:r>
        <w:rPr>
          <w:rFonts w:ascii="Arial" w:hAnsi="Arial" w:cs="Arial"/>
          <w:b/>
          <w:bCs/>
          <w:sz w:val="28"/>
          <w:szCs w:val="28"/>
        </w:rPr>
        <w:t>R</w:t>
      </w:r>
      <w:r w:rsidRPr="003F6B64">
        <w:rPr>
          <w:rFonts w:ascii="Arial" w:hAnsi="Arial" w:cs="Arial"/>
          <w:b/>
          <w:bCs/>
          <w:sz w:val="28"/>
          <w:szCs w:val="28"/>
        </w:rPr>
        <w:t>eport</w:t>
      </w:r>
      <w:r w:rsidRPr="003F6B64">
        <w:t xml:space="preserve"> </w:t>
      </w:r>
      <w:r>
        <w:t>……………………………………………………………………………………………5</w:t>
      </w:r>
    </w:p>
    <w:p w14:paraId="1C5C7A61" w14:textId="12F58233" w:rsidR="00774D67" w:rsidRDefault="00E257B5" w:rsidP="00E257B5">
      <w:pPr>
        <w:rPr>
          <w:rFonts w:ascii="Arial" w:hAnsi="Arial" w:cs="Arial"/>
          <w:sz w:val="22"/>
          <w:szCs w:val="22"/>
        </w:rPr>
      </w:pPr>
      <w:r>
        <w:rPr>
          <w:rFonts w:ascii="Arial" w:hAnsi="Arial" w:cs="Arial"/>
          <w:sz w:val="22"/>
          <w:szCs w:val="22"/>
        </w:rPr>
        <w:t>(2.1)</w:t>
      </w:r>
      <w:r w:rsidR="00922EAD" w:rsidRPr="00922EAD">
        <w:t xml:space="preserve"> </w:t>
      </w:r>
      <w:r w:rsidR="00922EAD" w:rsidRPr="00922EAD">
        <w:rPr>
          <w:rFonts w:ascii="Arial" w:hAnsi="Arial" w:cs="Arial"/>
          <w:sz w:val="22"/>
          <w:szCs w:val="22"/>
        </w:rPr>
        <w:t>Utilising Erikson’s Psychosocial Theory to Improve Wellbeing in Residential Ca</w:t>
      </w:r>
      <w:r w:rsidR="00774D67">
        <w:rPr>
          <w:rFonts w:ascii="Arial" w:hAnsi="Arial" w:cs="Arial"/>
          <w:sz w:val="22"/>
          <w:szCs w:val="22"/>
        </w:rPr>
        <w:t>re</w:t>
      </w:r>
      <w:r>
        <w:rPr>
          <w:rFonts w:ascii="Arial" w:hAnsi="Arial" w:cs="Arial"/>
          <w:sz w:val="22"/>
          <w:szCs w:val="22"/>
        </w:rPr>
        <w:t>……………………………………………………………</w:t>
      </w:r>
      <w:r w:rsidR="00774D67">
        <w:rPr>
          <w:rFonts w:ascii="Arial" w:hAnsi="Arial" w:cs="Arial"/>
          <w:sz w:val="22"/>
          <w:szCs w:val="22"/>
        </w:rPr>
        <w:t>…………………………………………………</w:t>
      </w:r>
      <w:r w:rsidR="00D866EF">
        <w:rPr>
          <w:rFonts w:ascii="Arial" w:hAnsi="Arial" w:cs="Arial"/>
          <w:sz w:val="22"/>
          <w:szCs w:val="22"/>
        </w:rPr>
        <w:t>….</w:t>
      </w:r>
      <w:r w:rsidR="00774D67">
        <w:rPr>
          <w:rFonts w:ascii="Arial" w:hAnsi="Arial" w:cs="Arial"/>
          <w:sz w:val="22"/>
          <w:szCs w:val="22"/>
        </w:rPr>
        <w:t>5</w:t>
      </w:r>
    </w:p>
    <w:p w14:paraId="7B6AA7D4" w14:textId="6FE652EC" w:rsidR="00E257B5" w:rsidRPr="00D31BF4" w:rsidRDefault="00E257B5" w:rsidP="00E257B5">
      <w:pPr>
        <w:rPr>
          <w:rFonts w:ascii="Arial" w:hAnsi="Arial" w:cs="Arial"/>
          <w:sz w:val="22"/>
          <w:szCs w:val="22"/>
        </w:rPr>
      </w:pPr>
      <w:r>
        <w:rPr>
          <w:rFonts w:ascii="Arial" w:hAnsi="Arial" w:cs="Arial"/>
          <w:sz w:val="22"/>
          <w:szCs w:val="22"/>
        </w:rPr>
        <w:t>6 (2.1a)</w:t>
      </w:r>
      <w:r w:rsidRPr="00D31BF4">
        <w:rPr>
          <w:rFonts w:ascii="Arial" w:hAnsi="Arial" w:cs="Arial"/>
          <w:sz w:val="22"/>
          <w:szCs w:val="22"/>
        </w:rPr>
        <w:t xml:space="preserve"> Introduction</w:t>
      </w:r>
      <w:r>
        <w:rPr>
          <w:rFonts w:ascii="Arial" w:hAnsi="Arial" w:cs="Arial"/>
          <w:sz w:val="22"/>
          <w:szCs w:val="22"/>
        </w:rPr>
        <w:t>…………………………………………………………………………………………………</w:t>
      </w:r>
      <w:r w:rsidR="00774D67">
        <w:rPr>
          <w:rFonts w:ascii="Arial" w:hAnsi="Arial" w:cs="Arial"/>
          <w:sz w:val="22"/>
          <w:szCs w:val="22"/>
        </w:rPr>
        <w:t>5</w:t>
      </w:r>
    </w:p>
    <w:p w14:paraId="45B56162" w14:textId="6E49B990" w:rsidR="00E257B5" w:rsidRPr="00D31BF4" w:rsidRDefault="00E257B5" w:rsidP="00E257B5">
      <w:pPr>
        <w:rPr>
          <w:rFonts w:ascii="Arial" w:hAnsi="Arial" w:cs="Arial"/>
          <w:sz w:val="22"/>
          <w:szCs w:val="22"/>
        </w:rPr>
      </w:pPr>
      <w:r>
        <w:rPr>
          <w:rFonts w:ascii="Arial" w:hAnsi="Arial" w:cs="Arial"/>
          <w:sz w:val="22"/>
          <w:szCs w:val="22"/>
        </w:rPr>
        <w:t xml:space="preserve">(2.1b) </w:t>
      </w:r>
      <w:r w:rsidR="00774D67">
        <w:rPr>
          <w:rFonts w:ascii="Arial" w:hAnsi="Arial" w:cs="Arial"/>
          <w:sz w:val="22"/>
          <w:szCs w:val="22"/>
        </w:rPr>
        <w:t>Implementation of t</w:t>
      </w:r>
      <w:r w:rsidRPr="00D31BF4">
        <w:rPr>
          <w:rFonts w:ascii="Arial" w:hAnsi="Arial" w:cs="Arial"/>
          <w:sz w:val="22"/>
          <w:szCs w:val="22"/>
        </w:rPr>
        <w:t>heory</w:t>
      </w:r>
      <w:r>
        <w:rPr>
          <w:rFonts w:ascii="Arial" w:hAnsi="Arial" w:cs="Arial"/>
          <w:sz w:val="22"/>
          <w:szCs w:val="22"/>
        </w:rPr>
        <w:t>…………………………………………………………………</w:t>
      </w:r>
      <w:r w:rsidR="00A22C1E">
        <w:rPr>
          <w:rFonts w:ascii="Arial" w:hAnsi="Arial" w:cs="Arial"/>
          <w:sz w:val="22"/>
          <w:szCs w:val="22"/>
        </w:rPr>
        <w:t>…………</w:t>
      </w:r>
      <w:r w:rsidR="00D866EF">
        <w:rPr>
          <w:rFonts w:ascii="Arial" w:hAnsi="Arial" w:cs="Arial"/>
          <w:sz w:val="22"/>
          <w:szCs w:val="22"/>
        </w:rPr>
        <w:t>….</w:t>
      </w:r>
      <w:r>
        <w:rPr>
          <w:rFonts w:ascii="Arial" w:hAnsi="Arial" w:cs="Arial"/>
          <w:sz w:val="22"/>
          <w:szCs w:val="22"/>
        </w:rPr>
        <w:t>….</w:t>
      </w:r>
      <w:r w:rsidR="00A22C1E">
        <w:rPr>
          <w:rFonts w:ascii="Arial" w:hAnsi="Arial" w:cs="Arial"/>
          <w:sz w:val="22"/>
          <w:szCs w:val="22"/>
        </w:rPr>
        <w:t>5</w:t>
      </w:r>
    </w:p>
    <w:p w14:paraId="2A5710E5" w14:textId="0CBC54BD" w:rsidR="00E257B5" w:rsidRPr="00D31BF4" w:rsidRDefault="00E257B5" w:rsidP="00E257B5">
      <w:pPr>
        <w:rPr>
          <w:rFonts w:ascii="Arial" w:hAnsi="Arial" w:cs="Arial"/>
          <w:sz w:val="22"/>
          <w:szCs w:val="22"/>
        </w:rPr>
      </w:pPr>
      <w:r>
        <w:rPr>
          <w:rFonts w:ascii="Arial" w:hAnsi="Arial" w:cs="Arial"/>
          <w:sz w:val="22"/>
          <w:szCs w:val="22"/>
        </w:rPr>
        <w:t>(2.1c)</w:t>
      </w:r>
      <w:r w:rsidRPr="00D31BF4">
        <w:rPr>
          <w:rFonts w:ascii="Arial" w:hAnsi="Arial" w:cs="Arial"/>
          <w:sz w:val="22"/>
          <w:szCs w:val="22"/>
        </w:rPr>
        <w:t xml:space="preserve"> </w:t>
      </w:r>
      <w:r w:rsidR="005419DC">
        <w:rPr>
          <w:rFonts w:ascii="Arial" w:hAnsi="Arial" w:cs="Arial"/>
          <w:sz w:val="22"/>
          <w:szCs w:val="22"/>
        </w:rPr>
        <w:t xml:space="preserve">Case </w:t>
      </w:r>
      <w:r w:rsidR="00D866EF">
        <w:rPr>
          <w:rFonts w:ascii="Arial" w:hAnsi="Arial" w:cs="Arial"/>
          <w:sz w:val="22"/>
          <w:szCs w:val="22"/>
        </w:rPr>
        <w:t>Scenario</w:t>
      </w:r>
      <w:r>
        <w:rPr>
          <w:rFonts w:ascii="Arial" w:hAnsi="Arial" w:cs="Arial"/>
          <w:sz w:val="22"/>
          <w:szCs w:val="22"/>
        </w:rPr>
        <w:t>………………………………………………………</w:t>
      </w:r>
      <w:r w:rsidR="00D866EF">
        <w:rPr>
          <w:rFonts w:ascii="Arial" w:hAnsi="Arial" w:cs="Arial"/>
          <w:sz w:val="22"/>
          <w:szCs w:val="22"/>
        </w:rPr>
        <w:t>……………………………….</w:t>
      </w:r>
      <w:r>
        <w:rPr>
          <w:rFonts w:ascii="Arial" w:hAnsi="Arial" w:cs="Arial"/>
          <w:sz w:val="22"/>
          <w:szCs w:val="22"/>
        </w:rPr>
        <w:t>……….6</w:t>
      </w:r>
    </w:p>
    <w:p w14:paraId="692FE1C7" w14:textId="4623CDDC" w:rsidR="00E257B5" w:rsidRPr="00D31BF4" w:rsidRDefault="00E257B5" w:rsidP="00E257B5">
      <w:pPr>
        <w:rPr>
          <w:rFonts w:ascii="Arial" w:hAnsi="Arial" w:cs="Arial"/>
          <w:sz w:val="22"/>
          <w:szCs w:val="22"/>
        </w:rPr>
      </w:pPr>
      <w:r>
        <w:rPr>
          <w:rFonts w:ascii="Arial" w:hAnsi="Arial" w:cs="Arial"/>
          <w:sz w:val="22"/>
          <w:szCs w:val="22"/>
        </w:rPr>
        <w:t>(2.1</w:t>
      </w:r>
      <w:r w:rsidR="0085774F">
        <w:rPr>
          <w:rFonts w:ascii="Arial" w:hAnsi="Arial" w:cs="Arial"/>
          <w:sz w:val="22"/>
          <w:szCs w:val="22"/>
        </w:rPr>
        <w:t>d</w:t>
      </w:r>
      <w:r>
        <w:rPr>
          <w:rFonts w:ascii="Arial" w:hAnsi="Arial" w:cs="Arial"/>
          <w:sz w:val="22"/>
          <w:szCs w:val="22"/>
        </w:rPr>
        <w:t xml:space="preserve">) </w:t>
      </w:r>
      <w:r w:rsidRPr="00D31BF4">
        <w:rPr>
          <w:rFonts w:ascii="Arial" w:hAnsi="Arial" w:cs="Arial"/>
          <w:sz w:val="22"/>
          <w:szCs w:val="22"/>
        </w:rPr>
        <w:t>Challenges in Implementation</w:t>
      </w:r>
      <w:r>
        <w:rPr>
          <w:rFonts w:ascii="Arial" w:hAnsi="Arial" w:cs="Arial"/>
          <w:sz w:val="22"/>
          <w:szCs w:val="22"/>
        </w:rPr>
        <w:t>………………………………………………………………………………8</w:t>
      </w:r>
    </w:p>
    <w:p w14:paraId="6CF57F29" w14:textId="3C9A3D62" w:rsidR="00E257B5" w:rsidRPr="00D31BF4" w:rsidRDefault="00E257B5" w:rsidP="00E257B5">
      <w:pPr>
        <w:rPr>
          <w:rFonts w:ascii="Arial" w:hAnsi="Arial" w:cs="Arial"/>
          <w:sz w:val="22"/>
          <w:szCs w:val="22"/>
        </w:rPr>
      </w:pPr>
      <w:r>
        <w:rPr>
          <w:rFonts w:ascii="Arial" w:hAnsi="Arial" w:cs="Arial"/>
          <w:sz w:val="22"/>
          <w:szCs w:val="22"/>
        </w:rPr>
        <w:t>(2.1</w:t>
      </w:r>
      <w:r w:rsidR="0085774F">
        <w:rPr>
          <w:rFonts w:ascii="Arial" w:hAnsi="Arial" w:cs="Arial"/>
          <w:sz w:val="22"/>
          <w:szCs w:val="22"/>
        </w:rPr>
        <w:t>e</w:t>
      </w:r>
      <w:r>
        <w:rPr>
          <w:rFonts w:ascii="Arial" w:hAnsi="Arial" w:cs="Arial"/>
          <w:sz w:val="22"/>
          <w:szCs w:val="22"/>
        </w:rPr>
        <w:t xml:space="preserve">) </w:t>
      </w:r>
      <w:r w:rsidRPr="00D31BF4">
        <w:rPr>
          <w:rFonts w:ascii="Arial" w:hAnsi="Arial" w:cs="Arial"/>
          <w:sz w:val="22"/>
          <w:szCs w:val="22"/>
        </w:rPr>
        <w:t>Conclusion</w:t>
      </w:r>
      <w:r>
        <w:rPr>
          <w:rFonts w:ascii="Arial" w:hAnsi="Arial" w:cs="Arial"/>
          <w:sz w:val="22"/>
          <w:szCs w:val="22"/>
        </w:rPr>
        <w:t>…………………………………………………………………………………………………….8</w:t>
      </w:r>
    </w:p>
    <w:p w14:paraId="211C2901" w14:textId="77777777" w:rsidR="00E257B5" w:rsidRDefault="00E257B5" w:rsidP="00E257B5">
      <w:pPr>
        <w:rPr>
          <w:rFonts w:ascii="Arial" w:hAnsi="Arial" w:cs="Arial"/>
          <w:b/>
          <w:bCs/>
          <w:sz w:val="22"/>
          <w:szCs w:val="22"/>
        </w:rPr>
      </w:pPr>
      <w:r>
        <w:rPr>
          <w:rFonts w:ascii="Arial" w:hAnsi="Arial" w:cs="Arial"/>
          <w:b/>
          <w:bCs/>
          <w:sz w:val="22"/>
          <w:szCs w:val="22"/>
        </w:rPr>
        <w:t>References………………………………………………………………………………………………………......9</w:t>
      </w:r>
    </w:p>
    <w:p w14:paraId="505DCE6C" w14:textId="77777777" w:rsidR="00E257B5" w:rsidRDefault="00E257B5" w:rsidP="00E257B5">
      <w:pPr>
        <w:rPr>
          <w:rFonts w:ascii="Arial" w:hAnsi="Arial" w:cs="Arial"/>
          <w:b/>
          <w:bCs/>
          <w:sz w:val="22"/>
          <w:szCs w:val="22"/>
        </w:rPr>
      </w:pPr>
    </w:p>
    <w:p w14:paraId="39C4F4E1" w14:textId="77777777" w:rsidR="00E257B5" w:rsidRPr="003F6B64" w:rsidRDefault="00E257B5" w:rsidP="00E257B5">
      <w:pPr>
        <w:rPr>
          <w:rFonts w:ascii="Arial" w:hAnsi="Arial" w:cs="Arial"/>
          <w:b/>
          <w:bCs/>
          <w:sz w:val="22"/>
          <w:szCs w:val="22"/>
        </w:rPr>
      </w:pPr>
    </w:p>
    <w:p w14:paraId="53CA52B3" w14:textId="77777777" w:rsidR="00E257B5" w:rsidRDefault="00E257B5" w:rsidP="00DA563F">
      <w:pPr>
        <w:spacing w:line="360" w:lineRule="auto"/>
        <w:jc w:val="both"/>
        <w:rPr>
          <w:rFonts w:ascii="Arial" w:hAnsi="Arial" w:cs="Arial"/>
          <w:b/>
          <w:bCs/>
          <w:sz w:val="28"/>
          <w:szCs w:val="28"/>
          <w:u w:val="single"/>
        </w:rPr>
      </w:pPr>
    </w:p>
    <w:p w14:paraId="5E098D4B" w14:textId="77777777" w:rsidR="00E257B5" w:rsidRDefault="00E257B5" w:rsidP="00DA563F">
      <w:pPr>
        <w:spacing w:line="360" w:lineRule="auto"/>
        <w:jc w:val="both"/>
        <w:rPr>
          <w:rFonts w:ascii="Arial" w:hAnsi="Arial" w:cs="Arial"/>
          <w:b/>
          <w:bCs/>
          <w:sz w:val="28"/>
          <w:szCs w:val="28"/>
          <w:u w:val="single"/>
        </w:rPr>
      </w:pPr>
    </w:p>
    <w:p w14:paraId="1C126AD2" w14:textId="77777777" w:rsidR="00E257B5" w:rsidRDefault="00E257B5" w:rsidP="00DA563F">
      <w:pPr>
        <w:spacing w:line="360" w:lineRule="auto"/>
        <w:jc w:val="both"/>
        <w:rPr>
          <w:rFonts w:ascii="Arial" w:hAnsi="Arial" w:cs="Arial"/>
          <w:b/>
          <w:bCs/>
          <w:sz w:val="28"/>
          <w:szCs w:val="28"/>
          <w:u w:val="single"/>
        </w:rPr>
      </w:pPr>
    </w:p>
    <w:p w14:paraId="3E5C6585" w14:textId="77777777" w:rsidR="00E257B5" w:rsidRDefault="00E257B5" w:rsidP="00DA563F">
      <w:pPr>
        <w:spacing w:line="360" w:lineRule="auto"/>
        <w:jc w:val="both"/>
        <w:rPr>
          <w:rFonts w:ascii="Arial" w:hAnsi="Arial" w:cs="Arial"/>
          <w:b/>
          <w:bCs/>
          <w:sz w:val="28"/>
          <w:szCs w:val="28"/>
          <w:u w:val="single"/>
        </w:rPr>
      </w:pPr>
    </w:p>
    <w:p w14:paraId="5AAE11E0" w14:textId="77777777" w:rsidR="00E257B5" w:rsidRDefault="00E257B5" w:rsidP="00DA563F">
      <w:pPr>
        <w:spacing w:line="360" w:lineRule="auto"/>
        <w:jc w:val="both"/>
        <w:rPr>
          <w:rFonts w:ascii="Arial" w:hAnsi="Arial" w:cs="Arial"/>
          <w:b/>
          <w:bCs/>
          <w:sz w:val="28"/>
          <w:szCs w:val="28"/>
          <w:u w:val="single"/>
        </w:rPr>
      </w:pPr>
    </w:p>
    <w:p w14:paraId="4594E624" w14:textId="77777777" w:rsidR="00944480" w:rsidRDefault="00944480" w:rsidP="00DA563F">
      <w:pPr>
        <w:spacing w:line="360" w:lineRule="auto"/>
        <w:jc w:val="both"/>
        <w:rPr>
          <w:rFonts w:ascii="Arial" w:hAnsi="Arial" w:cs="Arial"/>
          <w:b/>
          <w:bCs/>
          <w:sz w:val="28"/>
          <w:szCs w:val="28"/>
          <w:u w:val="single"/>
        </w:rPr>
      </w:pPr>
    </w:p>
    <w:p w14:paraId="4E201789" w14:textId="77777777" w:rsidR="00944480" w:rsidRDefault="00944480" w:rsidP="00DA563F">
      <w:pPr>
        <w:spacing w:line="360" w:lineRule="auto"/>
        <w:jc w:val="both"/>
        <w:rPr>
          <w:rFonts w:ascii="Arial" w:hAnsi="Arial" w:cs="Arial"/>
          <w:b/>
          <w:bCs/>
          <w:sz w:val="28"/>
          <w:szCs w:val="28"/>
          <w:u w:val="single"/>
        </w:rPr>
      </w:pPr>
    </w:p>
    <w:p w14:paraId="1DDCE711" w14:textId="77777777" w:rsidR="00944480" w:rsidRDefault="00944480" w:rsidP="00DA563F">
      <w:pPr>
        <w:spacing w:line="360" w:lineRule="auto"/>
        <w:jc w:val="both"/>
        <w:rPr>
          <w:rFonts w:ascii="Arial" w:hAnsi="Arial" w:cs="Arial"/>
          <w:b/>
          <w:bCs/>
          <w:sz w:val="28"/>
          <w:szCs w:val="28"/>
          <w:u w:val="single"/>
        </w:rPr>
      </w:pPr>
    </w:p>
    <w:p w14:paraId="18C62F26" w14:textId="77777777" w:rsidR="00944480" w:rsidRDefault="00944480" w:rsidP="00DA563F">
      <w:pPr>
        <w:spacing w:line="360" w:lineRule="auto"/>
        <w:jc w:val="both"/>
        <w:rPr>
          <w:rFonts w:ascii="Arial" w:hAnsi="Arial" w:cs="Arial"/>
          <w:b/>
          <w:bCs/>
          <w:sz w:val="28"/>
          <w:szCs w:val="28"/>
          <w:u w:val="single"/>
        </w:rPr>
      </w:pPr>
    </w:p>
    <w:p w14:paraId="01B32C97" w14:textId="77777777" w:rsidR="00944480" w:rsidRDefault="00944480" w:rsidP="00DA563F">
      <w:pPr>
        <w:spacing w:line="360" w:lineRule="auto"/>
        <w:jc w:val="both"/>
        <w:rPr>
          <w:rFonts w:ascii="Arial" w:hAnsi="Arial" w:cs="Arial"/>
          <w:b/>
          <w:bCs/>
          <w:sz w:val="28"/>
          <w:szCs w:val="28"/>
          <w:u w:val="single"/>
        </w:rPr>
      </w:pPr>
    </w:p>
    <w:p w14:paraId="2668605E" w14:textId="77777777" w:rsidR="00944480" w:rsidRDefault="00944480" w:rsidP="00DA563F">
      <w:pPr>
        <w:spacing w:line="360" w:lineRule="auto"/>
        <w:jc w:val="both"/>
        <w:rPr>
          <w:rFonts w:ascii="Arial" w:hAnsi="Arial" w:cs="Arial"/>
          <w:b/>
          <w:bCs/>
          <w:sz w:val="28"/>
          <w:szCs w:val="28"/>
          <w:u w:val="single"/>
        </w:rPr>
      </w:pPr>
    </w:p>
    <w:p w14:paraId="77450DF9" w14:textId="378065B3" w:rsidR="00DA563F" w:rsidRPr="007B4D68" w:rsidRDefault="00DA563F" w:rsidP="00DA563F">
      <w:pPr>
        <w:spacing w:line="360" w:lineRule="auto"/>
        <w:jc w:val="both"/>
        <w:rPr>
          <w:rFonts w:ascii="Arial" w:hAnsi="Arial" w:cs="Arial"/>
          <w:b/>
          <w:bCs/>
          <w:sz w:val="28"/>
          <w:szCs w:val="28"/>
          <w:u w:val="single"/>
        </w:rPr>
      </w:pPr>
      <w:r w:rsidRPr="007B4D68">
        <w:rPr>
          <w:rFonts w:ascii="Arial" w:hAnsi="Arial" w:cs="Arial"/>
          <w:b/>
          <w:bCs/>
          <w:sz w:val="28"/>
          <w:szCs w:val="28"/>
          <w:u w:val="single"/>
        </w:rPr>
        <w:t xml:space="preserve"> </w:t>
      </w:r>
      <w:r w:rsidR="007B4D68" w:rsidRPr="007B4D68">
        <w:rPr>
          <w:rFonts w:ascii="Arial" w:hAnsi="Arial" w:cs="Arial"/>
          <w:b/>
          <w:bCs/>
          <w:sz w:val="28"/>
          <w:szCs w:val="28"/>
          <w:u w:val="single"/>
        </w:rPr>
        <w:t>Part A Annotated</w:t>
      </w:r>
      <w:r w:rsidRPr="007B4D68">
        <w:rPr>
          <w:rFonts w:ascii="Arial" w:hAnsi="Arial" w:cs="Arial"/>
          <w:b/>
          <w:bCs/>
          <w:sz w:val="28"/>
          <w:szCs w:val="28"/>
          <w:u w:val="single"/>
        </w:rPr>
        <w:t xml:space="preserve"> Bibliography </w:t>
      </w:r>
    </w:p>
    <w:p w14:paraId="1C23F664" w14:textId="00E62738" w:rsidR="00DA563F" w:rsidRPr="007B4D68" w:rsidRDefault="00DA563F" w:rsidP="00DA563F">
      <w:pPr>
        <w:spacing w:line="360" w:lineRule="auto"/>
        <w:jc w:val="both"/>
        <w:rPr>
          <w:rFonts w:ascii="Arial" w:hAnsi="Arial" w:cs="Arial"/>
          <w:b/>
          <w:bCs/>
          <w:sz w:val="22"/>
          <w:szCs w:val="22"/>
          <w:u w:val="single"/>
        </w:rPr>
      </w:pPr>
      <w:r w:rsidRPr="007B4D68">
        <w:rPr>
          <w:rFonts w:ascii="Arial" w:hAnsi="Arial" w:cs="Arial"/>
          <w:b/>
          <w:bCs/>
          <w:sz w:val="22"/>
          <w:szCs w:val="22"/>
          <w:u w:val="single"/>
        </w:rPr>
        <w:t xml:space="preserve"> 1. The Psychosocial Development Theory Expressed by Erikson</w:t>
      </w:r>
    </w:p>
    <w:p w14:paraId="2AB00A95"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Erikson, E.H., "Childhood and Society," published in 1950 with a reference. WW Norton, located in New York.</w:t>
      </w:r>
    </w:p>
    <w:p w14:paraId="3E92CF12" w14:textId="77777777" w:rsidR="00DA563F" w:rsidRPr="00DA563F" w:rsidRDefault="00DA563F" w:rsidP="00DA563F">
      <w:pPr>
        <w:spacing w:line="360" w:lineRule="auto"/>
        <w:jc w:val="both"/>
        <w:rPr>
          <w:rFonts w:ascii="Arial" w:hAnsi="Arial" w:cs="Arial"/>
          <w:sz w:val="22"/>
          <w:szCs w:val="22"/>
        </w:rPr>
      </w:pPr>
    </w:p>
    <w:p w14:paraId="211EB052"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The theory of Erik Erikson describes eight phases of psychological development, with the eighth stage, which is referred to as "integrity versus despair," concentrating on the later years of adulthood. At this point in their life, people are contemplating their lives and working toward the goal of attaining a sense of fulfilment and completion. The development of wisdom is the outcome of successfully resolving this stage, whereas failure leads to feelings of regret and despair.</w:t>
      </w:r>
    </w:p>
    <w:p w14:paraId="315EF7E8" w14:textId="77777777" w:rsidR="00DA563F" w:rsidRPr="00DA563F" w:rsidRDefault="00DA563F" w:rsidP="00DA563F">
      <w:pPr>
        <w:spacing w:line="360" w:lineRule="auto"/>
        <w:jc w:val="both"/>
        <w:rPr>
          <w:rFonts w:ascii="Arial" w:hAnsi="Arial" w:cs="Arial"/>
          <w:sz w:val="22"/>
          <w:szCs w:val="22"/>
        </w:rPr>
      </w:pPr>
    </w:p>
    <w:p w14:paraId="23594903" w14:textId="203BAB85"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 xml:space="preserve">The following is a critical commentary on this theory: it offers a vital framework for understanding the psychological issues that older </w:t>
      </w:r>
      <w:r w:rsidR="007B4D68" w:rsidRPr="00DA563F">
        <w:rPr>
          <w:rFonts w:ascii="Arial" w:hAnsi="Arial" w:cs="Arial"/>
          <w:sz w:val="22"/>
          <w:szCs w:val="22"/>
        </w:rPr>
        <w:t>person’s</w:t>
      </w:r>
      <w:r w:rsidRPr="00DA563F">
        <w:rPr>
          <w:rFonts w:ascii="Arial" w:hAnsi="Arial" w:cs="Arial"/>
          <w:sz w:val="22"/>
          <w:szCs w:val="22"/>
        </w:rPr>
        <w:t xml:space="preserve"> face. According to Erikson's concept, promoting citizens' feeling of well-being in residential care settings may be accomplished by encouraging activities that include life review and providing support for residents' sense of achievement. In spite of this, the theory has been criticised for its tendency to reduce individual variations and culture differences by placing an excessive amount of emphasis on linear stages.</w:t>
      </w:r>
    </w:p>
    <w:p w14:paraId="3352C7BD" w14:textId="77777777" w:rsidR="00DA563F" w:rsidRPr="00DA563F" w:rsidRDefault="00DA563F" w:rsidP="00DA563F">
      <w:pPr>
        <w:spacing w:line="360" w:lineRule="auto"/>
        <w:jc w:val="both"/>
        <w:rPr>
          <w:rFonts w:ascii="Arial" w:hAnsi="Arial" w:cs="Arial"/>
          <w:sz w:val="22"/>
          <w:szCs w:val="22"/>
        </w:rPr>
      </w:pPr>
    </w:p>
    <w:p w14:paraId="09C57ABA" w14:textId="77777777" w:rsidR="00DA563F" w:rsidRPr="007B4D68" w:rsidRDefault="00DA563F" w:rsidP="00DA563F">
      <w:pPr>
        <w:spacing w:line="360" w:lineRule="auto"/>
        <w:jc w:val="both"/>
        <w:rPr>
          <w:rFonts w:ascii="Arial" w:hAnsi="Arial" w:cs="Arial"/>
          <w:b/>
          <w:bCs/>
          <w:sz w:val="28"/>
          <w:szCs w:val="28"/>
          <w:u w:val="single"/>
        </w:rPr>
      </w:pPr>
      <w:r w:rsidRPr="007B4D68">
        <w:rPr>
          <w:rFonts w:ascii="Arial" w:hAnsi="Arial" w:cs="Arial"/>
          <w:b/>
          <w:bCs/>
          <w:sz w:val="28"/>
          <w:szCs w:val="28"/>
          <w:u w:val="single"/>
        </w:rPr>
        <w:t>Secondly, the Activity Theory of Havighurst</w:t>
      </w:r>
    </w:p>
    <w:p w14:paraId="7801D59C"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Havighurst, R.J. (1961) published an article titled "Successful Ageing" in The Gerontologist, volume 1, issue 1, pages 8–13.</w:t>
      </w:r>
    </w:p>
    <w:p w14:paraId="796CA9AB"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According to Havighurst's Activity Theory, healthy ageing may be accomplished by preserving social roles and participating in activities that are both physically and socially rewarding. According to this notion, continuing engagement in activities leads to increased levels of pleasure and improved psychological health in later life.</w:t>
      </w:r>
    </w:p>
    <w:p w14:paraId="58B609D1" w14:textId="77777777" w:rsidR="00DA563F" w:rsidRPr="00DA563F" w:rsidRDefault="00DA563F" w:rsidP="00DA563F">
      <w:pPr>
        <w:spacing w:line="360" w:lineRule="auto"/>
        <w:jc w:val="both"/>
        <w:rPr>
          <w:rFonts w:ascii="Arial" w:hAnsi="Arial" w:cs="Arial"/>
          <w:sz w:val="22"/>
          <w:szCs w:val="22"/>
        </w:rPr>
      </w:pPr>
    </w:p>
    <w:p w14:paraId="04D4314B" w14:textId="77777777" w:rsidR="007B4D68" w:rsidRPr="007B4D68" w:rsidRDefault="00DA563F" w:rsidP="00DA563F">
      <w:pPr>
        <w:spacing w:line="360" w:lineRule="auto"/>
        <w:jc w:val="both"/>
        <w:rPr>
          <w:rFonts w:ascii="Arial" w:hAnsi="Arial" w:cs="Arial"/>
          <w:b/>
          <w:bCs/>
          <w:sz w:val="28"/>
          <w:szCs w:val="28"/>
          <w:u w:val="single"/>
        </w:rPr>
      </w:pPr>
      <w:r w:rsidRPr="007B4D68">
        <w:rPr>
          <w:rFonts w:ascii="Arial" w:hAnsi="Arial" w:cs="Arial"/>
          <w:b/>
          <w:bCs/>
          <w:sz w:val="28"/>
          <w:szCs w:val="28"/>
          <w:u w:val="single"/>
        </w:rPr>
        <w:t xml:space="preserve">Critical Comment: </w:t>
      </w:r>
    </w:p>
    <w:p w14:paraId="5AA38B23" w14:textId="2D519703"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 xml:space="preserve">This theory is used to explain the strategies that are implemented in care homes to encourage social interaction and active lives. These practices have been connected to enhanced mood and cognitive </w:t>
      </w:r>
      <w:r w:rsidRPr="00DA563F">
        <w:rPr>
          <w:rFonts w:ascii="Arial" w:hAnsi="Arial" w:cs="Arial"/>
          <w:sz w:val="22"/>
          <w:szCs w:val="22"/>
        </w:rPr>
        <w:lastRenderedPageBreak/>
        <w:t xml:space="preserve">performance in more senior citizens. However, it is possible that it does not </w:t>
      </w:r>
      <w:r w:rsidR="00FB7C68" w:rsidRPr="00DA563F">
        <w:rPr>
          <w:rFonts w:ascii="Arial" w:hAnsi="Arial" w:cs="Arial"/>
          <w:sz w:val="22"/>
          <w:szCs w:val="22"/>
        </w:rPr>
        <w:t>consider</w:t>
      </w:r>
      <w:r w:rsidRPr="00DA563F">
        <w:rPr>
          <w:rFonts w:ascii="Arial" w:hAnsi="Arial" w:cs="Arial"/>
          <w:sz w:val="22"/>
          <w:szCs w:val="22"/>
        </w:rPr>
        <w:t xml:space="preserve"> the requirements of persons who have major health constraints, which is why activities that are tailored to ensure inclusiveness are required.</w:t>
      </w:r>
    </w:p>
    <w:p w14:paraId="4F1DB35A" w14:textId="77777777" w:rsidR="00DA563F" w:rsidRDefault="00DA563F" w:rsidP="00DA563F">
      <w:pPr>
        <w:spacing w:line="360" w:lineRule="auto"/>
        <w:jc w:val="both"/>
        <w:rPr>
          <w:rFonts w:ascii="Arial" w:hAnsi="Arial" w:cs="Arial"/>
          <w:sz w:val="22"/>
          <w:szCs w:val="22"/>
        </w:rPr>
      </w:pPr>
    </w:p>
    <w:p w14:paraId="2863E65B" w14:textId="77777777" w:rsidR="007B4D68" w:rsidRPr="00DA563F" w:rsidRDefault="007B4D68" w:rsidP="00DA563F">
      <w:pPr>
        <w:spacing w:line="360" w:lineRule="auto"/>
        <w:jc w:val="both"/>
        <w:rPr>
          <w:rFonts w:ascii="Arial" w:hAnsi="Arial" w:cs="Arial"/>
          <w:sz w:val="22"/>
          <w:szCs w:val="22"/>
        </w:rPr>
      </w:pPr>
    </w:p>
    <w:p w14:paraId="7286125A" w14:textId="77777777" w:rsidR="00944480" w:rsidRDefault="00944480" w:rsidP="00DA563F">
      <w:pPr>
        <w:spacing w:line="360" w:lineRule="auto"/>
        <w:jc w:val="both"/>
        <w:rPr>
          <w:rFonts w:ascii="Arial" w:hAnsi="Arial" w:cs="Arial"/>
          <w:b/>
          <w:bCs/>
          <w:sz w:val="28"/>
          <w:szCs w:val="28"/>
          <w:u w:val="single"/>
        </w:rPr>
      </w:pPr>
    </w:p>
    <w:p w14:paraId="35C782AF" w14:textId="77777777" w:rsidR="00944480" w:rsidRDefault="00944480" w:rsidP="00DA563F">
      <w:pPr>
        <w:spacing w:line="360" w:lineRule="auto"/>
        <w:jc w:val="both"/>
        <w:rPr>
          <w:rFonts w:ascii="Arial" w:hAnsi="Arial" w:cs="Arial"/>
          <w:b/>
          <w:bCs/>
          <w:sz w:val="28"/>
          <w:szCs w:val="28"/>
          <w:u w:val="single"/>
        </w:rPr>
      </w:pPr>
    </w:p>
    <w:p w14:paraId="41766447" w14:textId="1C7B004E" w:rsidR="00DA563F" w:rsidRPr="007B4D68" w:rsidRDefault="00DA563F" w:rsidP="00DA563F">
      <w:pPr>
        <w:spacing w:line="360" w:lineRule="auto"/>
        <w:jc w:val="both"/>
        <w:rPr>
          <w:rFonts w:ascii="Arial" w:hAnsi="Arial" w:cs="Arial"/>
          <w:b/>
          <w:bCs/>
          <w:sz w:val="28"/>
          <w:szCs w:val="28"/>
          <w:u w:val="single"/>
        </w:rPr>
      </w:pPr>
      <w:r w:rsidRPr="007B4D68">
        <w:rPr>
          <w:rFonts w:ascii="Arial" w:hAnsi="Arial" w:cs="Arial"/>
          <w:b/>
          <w:bCs/>
          <w:sz w:val="28"/>
          <w:szCs w:val="28"/>
          <w:u w:val="single"/>
        </w:rPr>
        <w:t>3. The Attachment Theory of Annie Bowlby</w:t>
      </w:r>
    </w:p>
    <w:p w14:paraId="75F1D6CD"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Bowlby, J. (1969) Attachment and Loss: Volume I — Attachment is the reference for this publication. Hogarth Press, located in London.</w:t>
      </w:r>
    </w:p>
    <w:p w14:paraId="59CA5C99" w14:textId="77777777" w:rsidR="00DA563F" w:rsidRPr="00DA563F" w:rsidRDefault="00DA563F" w:rsidP="00DA563F">
      <w:pPr>
        <w:spacing w:line="360" w:lineRule="auto"/>
        <w:jc w:val="both"/>
        <w:rPr>
          <w:rFonts w:ascii="Arial" w:hAnsi="Arial" w:cs="Arial"/>
          <w:sz w:val="22"/>
          <w:szCs w:val="22"/>
        </w:rPr>
      </w:pPr>
    </w:p>
    <w:p w14:paraId="434F499A"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The idea of Bowlby places an emphasis on the lifelong significance of attachment relationships throughout an individual's lifetime. subsequent study expanded the idea to adult and older adult relationships, showing the detrimental impacts of attachment disruptions, such as moving into care, on emotional health. Initially, the theory was centred on childhood, but subsequent research applied it to adult and older adult relationships.</w:t>
      </w:r>
    </w:p>
    <w:p w14:paraId="53C761A0" w14:textId="77777777" w:rsidR="00DA563F" w:rsidRPr="00DA563F" w:rsidRDefault="00DA563F" w:rsidP="00DA563F">
      <w:pPr>
        <w:spacing w:line="360" w:lineRule="auto"/>
        <w:jc w:val="both"/>
        <w:rPr>
          <w:rFonts w:ascii="Arial" w:hAnsi="Arial" w:cs="Arial"/>
          <w:sz w:val="22"/>
          <w:szCs w:val="22"/>
        </w:rPr>
      </w:pPr>
    </w:p>
    <w:p w14:paraId="22F9184F" w14:textId="5CABD1C6"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 xml:space="preserve">During the process of transitioning into care facilities, it is beneficial for workers to </w:t>
      </w:r>
      <w:r w:rsidR="0040292F" w:rsidRPr="00DA563F">
        <w:rPr>
          <w:rFonts w:ascii="Arial" w:hAnsi="Arial" w:cs="Arial"/>
          <w:sz w:val="22"/>
          <w:szCs w:val="22"/>
        </w:rPr>
        <w:t>understand</w:t>
      </w:r>
      <w:r w:rsidRPr="00DA563F">
        <w:rPr>
          <w:rFonts w:ascii="Arial" w:hAnsi="Arial" w:cs="Arial"/>
          <w:sz w:val="22"/>
          <w:szCs w:val="22"/>
        </w:rPr>
        <w:t xml:space="preserve"> attachment requirements since it helps them create trust and minimise anxiety. Practice that is influenced by attachment theory has the potential to provide a sense of safety and emotional adjustment in newly arrived residents. It is possible that the theory does not </w:t>
      </w:r>
      <w:r w:rsidR="0040292F" w:rsidRPr="00DA563F">
        <w:rPr>
          <w:rFonts w:ascii="Arial" w:hAnsi="Arial" w:cs="Arial"/>
          <w:sz w:val="22"/>
          <w:szCs w:val="22"/>
        </w:rPr>
        <w:t>consider</w:t>
      </w:r>
      <w:r w:rsidRPr="00DA563F">
        <w:rPr>
          <w:rFonts w:ascii="Arial" w:hAnsi="Arial" w:cs="Arial"/>
          <w:sz w:val="22"/>
          <w:szCs w:val="22"/>
        </w:rPr>
        <w:t xml:space="preserve"> the intricacies of adult attachment differences, and it is less prescriptive on the therapies that may be considered effective.</w:t>
      </w:r>
    </w:p>
    <w:p w14:paraId="492658BA" w14:textId="77777777" w:rsidR="00DA563F" w:rsidRPr="007B4D68" w:rsidRDefault="00DA563F" w:rsidP="00DA563F">
      <w:pPr>
        <w:spacing w:line="360" w:lineRule="auto"/>
        <w:jc w:val="both"/>
        <w:rPr>
          <w:rFonts w:ascii="Arial" w:hAnsi="Arial" w:cs="Arial"/>
          <w:b/>
          <w:bCs/>
          <w:sz w:val="28"/>
          <w:szCs w:val="28"/>
          <w:u w:val="single"/>
        </w:rPr>
      </w:pPr>
    </w:p>
    <w:p w14:paraId="5F26C317" w14:textId="77777777" w:rsidR="00DA563F" w:rsidRPr="007B4D68" w:rsidRDefault="00DA563F" w:rsidP="00DA563F">
      <w:pPr>
        <w:spacing w:line="360" w:lineRule="auto"/>
        <w:jc w:val="both"/>
        <w:rPr>
          <w:rFonts w:ascii="Arial" w:hAnsi="Arial" w:cs="Arial"/>
          <w:b/>
          <w:bCs/>
          <w:sz w:val="28"/>
          <w:szCs w:val="28"/>
          <w:u w:val="single"/>
        </w:rPr>
      </w:pPr>
      <w:r w:rsidRPr="007B4D68">
        <w:rPr>
          <w:rFonts w:ascii="Arial" w:hAnsi="Arial" w:cs="Arial"/>
          <w:b/>
          <w:bCs/>
          <w:sz w:val="28"/>
          <w:szCs w:val="28"/>
          <w:u w:val="single"/>
        </w:rPr>
        <w:t>4. Methodologies of Positive Psychology for the Ageing Process</w:t>
      </w:r>
    </w:p>
    <w:p w14:paraId="6D173C4B" w14:textId="77777777"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Ryff, C.D., and Singer, B. (1998) published an article titled "The contours of positive human health" in the journal Psychological Inquiry, volume 9, issue 1, pages 1–28.</w:t>
      </w:r>
    </w:p>
    <w:p w14:paraId="2F70FB83" w14:textId="77777777" w:rsidR="00DA563F" w:rsidRPr="00DA563F" w:rsidRDefault="00DA563F" w:rsidP="00DA563F">
      <w:pPr>
        <w:spacing w:line="360" w:lineRule="auto"/>
        <w:jc w:val="both"/>
        <w:rPr>
          <w:rFonts w:ascii="Arial" w:hAnsi="Arial" w:cs="Arial"/>
          <w:sz w:val="22"/>
          <w:szCs w:val="22"/>
        </w:rPr>
      </w:pPr>
    </w:p>
    <w:p w14:paraId="1C6DAA95" w14:textId="2CE49269" w:rsidR="00DA563F" w:rsidRPr="00DA563F" w:rsidRDefault="00DA563F" w:rsidP="00DA563F">
      <w:pPr>
        <w:spacing w:line="360" w:lineRule="auto"/>
        <w:jc w:val="both"/>
        <w:rPr>
          <w:rFonts w:ascii="Arial" w:hAnsi="Arial" w:cs="Arial"/>
          <w:sz w:val="22"/>
          <w:szCs w:val="22"/>
        </w:rPr>
      </w:pPr>
      <w:r w:rsidRPr="00DA563F">
        <w:rPr>
          <w:rFonts w:ascii="Arial" w:hAnsi="Arial" w:cs="Arial"/>
          <w:sz w:val="22"/>
          <w:szCs w:val="22"/>
        </w:rPr>
        <w:t xml:space="preserve">By placing an emphasis on positive elements like as autonomy, purpose, and resilience, Ryff and Singer's approach </w:t>
      </w:r>
      <w:r w:rsidR="007B4D68" w:rsidRPr="00DA563F">
        <w:rPr>
          <w:rFonts w:ascii="Arial" w:hAnsi="Arial" w:cs="Arial"/>
          <w:sz w:val="22"/>
          <w:szCs w:val="22"/>
        </w:rPr>
        <w:t>go</w:t>
      </w:r>
      <w:r w:rsidRPr="00DA563F">
        <w:rPr>
          <w:rFonts w:ascii="Arial" w:hAnsi="Arial" w:cs="Arial"/>
          <w:sz w:val="22"/>
          <w:szCs w:val="22"/>
        </w:rPr>
        <w:t xml:space="preserve"> beyond deficit-based perspectives on the ageing process. Their six-factor model of psychological health is frequently used to define treatments that build strengths, purpose, and engagement in later life. This model was developed by psychology researchers.</w:t>
      </w:r>
    </w:p>
    <w:p w14:paraId="3635CF60" w14:textId="77777777" w:rsidR="00DA563F" w:rsidRPr="00DA563F" w:rsidRDefault="00DA563F" w:rsidP="00DA563F">
      <w:pPr>
        <w:spacing w:line="360" w:lineRule="auto"/>
        <w:jc w:val="both"/>
        <w:rPr>
          <w:rFonts w:ascii="Arial" w:hAnsi="Arial" w:cs="Arial"/>
          <w:sz w:val="22"/>
          <w:szCs w:val="22"/>
        </w:rPr>
      </w:pPr>
    </w:p>
    <w:p w14:paraId="677D1361" w14:textId="2A5C6FE3" w:rsidR="00002B6D" w:rsidRPr="00002B6D" w:rsidRDefault="00DA563F" w:rsidP="00DA563F">
      <w:pPr>
        <w:spacing w:line="360" w:lineRule="auto"/>
        <w:jc w:val="both"/>
        <w:rPr>
          <w:rFonts w:ascii="Arial" w:hAnsi="Arial" w:cs="Arial"/>
          <w:sz w:val="22"/>
          <w:szCs w:val="22"/>
        </w:rPr>
      </w:pPr>
      <w:r w:rsidRPr="00DA563F">
        <w:rPr>
          <w:rFonts w:ascii="Arial" w:hAnsi="Arial" w:cs="Arial"/>
          <w:sz w:val="22"/>
          <w:szCs w:val="22"/>
        </w:rPr>
        <w:lastRenderedPageBreak/>
        <w:t xml:space="preserve">Positive psychology therapies have the potential to improve the quality of life for residents in care homes by concentrating on the residents' strengths, appreciation, and meaningful activities rather than only addressing the residents' disease or decline. However, </w:t>
      </w:r>
      <w:r w:rsidR="007B4D68" w:rsidRPr="00DA563F">
        <w:rPr>
          <w:rFonts w:ascii="Arial" w:hAnsi="Arial" w:cs="Arial"/>
          <w:sz w:val="22"/>
          <w:szCs w:val="22"/>
        </w:rPr>
        <w:t>for</w:t>
      </w:r>
      <w:r w:rsidRPr="00DA563F">
        <w:rPr>
          <w:rFonts w:ascii="Arial" w:hAnsi="Arial" w:cs="Arial"/>
          <w:sz w:val="22"/>
          <w:szCs w:val="22"/>
        </w:rPr>
        <w:t xml:space="preserve"> these methods to be effective, they need to be adapted to the specific capabilities and preferences of </w:t>
      </w:r>
      <w:r w:rsidR="0040292F" w:rsidRPr="00DA563F">
        <w:rPr>
          <w:rFonts w:ascii="Arial" w:hAnsi="Arial" w:cs="Arial"/>
          <w:sz w:val="22"/>
          <w:szCs w:val="22"/>
        </w:rPr>
        <w:t>everyone</w:t>
      </w:r>
      <w:r w:rsidRPr="00DA563F">
        <w:rPr>
          <w:rFonts w:ascii="Arial" w:hAnsi="Arial" w:cs="Arial"/>
          <w:sz w:val="22"/>
          <w:szCs w:val="22"/>
        </w:rPr>
        <w:t>, particularly for individuals who are suffering from terminal disease or cognitive impairment.</w:t>
      </w:r>
    </w:p>
    <w:p w14:paraId="31E3DB6F" w14:textId="77777777" w:rsidR="00002B6D" w:rsidRDefault="00002B6D" w:rsidP="00002B6D">
      <w:pPr>
        <w:spacing w:line="360" w:lineRule="auto"/>
        <w:jc w:val="both"/>
        <w:rPr>
          <w:rFonts w:ascii="Arial" w:hAnsi="Arial" w:cs="Arial"/>
          <w:b/>
          <w:bCs/>
          <w:sz w:val="28"/>
          <w:szCs w:val="28"/>
          <w:u w:val="single"/>
        </w:rPr>
      </w:pPr>
    </w:p>
    <w:p w14:paraId="1F41203D" w14:textId="5F9DE4EF" w:rsidR="007B4D68" w:rsidRPr="00922EAD" w:rsidRDefault="00F402E1" w:rsidP="00002B6D">
      <w:pPr>
        <w:spacing w:line="360" w:lineRule="auto"/>
        <w:jc w:val="both"/>
        <w:rPr>
          <w:rFonts w:ascii="Arial" w:hAnsi="Arial" w:cs="Arial"/>
          <w:b/>
          <w:bCs/>
          <w:sz w:val="28"/>
          <w:szCs w:val="28"/>
          <w:u w:val="single"/>
        </w:rPr>
      </w:pPr>
      <w:r w:rsidRPr="00922EAD">
        <w:rPr>
          <w:rFonts w:ascii="Arial" w:hAnsi="Arial" w:cs="Arial"/>
          <w:b/>
          <w:bCs/>
          <w:sz w:val="28"/>
          <w:szCs w:val="28"/>
          <w:u w:val="single"/>
        </w:rPr>
        <w:t xml:space="preserve">Part </w:t>
      </w:r>
      <w:r w:rsidR="00922EAD" w:rsidRPr="00922EAD">
        <w:rPr>
          <w:rFonts w:ascii="Arial" w:hAnsi="Arial" w:cs="Arial"/>
          <w:b/>
          <w:bCs/>
          <w:sz w:val="28"/>
          <w:szCs w:val="28"/>
          <w:u w:val="single"/>
        </w:rPr>
        <w:t>B: Short</w:t>
      </w:r>
      <w:r w:rsidR="00EB053F" w:rsidRPr="00922EAD">
        <w:rPr>
          <w:rFonts w:ascii="Arial" w:hAnsi="Arial" w:cs="Arial"/>
          <w:b/>
          <w:bCs/>
          <w:sz w:val="28"/>
          <w:szCs w:val="28"/>
          <w:u w:val="single"/>
        </w:rPr>
        <w:t xml:space="preserve"> Report</w:t>
      </w:r>
    </w:p>
    <w:p w14:paraId="327ACEF4" w14:textId="77777777" w:rsidR="007B4D68" w:rsidRDefault="007B4D68" w:rsidP="00002B6D">
      <w:pPr>
        <w:spacing w:line="360" w:lineRule="auto"/>
        <w:jc w:val="both"/>
        <w:rPr>
          <w:rFonts w:ascii="Arial" w:hAnsi="Arial" w:cs="Arial"/>
          <w:b/>
          <w:bCs/>
          <w:sz w:val="28"/>
          <w:szCs w:val="28"/>
          <w:u w:val="single"/>
        </w:rPr>
      </w:pPr>
    </w:p>
    <w:p w14:paraId="7D593E39" w14:textId="77777777" w:rsidR="0040292F" w:rsidRPr="0040292F" w:rsidRDefault="0040292F" w:rsidP="0040292F">
      <w:pPr>
        <w:spacing w:line="360" w:lineRule="auto"/>
        <w:jc w:val="both"/>
        <w:rPr>
          <w:rFonts w:ascii="Arial" w:hAnsi="Arial" w:cs="Arial"/>
          <w:b/>
          <w:bCs/>
          <w:sz w:val="28"/>
          <w:szCs w:val="28"/>
          <w:u w:val="single"/>
        </w:rPr>
      </w:pPr>
      <w:r w:rsidRPr="0040292F">
        <w:rPr>
          <w:rFonts w:ascii="Arial" w:hAnsi="Arial" w:cs="Arial"/>
          <w:b/>
          <w:bCs/>
          <w:sz w:val="28"/>
          <w:szCs w:val="28"/>
          <w:u w:val="single"/>
        </w:rPr>
        <w:t>Utilising Erikson’s Psychosocial Theory to Improve Wellbeing in Residential Care</w:t>
      </w:r>
    </w:p>
    <w:p w14:paraId="63B4FB07" w14:textId="77777777" w:rsidR="0040292F" w:rsidRPr="0040292F" w:rsidRDefault="0040292F" w:rsidP="0040292F">
      <w:pPr>
        <w:spacing w:line="360" w:lineRule="auto"/>
        <w:jc w:val="both"/>
        <w:rPr>
          <w:rFonts w:ascii="Arial" w:hAnsi="Arial" w:cs="Arial"/>
          <w:b/>
          <w:bCs/>
          <w:u w:val="single"/>
        </w:rPr>
      </w:pPr>
    </w:p>
    <w:p w14:paraId="310F3228" w14:textId="0493F2CB" w:rsidR="0040292F" w:rsidRPr="0040292F" w:rsidRDefault="0040292F" w:rsidP="0040292F">
      <w:pPr>
        <w:spacing w:line="360" w:lineRule="auto"/>
        <w:jc w:val="both"/>
        <w:rPr>
          <w:rFonts w:ascii="Arial" w:hAnsi="Arial" w:cs="Arial"/>
          <w:b/>
          <w:bCs/>
          <w:u w:val="single"/>
        </w:rPr>
      </w:pPr>
      <w:r w:rsidRPr="0040292F">
        <w:rPr>
          <w:rFonts w:ascii="Arial" w:hAnsi="Arial" w:cs="Arial"/>
          <w:b/>
          <w:bCs/>
          <w:u w:val="single"/>
        </w:rPr>
        <w:t>Introduction</w:t>
      </w:r>
    </w:p>
    <w:p w14:paraId="2F03F09D" w14:textId="6B360466"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 xml:space="preserve">Enhancing psychological wellness in older individuals is a primary goal in health and social care, especially in residential environments. As individuals age, their psychosocial requirements grow more intricate, shaped by changes such as retirement, bereavement, or deteriorating physical condition. Erik Erikson's psychosocial theory, particularly the eighth and final stage—'integrity vs. despair'—offers a significant foundation for comprehending and fulfilling these requirements. This phase, usually seen in late adulthood, focuses on contemplating one's life and attaining a sense of fulfilment and significance. </w:t>
      </w:r>
      <w:r w:rsidR="00D357FF" w:rsidRPr="00D357FF">
        <w:rPr>
          <w:rFonts w:ascii="Arial" w:hAnsi="Arial" w:cs="Arial"/>
          <w:sz w:val="22"/>
          <w:szCs w:val="22"/>
        </w:rPr>
        <w:t>(Erikson, 1982).</w:t>
      </w:r>
    </w:p>
    <w:p w14:paraId="453286D5" w14:textId="77777777" w:rsidR="0040292F" w:rsidRPr="0040292F" w:rsidRDefault="0040292F" w:rsidP="0040292F">
      <w:pPr>
        <w:spacing w:line="360" w:lineRule="auto"/>
        <w:jc w:val="both"/>
        <w:rPr>
          <w:rFonts w:ascii="Arial" w:hAnsi="Arial" w:cs="Arial"/>
          <w:sz w:val="22"/>
          <w:szCs w:val="22"/>
        </w:rPr>
      </w:pPr>
    </w:p>
    <w:p w14:paraId="3E6B8460" w14:textId="77777777" w:rsidR="0040292F" w:rsidRPr="0040292F" w:rsidRDefault="0040292F" w:rsidP="0040292F">
      <w:pPr>
        <w:spacing w:line="360" w:lineRule="auto"/>
        <w:jc w:val="both"/>
        <w:rPr>
          <w:rFonts w:ascii="Arial" w:hAnsi="Arial" w:cs="Arial"/>
          <w:b/>
          <w:bCs/>
          <w:sz w:val="28"/>
          <w:szCs w:val="28"/>
          <w:u w:val="single"/>
        </w:rPr>
      </w:pPr>
      <w:r w:rsidRPr="0040292F">
        <w:rPr>
          <w:rFonts w:ascii="Arial" w:hAnsi="Arial" w:cs="Arial"/>
          <w:b/>
          <w:bCs/>
          <w:sz w:val="28"/>
          <w:szCs w:val="28"/>
          <w:u w:val="single"/>
        </w:rPr>
        <w:t>Implementation of the Theory</w:t>
      </w:r>
    </w:p>
    <w:p w14:paraId="3DC23F67" w14:textId="4C655CEA"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Erikson's 'integrity vs. despair' stage emphasises the significance of life review, when older persons assess their history, reconcile accomplishments and failings, and synthesise these experiences into a unified self-concept. Health and social care workers can effectively facilitate this growth process through well-crafted interventions:</w:t>
      </w:r>
      <w:r w:rsidR="00D357FF" w:rsidRPr="00D357FF">
        <w:rPr>
          <w:rFonts w:ascii="Arial" w:hAnsi="Arial" w:cs="Arial"/>
          <w:sz w:val="22"/>
          <w:szCs w:val="22"/>
        </w:rPr>
        <w:t xml:space="preserve"> (Westerhof et al., 2010).</w:t>
      </w:r>
    </w:p>
    <w:p w14:paraId="600714CE" w14:textId="77777777" w:rsidR="0040292F" w:rsidRPr="0040292F" w:rsidRDefault="0040292F" w:rsidP="0040292F">
      <w:pPr>
        <w:spacing w:line="360" w:lineRule="auto"/>
        <w:jc w:val="both"/>
        <w:rPr>
          <w:rFonts w:ascii="Arial" w:hAnsi="Arial" w:cs="Arial"/>
          <w:b/>
          <w:bCs/>
          <w:sz w:val="22"/>
          <w:szCs w:val="22"/>
          <w:u w:val="single"/>
        </w:rPr>
      </w:pPr>
    </w:p>
    <w:p w14:paraId="0AB5FA22" w14:textId="303CD23B" w:rsidR="0040292F" w:rsidRPr="0040292F" w:rsidRDefault="0040292F" w:rsidP="0040292F">
      <w:pPr>
        <w:spacing w:line="360" w:lineRule="auto"/>
        <w:jc w:val="both"/>
        <w:rPr>
          <w:rFonts w:ascii="Arial" w:hAnsi="Arial" w:cs="Arial"/>
          <w:sz w:val="22"/>
          <w:szCs w:val="22"/>
        </w:rPr>
      </w:pPr>
      <w:r w:rsidRPr="0040292F">
        <w:rPr>
          <w:rFonts w:ascii="Arial" w:hAnsi="Arial" w:cs="Arial"/>
          <w:b/>
          <w:bCs/>
          <w:sz w:val="22"/>
          <w:szCs w:val="22"/>
          <w:u w:val="single"/>
        </w:rPr>
        <w:t>Facilitating remembrance activities</w:t>
      </w:r>
      <w:r w:rsidRPr="0040292F">
        <w:rPr>
          <w:rFonts w:ascii="Arial" w:hAnsi="Arial" w:cs="Arial"/>
          <w:sz w:val="22"/>
          <w:szCs w:val="22"/>
        </w:rPr>
        <w:t>: Organised group sessions that promote residents to recount narratives, memories, and personal accomplishments may be exceedingly advantageous. These activities facilitate social contact and allow individuals to contemplate and validate the significance of their own life experiences. This procedure has demonstrated efficacy in diminishing depressed symptoms and enhancing life satisfaction.</w:t>
      </w:r>
      <w:r w:rsidR="00D357FF" w:rsidRPr="00D357FF">
        <w:rPr>
          <w:rFonts w:ascii="Arial" w:hAnsi="Arial" w:cs="Arial"/>
          <w:sz w:val="22"/>
          <w:szCs w:val="22"/>
        </w:rPr>
        <w:t xml:space="preserve"> (Allen et al., 2008).</w:t>
      </w:r>
    </w:p>
    <w:p w14:paraId="02498EEC" w14:textId="77777777" w:rsidR="0040292F" w:rsidRPr="0040292F" w:rsidRDefault="0040292F" w:rsidP="0040292F">
      <w:pPr>
        <w:spacing w:line="360" w:lineRule="auto"/>
        <w:jc w:val="both"/>
        <w:rPr>
          <w:rFonts w:ascii="Arial" w:hAnsi="Arial" w:cs="Arial"/>
          <w:b/>
          <w:bCs/>
          <w:sz w:val="22"/>
          <w:szCs w:val="22"/>
          <w:u w:val="single"/>
        </w:rPr>
      </w:pPr>
    </w:p>
    <w:p w14:paraId="5AFC996C" w14:textId="6B568372" w:rsidR="0040292F" w:rsidRPr="0040292F" w:rsidRDefault="0040292F" w:rsidP="0040292F">
      <w:pPr>
        <w:spacing w:line="360" w:lineRule="auto"/>
        <w:jc w:val="both"/>
        <w:rPr>
          <w:rFonts w:ascii="Arial" w:hAnsi="Arial" w:cs="Arial"/>
          <w:sz w:val="22"/>
          <w:szCs w:val="22"/>
        </w:rPr>
      </w:pPr>
      <w:r w:rsidRPr="0040292F">
        <w:rPr>
          <w:rFonts w:ascii="Arial" w:hAnsi="Arial" w:cs="Arial"/>
          <w:b/>
          <w:bCs/>
          <w:sz w:val="22"/>
          <w:szCs w:val="22"/>
          <w:u w:val="single"/>
        </w:rPr>
        <w:lastRenderedPageBreak/>
        <w:t>Promoting creative legacy initiatives:</w:t>
      </w:r>
      <w:r w:rsidRPr="0040292F">
        <w:rPr>
          <w:rFonts w:ascii="Arial" w:hAnsi="Arial" w:cs="Arial"/>
          <w:sz w:val="22"/>
          <w:szCs w:val="22"/>
        </w:rPr>
        <w:t xml:space="preserve"> Endeavours such as authoring memoirs, assembling family picture collections, or documenting oral histories enable locals to chronicle their experiences for posterity. Participating in legacy work may foster a sense of achievement and affirm the notion that their life </w:t>
      </w:r>
      <w:proofErr w:type="gramStart"/>
      <w:r w:rsidRPr="0040292F">
        <w:rPr>
          <w:rFonts w:ascii="Arial" w:hAnsi="Arial" w:cs="Arial"/>
          <w:sz w:val="22"/>
          <w:szCs w:val="22"/>
        </w:rPr>
        <w:t>have</w:t>
      </w:r>
      <w:proofErr w:type="gramEnd"/>
      <w:r w:rsidRPr="0040292F">
        <w:rPr>
          <w:rFonts w:ascii="Arial" w:hAnsi="Arial" w:cs="Arial"/>
          <w:sz w:val="22"/>
          <w:szCs w:val="22"/>
        </w:rPr>
        <w:t xml:space="preserve"> had a significant impact.</w:t>
      </w:r>
      <w:r w:rsidR="00D357FF" w:rsidRPr="00D357FF">
        <w:t xml:space="preserve"> </w:t>
      </w:r>
      <w:r w:rsidR="00D357FF" w:rsidRPr="00D357FF">
        <w:rPr>
          <w:rFonts w:ascii="Arial" w:hAnsi="Arial" w:cs="Arial"/>
          <w:sz w:val="22"/>
          <w:szCs w:val="22"/>
        </w:rPr>
        <w:t xml:space="preserve">(Pinquart </w:t>
      </w:r>
      <w:r w:rsidR="00D357FF">
        <w:rPr>
          <w:rFonts w:ascii="Arial" w:hAnsi="Arial" w:cs="Arial"/>
          <w:sz w:val="22"/>
          <w:szCs w:val="22"/>
        </w:rPr>
        <w:t xml:space="preserve">and </w:t>
      </w:r>
      <w:r w:rsidR="00D357FF" w:rsidRPr="00D357FF">
        <w:rPr>
          <w:rFonts w:ascii="Arial" w:hAnsi="Arial" w:cs="Arial"/>
          <w:sz w:val="22"/>
          <w:szCs w:val="22"/>
        </w:rPr>
        <w:t>Forstmeier, 2012).</w:t>
      </w:r>
    </w:p>
    <w:p w14:paraId="2796AC17" w14:textId="77777777" w:rsidR="0040292F" w:rsidRPr="0040292F" w:rsidRDefault="0040292F" w:rsidP="0040292F">
      <w:pPr>
        <w:spacing w:line="360" w:lineRule="auto"/>
        <w:jc w:val="both"/>
        <w:rPr>
          <w:rFonts w:ascii="Arial" w:hAnsi="Arial" w:cs="Arial"/>
          <w:b/>
          <w:bCs/>
          <w:sz w:val="22"/>
          <w:szCs w:val="22"/>
          <w:u w:val="single"/>
        </w:rPr>
      </w:pPr>
    </w:p>
    <w:p w14:paraId="5A54AF64" w14:textId="53219909" w:rsidR="0040292F" w:rsidRPr="0040292F" w:rsidRDefault="0040292F" w:rsidP="0040292F">
      <w:pPr>
        <w:spacing w:line="360" w:lineRule="auto"/>
        <w:jc w:val="both"/>
        <w:rPr>
          <w:rFonts w:ascii="Arial" w:hAnsi="Arial" w:cs="Arial"/>
          <w:sz w:val="22"/>
          <w:szCs w:val="22"/>
        </w:rPr>
      </w:pPr>
      <w:r w:rsidRPr="0040292F">
        <w:rPr>
          <w:rFonts w:ascii="Arial" w:hAnsi="Arial" w:cs="Arial"/>
          <w:b/>
          <w:bCs/>
          <w:sz w:val="22"/>
          <w:szCs w:val="22"/>
          <w:u w:val="single"/>
        </w:rPr>
        <w:t xml:space="preserve">Facilitating intergenerational connections: </w:t>
      </w:r>
      <w:r w:rsidRPr="0040292F">
        <w:rPr>
          <w:rFonts w:ascii="Arial" w:hAnsi="Arial" w:cs="Arial"/>
          <w:sz w:val="22"/>
          <w:szCs w:val="22"/>
        </w:rPr>
        <w:t>Opportunities for older folks to mentor or engage with younger individuals—such as through school visits, storytelling sessions, or collaborative art projects—can enhance their sense of wisdom, worth, and belonging. These encounters assist older persons while simultaneously enriching the lives of younger participants through the transmission of information and life lessons across generations.</w:t>
      </w:r>
      <w:r w:rsidR="00D357FF" w:rsidRPr="00D357FF">
        <w:t xml:space="preserve"> </w:t>
      </w:r>
      <w:r w:rsidR="00D357FF" w:rsidRPr="00D357FF">
        <w:rPr>
          <w:rFonts w:ascii="Arial" w:hAnsi="Arial" w:cs="Arial"/>
          <w:sz w:val="22"/>
          <w:szCs w:val="22"/>
        </w:rPr>
        <w:t xml:space="preserve">(Westerhof </w:t>
      </w:r>
      <w:r w:rsidR="00D357FF">
        <w:rPr>
          <w:rFonts w:ascii="Arial" w:hAnsi="Arial" w:cs="Arial"/>
          <w:sz w:val="22"/>
          <w:szCs w:val="22"/>
        </w:rPr>
        <w:t>and</w:t>
      </w:r>
      <w:r w:rsidR="00D357FF" w:rsidRPr="00D357FF">
        <w:rPr>
          <w:rFonts w:ascii="Arial" w:hAnsi="Arial" w:cs="Arial"/>
          <w:sz w:val="22"/>
          <w:szCs w:val="22"/>
        </w:rPr>
        <w:t xml:space="preserve"> Bohlmeijer, 2014).</w:t>
      </w:r>
    </w:p>
    <w:p w14:paraId="7DD982A4" w14:textId="77777777" w:rsidR="0040292F" w:rsidRPr="0040292F" w:rsidRDefault="0040292F" w:rsidP="0040292F">
      <w:pPr>
        <w:spacing w:line="360" w:lineRule="auto"/>
        <w:jc w:val="both"/>
        <w:rPr>
          <w:rFonts w:ascii="Arial" w:hAnsi="Arial" w:cs="Arial"/>
          <w:sz w:val="22"/>
          <w:szCs w:val="22"/>
        </w:rPr>
      </w:pPr>
    </w:p>
    <w:p w14:paraId="1C75BC53" w14:textId="77777777"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The execution of these treatments corresponds with Erikson’s focus on attaining ego integrity by assisting residents in validating their life experiences, reconciling regrets, and discovering significance in later life. Studies have consistently associated life review therapies with improved psychological outcomes, such as less loneliness, more self-acceptance, and higher general wellbeing.</w:t>
      </w:r>
    </w:p>
    <w:p w14:paraId="6BC6819C" w14:textId="77777777" w:rsidR="0040292F" w:rsidRPr="0040292F" w:rsidRDefault="0040292F" w:rsidP="0040292F">
      <w:pPr>
        <w:spacing w:line="360" w:lineRule="auto"/>
        <w:jc w:val="both"/>
        <w:rPr>
          <w:rFonts w:ascii="Arial" w:hAnsi="Arial" w:cs="Arial"/>
          <w:sz w:val="22"/>
          <w:szCs w:val="22"/>
        </w:rPr>
      </w:pPr>
    </w:p>
    <w:p w14:paraId="3967261F" w14:textId="77777777" w:rsidR="0040292F" w:rsidRPr="0040292F" w:rsidRDefault="0040292F" w:rsidP="0040292F">
      <w:pPr>
        <w:spacing w:line="360" w:lineRule="auto"/>
        <w:jc w:val="both"/>
        <w:rPr>
          <w:rFonts w:ascii="Arial" w:hAnsi="Arial" w:cs="Arial"/>
          <w:b/>
          <w:bCs/>
          <w:sz w:val="28"/>
          <w:szCs w:val="28"/>
          <w:u w:val="single"/>
        </w:rPr>
      </w:pPr>
      <w:r w:rsidRPr="0040292F">
        <w:rPr>
          <w:rFonts w:ascii="Arial" w:hAnsi="Arial" w:cs="Arial"/>
          <w:b/>
          <w:bCs/>
          <w:sz w:val="28"/>
          <w:szCs w:val="28"/>
          <w:u w:val="single"/>
        </w:rPr>
        <w:t>Case Scenario</w:t>
      </w:r>
    </w:p>
    <w:p w14:paraId="452E5531" w14:textId="3D1A9D6C"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Examine the situation of Mrs. B, an 83-year-old woman who has recently relocated to a residential care facility. Upon arriving, Mrs. B articulated sentiments of remorse and isolation, conveying a sense of bereavement over her autonomy and social relationships. Upon identifying these indicators of psychological suffering, the care team extended an invitation for her to participate in a weekly recollection group. During these sessions, Mrs. B recounted anecdotes from her teaching career and her international trips. While recounting these experiences, she cultivated new connections and a revitalised feeling of pride in her achievements. Gradually, Mrs. B expressed an increasing sense of positivity and optimism toward her life, indicating a successful progression towards integrity as outlined in Erikson’s theory. This scenario demonstrates the practical implementation of life review strategies to enhance the psychological wellness of elderly individuals in care environments.</w:t>
      </w:r>
      <w:r w:rsidR="00D357FF" w:rsidRPr="00D357FF">
        <w:t xml:space="preserve"> </w:t>
      </w:r>
      <w:r w:rsidR="00D357FF">
        <w:t>(</w:t>
      </w:r>
      <w:r w:rsidR="00D357FF" w:rsidRPr="00D357FF">
        <w:rPr>
          <w:rFonts w:ascii="Arial" w:hAnsi="Arial" w:cs="Arial"/>
          <w:sz w:val="22"/>
          <w:szCs w:val="22"/>
        </w:rPr>
        <w:t xml:space="preserve">Sadler </w:t>
      </w:r>
      <w:r w:rsidR="00D357FF">
        <w:rPr>
          <w:rFonts w:ascii="Arial" w:hAnsi="Arial" w:cs="Arial"/>
          <w:sz w:val="22"/>
          <w:szCs w:val="22"/>
        </w:rPr>
        <w:t xml:space="preserve">and </w:t>
      </w:r>
      <w:r w:rsidR="00D357FF" w:rsidRPr="00D357FF">
        <w:rPr>
          <w:rFonts w:ascii="Arial" w:hAnsi="Arial" w:cs="Arial"/>
          <w:sz w:val="22"/>
          <w:szCs w:val="22"/>
        </w:rPr>
        <w:t>Biggs, 2006).</w:t>
      </w:r>
    </w:p>
    <w:p w14:paraId="1D872227" w14:textId="77777777" w:rsidR="0040292F" w:rsidRPr="0040292F" w:rsidRDefault="0040292F" w:rsidP="0040292F">
      <w:pPr>
        <w:spacing w:line="360" w:lineRule="auto"/>
        <w:jc w:val="both"/>
        <w:rPr>
          <w:rFonts w:ascii="Arial" w:hAnsi="Arial" w:cs="Arial"/>
          <w:b/>
          <w:bCs/>
          <w:u w:val="single"/>
        </w:rPr>
      </w:pPr>
    </w:p>
    <w:p w14:paraId="6435F47A" w14:textId="77777777" w:rsidR="0040292F" w:rsidRPr="0040292F" w:rsidRDefault="0040292F" w:rsidP="0040292F">
      <w:pPr>
        <w:spacing w:line="360" w:lineRule="auto"/>
        <w:jc w:val="both"/>
        <w:rPr>
          <w:rFonts w:ascii="Arial" w:hAnsi="Arial" w:cs="Arial"/>
          <w:b/>
          <w:bCs/>
          <w:u w:val="single"/>
        </w:rPr>
      </w:pPr>
      <w:r w:rsidRPr="0040292F">
        <w:rPr>
          <w:rFonts w:ascii="Arial" w:hAnsi="Arial" w:cs="Arial"/>
          <w:b/>
          <w:bCs/>
          <w:u w:val="single"/>
        </w:rPr>
        <w:t>Challenge and Strategy</w:t>
      </w:r>
    </w:p>
    <w:p w14:paraId="04F0E303" w14:textId="47CAFBBE"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Challenge: Notwithstanding the advantages, several residents may be hesitant or unable of participating in life review activities. Factors contributing to this resistance may encompass painful or traumatic recollections, cognitive deficits such as dementia, or cultural attitudes that inhibit candid discourse on personal history</w:t>
      </w:r>
    </w:p>
    <w:p w14:paraId="284192C7" w14:textId="20A7288A" w:rsidR="0040292F" w:rsidRPr="0040292F" w:rsidRDefault="00D357FF" w:rsidP="0040292F">
      <w:pPr>
        <w:spacing w:line="360" w:lineRule="auto"/>
        <w:jc w:val="both"/>
        <w:rPr>
          <w:rFonts w:ascii="Arial" w:hAnsi="Arial" w:cs="Arial"/>
          <w:sz w:val="22"/>
          <w:szCs w:val="22"/>
        </w:rPr>
      </w:pPr>
      <w:r w:rsidRPr="00D357FF">
        <w:rPr>
          <w:rFonts w:ascii="Arial" w:hAnsi="Arial" w:cs="Arial"/>
          <w:sz w:val="22"/>
          <w:szCs w:val="22"/>
        </w:rPr>
        <w:t>(Allen et al, 2008).</w:t>
      </w:r>
    </w:p>
    <w:p w14:paraId="6220CD7B" w14:textId="77777777" w:rsidR="0040292F" w:rsidRDefault="0040292F" w:rsidP="0040292F">
      <w:pPr>
        <w:spacing w:line="360" w:lineRule="auto"/>
        <w:jc w:val="both"/>
        <w:rPr>
          <w:rFonts w:ascii="Arial" w:hAnsi="Arial" w:cs="Arial"/>
          <w:sz w:val="22"/>
          <w:szCs w:val="22"/>
        </w:rPr>
      </w:pPr>
      <w:r w:rsidRPr="0040292F">
        <w:rPr>
          <w:rFonts w:ascii="Arial" w:hAnsi="Arial" w:cs="Arial"/>
          <w:b/>
          <w:bCs/>
          <w:sz w:val="22"/>
          <w:szCs w:val="22"/>
          <w:u w:val="single"/>
        </w:rPr>
        <w:lastRenderedPageBreak/>
        <w:t>Strategy:</w:t>
      </w:r>
      <w:r w:rsidRPr="0040292F">
        <w:rPr>
          <w:rFonts w:ascii="Arial" w:hAnsi="Arial" w:cs="Arial"/>
          <w:sz w:val="22"/>
          <w:szCs w:val="22"/>
        </w:rPr>
        <w:t xml:space="preserve"> </w:t>
      </w:r>
    </w:p>
    <w:p w14:paraId="76A8A7F8" w14:textId="31C6534F"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 xml:space="preserve">To mitigate these obstacles, healthcare providers </w:t>
      </w:r>
      <w:r w:rsidR="007D6CCF" w:rsidRPr="0040292F">
        <w:rPr>
          <w:rFonts w:ascii="Arial" w:hAnsi="Arial" w:cs="Arial"/>
          <w:sz w:val="22"/>
          <w:szCs w:val="22"/>
        </w:rPr>
        <w:t>must</w:t>
      </w:r>
      <w:r w:rsidRPr="0040292F">
        <w:rPr>
          <w:rFonts w:ascii="Arial" w:hAnsi="Arial" w:cs="Arial"/>
          <w:sz w:val="22"/>
          <w:szCs w:val="22"/>
        </w:rPr>
        <w:t xml:space="preserve"> use a person-centred and trauma-informed methodology. This encompasses:</w:t>
      </w:r>
    </w:p>
    <w:p w14:paraId="3F40C077" w14:textId="77777777" w:rsidR="0040292F" w:rsidRPr="0040292F" w:rsidRDefault="0040292F" w:rsidP="0040292F">
      <w:pPr>
        <w:spacing w:line="360" w:lineRule="auto"/>
        <w:jc w:val="both"/>
        <w:rPr>
          <w:rFonts w:ascii="Arial" w:hAnsi="Arial" w:cs="Arial"/>
          <w:sz w:val="22"/>
          <w:szCs w:val="22"/>
        </w:rPr>
      </w:pPr>
    </w:p>
    <w:p w14:paraId="32247A4F" w14:textId="77777777"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Honouring individual preferences: Permitting residents to dictate the emphasis, tempo, and intensity of recollection activities guarantees their sense of safety and autonomy. Some individuals may find solace in concentrating on happy memories or accomplishments, but others could gain from addressing challenging situations with suitable assistance.</w:t>
      </w:r>
    </w:p>
    <w:p w14:paraId="3C7503D0" w14:textId="77777777" w:rsidR="0040292F" w:rsidRPr="0040292F" w:rsidRDefault="0040292F" w:rsidP="0040292F">
      <w:pPr>
        <w:spacing w:line="360" w:lineRule="auto"/>
        <w:jc w:val="both"/>
        <w:rPr>
          <w:rFonts w:ascii="Arial" w:hAnsi="Arial" w:cs="Arial"/>
          <w:sz w:val="22"/>
          <w:szCs w:val="22"/>
        </w:rPr>
      </w:pPr>
    </w:p>
    <w:p w14:paraId="7020179A" w14:textId="77777777" w:rsidR="0040292F" w:rsidRPr="0040292F" w:rsidRDefault="0040292F" w:rsidP="0040292F">
      <w:pPr>
        <w:spacing w:line="360" w:lineRule="auto"/>
        <w:jc w:val="both"/>
        <w:rPr>
          <w:rFonts w:ascii="Arial" w:hAnsi="Arial" w:cs="Arial"/>
          <w:sz w:val="22"/>
          <w:szCs w:val="22"/>
        </w:rPr>
      </w:pPr>
      <w:r w:rsidRPr="0040292F">
        <w:rPr>
          <w:rFonts w:ascii="Arial" w:hAnsi="Arial" w:cs="Arial"/>
          <w:b/>
          <w:bCs/>
          <w:sz w:val="22"/>
          <w:szCs w:val="22"/>
          <w:u w:val="single"/>
        </w:rPr>
        <w:t>Modifying interventions</w:t>
      </w:r>
      <w:r w:rsidRPr="0040292F">
        <w:rPr>
          <w:rFonts w:ascii="Arial" w:hAnsi="Arial" w:cs="Arial"/>
          <w:sz w:val="22"/>
          <w:szCs w:val="22"/>
        </w:rPr>
        <w:t>: For those with memory loss or cognitive limitations, employing sensory cues such as music, images, familiar objects, or fragrances can enhance engagement and elicit significant memories. Streamlining activities or offering individualised help may enhance accessibility.</w:t>
      </w:r>
    </w:p>
    <w:p w14:paraId="1A36755F" w14:textId="77777777" w:rsidR="0040292F" w:rsidRPr="0040292F" w:rsidRDefault="0040292F" w:rsidP="0040292F">
      <w:pPr>
        <w:spacing w:line="360" w:lineRule="auto"/>
        <w:jc w:val="both"/>
        <w:rPr>
          <w:rFonts w:ascii="Arial" w:hAnsi="Arial" w:cs="Arial"/>
          <w:sz w:val="22"/>
          <w:szCs w:val="22"/>
        </w:rPr>
      </w:pPr>
    </w:p>
    <w:p w14:paraId="36416BE5" w14:textId="69EEBD61" w:rsidR="0040292F" w:rsidRPr="0040292F" w:rsidRDefault="0040292F" w:rsidP="0040292F">
      <w:pPr>
        <w:spacing w:line="360" w:lineRule="auto"/>
        <w:jc w:val="both"/>
        <w:rPr>
          <w:rFonts w:ascii="Arial" w:hAnsi="Arial" w:cs="Arial"/>
          <w:sz w:val="22"/>
          <w:szCs w:val="22"/>
        </w:rPr>
      </w:pPr>
      <w:r w:rsidRPr="0040292F">
        <w:rPr>
          <w:rFonts w:ascii="Arial" w:hAnsi="Arial" w:cs="Arial"/>
          <w:b/>
          <w:bCs/>
          <w:sz w:val="22"/>
          <w:szCs w:val="22"/>
          <w:u w:val="single"/>
        </w:rPr>
        <w:t>Staff training</w:t>
      </w:r>
      <w:r w:rsidRPr="0040292F">
        <w:rPr>
          <w:rFonts w:ascii="Arial" w:hAnsi="Arial" w:cs="Arial"/>
          <w:sz w:val="22"/>
          <w:szCs w:val="22"/>
        </w:rPr>
        <w:t>: It is imperative that all personnel get training in active listening, empathy, and trauma-informed treatment. This cultivates an atmosphere of psychological safety and respect, whereby residents' limits are acknowledged, and their distinct life narratives are appreciated.</w:t>
      </w:r>
    </w:p>
    <w:p w14:paraId="06D4F461" w14:textId="77777777" w:rsidR="0040292F" w:rsidRPr="0040292F" w:rsidRDefault="0040292F" w:rsidP="0040292F">
      <w:pPr>
        <w:spacing w:line="360" w:lineRule="auto"/>
        <w:jc w:val="both"/>
        <w:rPr>
          <w:rFonts w:ascii="Arial" w:hAnsi="Arial" w:cs="Arial"/>
          <w:sz w:val="22"/>
          <w:szCs w:val="22"/>
        </w:rPr>
      </w:pPr>
    </w:p>
    <w:p w14:paraId="32AFEBF4" w14:textId="132AB55F" w:rsidR="0040292F" w:rsidRPr="0040292F" w:rsidRDefault="0040292F" w:rsidP="0040292F">
      <w:pPr>
        <w:spacing w:line="360" w:lineRule="auto"/>
        <w:jc w:val="both"/>
        <w:rPr>
          <w:rFonts w:ascii="Arial" w:hAnsi="Arial" w:cs="Arial"/>
          <w:sz w:val="22"/>
          <w:szCs w:val="22"/>
        </w:rPr>
      </w:pPr>
      <w:r w:rsidRPr="0040292F">
        <w:rPr>
          <w:rFonts w:ascii="Arial" w:hAnsi="Arial" w:cs="Arial"/>
          <w:sz w:val="22"/>
          <w:szCs w:val="22"/>
        </w:rPr>
        <w:t>By employing these tactics, care facilities may provide inclusive and supportive environments that enhance dignity and welfare for all residents, irrespective of their specific histories or requirements</w:t>
      </w:r>
      <w:r w:rsidR="007D6CCF" w:rsidRPr="007D6CCF">
        <w:t xml:space="preserve"> </w:t>
      </w:r>
      <w:r w:rsidR="007D6CCF" w:rsidRPr="007D6CCF">
        <w:rPr>
          <w:rFonts w:ascii="Arial" w:hAnsi="Arial" w:cs="Arial"/>
          <w:sz w:val="22"/>
          <w:szCs w:val="22"/>
        </w:rPr>
        <w:t>(</w:t>
      </w:r>
      <w:proofErr w:type="gramStart"/>
      <w:r w:rsidR="007D6CCF" w:rsidRPr="007D6CCF">
        <w:rPr>
          <w:rFonts w:ascii="Arial" w:hAnsi="Arial" w:cs="Arial"/>
          <w:sz w:val="22"/>
          <w:szCs w:val="22"/>
        </w:rPr>
        <w:t>Sadler  Biggs</w:t>
      </w:r>
      <w:proofErr w:type="gramEnd"/>
      <w:r w:rsidR="007D6CCF" w:rsidRPr="007D6CCF">
        <w:rPr>
          <w:rFonts w:ascii="Arial" w:hAnsi="Arial" w:cs="Arial"/>
          <w:sz w:val="22"/>
          <w:szCs w:val="22"/>
        </w:rPr>
        <w:t>, 2006).</w:t>
      </w:r>
    </w:p>
    <w:p w14:paraId="21FBCAC1" w14:textId="77777777" w:rsidR="0040292F" w:rsidRPr="0040292F" w:rsidRDefault="0040292F" w:rsidP="0040292F">
      <w:pPr>
        <w:spacing w:line="360" w:lineRule="auto"/>
        <w:jc w:val="both"/>
        <w:rPr>
          <w:rFonts w:ascii="Arial" w:hAnsi="Arial" w:cs="Arial"/>
          <w:b/>
          <w:bCs/>
          <w:sz w:val="28"/>
          <w:szCs w:val="28"/>
          <w:u w:val="single"/>
        </w:rPr>
      </w:pPr>
    </w:p>
    <w:p w14:paraId="539E2328" w14:textId="77777777" w:rsidR="0040292F" w:rsidRPr="0040292F" w:rsidRDefault="0040292F" w:rsidP="0040292F">
      <w:pPr>
        <w:spacing w:line="360" w:lineRule="auto"/>
        <w:jc w:val="both"/>
        <w:rPr>
          <w:rFonts w:ascii="Arial" w:hAnsi="Arial" w:cs="Arial"/>
          <w:b/>
          <w:bCs/>
          <w:sz w:val="28"/>
          <w:szCs w:val="28"/>
          <w:u w:val="single"/>
        </w:rPr>
      </w:pPr>
      <w:r w:rsidRPr="0040292F">
        <w:rPr>
          <w:rFonts w:ascii="Arial" w:hAnsi="Arial" w:cs="Arial"/>
          <w:b/>
          <w:bCs/>
          <w:sz w:val="28"/>
          <w:szCs w:val="28"/>
          <w:u w:val="single"/>
        </w:rPr>
        <w:t>Final Assessment</w:t>
      </w:r>
    </w:p>
    <w:p w14:paraId="27835030" w14:textId="759996EC" w:rsidR="00002B6D" w:rsidRPr="00002B6D" w:rsidRDefault="0040292F" w:rsidP="0040292F">
      <w:pPr>
        <w:spacing w:line="360" w:lineRule="auto"/>
        <w:jc w:val="both"/>
        <w:rPr>
          <w:rFonts w:ascii="Arial" w:hAnsi="Arial" w:cs="Arial"/>
          <w:sz w:val="22"/>
          <w:szCs w:val="22"/>
        </w:rPr>
      </w:pPr>
      <w:r w:rsidRPr="0040292F">
        <w:rPr>
          <w:rFonts w:ascii="Arial" w:hAnsi="Arial" w:cs="Arial"/>
          <w:sz w:val="22"/>
          <w:szCs w:val="22"/>
        </w:rPr>
        <w:t>Utilising Erikson’s psychosocial theory, specifically the ‘integrity vs. despair’ stage, provides a solid basis for improving the welfare of elderly individuals in residential care. By engaging in life review, innovative legacy initiatives, and fostering significant social ties, care workers may assist residents in attaining a sense of integrity, alleviating emotions of despair, and enhancing fulfilment in later life. An individualised, empathetic approach is crucial to guarantee that therapies are both successful and respectful of each person's life experience.</w:t>
      </w:r>
      <w:r w:rsidR="007D6CCF" w:rsidRPr="007D6CCF">
        <w:rPr>
          <w:rFonts w:ascii="Arial" w:hAnsi="Arial" w:cs="Arial"/>
          <w:sz w:val="22"/>
          <w:szCs w:val="22"/>
        </w:rPr>
        <w:t xml:space="preserve"> (Erikson, 1982; Westerhof </w:t>
      </w:r>
      <w:r w:rsidR="007D6CCF">
        <w:rPr>
          <w:rFonts w:ascii="Arial" w:hAnsi="Arial" w:cs="Arial"/>
          <w:sz w:val="22"/>
          <w:szCs w:val="22"/>
        </w:rPr>
        <w:t>and</w:t>
      </w:r>
      <w:r w:rsidR="007D6CCF" w:rsidRPr="007D6CCF">
        <w:rPr>
          <w:rFonts w:ascii="Arial" w:hAnsi="Arial" w:cs="Arial"/>
          <w:sz w:val="22"/>
          <w:szCs w:val="22"/>
        </w:rPr>
        <w:t xml:space="preserve"> Bohlmeijer, 2014).</w:t>
      </w:r>
    </w:p>
    <w:p w14:paraId="73A80C70" w14:textId="77777777" w:rsidR="00002B6D" w:rsidRPr="00002B6D" w:rsidRDefault="00002B6D" w:rsidP="00002B6D">
      <w:pPr>
        <w:spacing w:line="360" w:lineRule="auto"/>
        <w:jc w:val="both"/>
        <w:rPr>
          <w:rFonts w:ascii="Arial" w:hAnsi="Arial" w:cs="Arial"/>
          <w:b/>
          <w:bCs/>
          <w:sz w:val="22"/>
          <w:szCs w:val="22"/>
          <w:u w:val="single"/>
        </w:rPr>
      </w:pPr>
    </w:p>
    <w:p w14:paraId="10F21E13" w14:textId="77777777" w:rsidR="00002B6D" w:rsidRPr="00002B6D" w:rsidRDefault="00002B6D" w:rsidP="00002B6D">
      <w:pPr>
        <w:spacing w:line="360" w:lineRule="auto"/>
        <w:jc w:val="both"/>
        <w:rPr>
          <w:rFonts w:ascii="Arial" w:hAnsi="Arial" w:cs="Arial"/>
          <w:b/>
          <w:bCs/>
          <w:sz w:val="22"/>
          <w:szCs w:val="22"/>
          <w:u w:val="single"/>
        </w:rPr>
      </w:pPr>
      <w:r w:rsidRPr="00002B6D">
        <w:rPr>
          <w:rFonts w:ascii="Arial" w:hAnsi="Arial" w:cs="Arial"/>
          <w:b/>
          <w:bCs/>
          <w:sz w:val="22"/>
          <w:szCs w:val="22"/>
          <w:u w:val="single"/>
        </w:rPr>
        <w:t>References</w:t>
      </w:r>
    </w:p>
    <w:p w14:paraId="33787C45" w14:textId="77777777" w:rsidR="00002B6D" w:rsidRPr="00002B6D" w:rsidRDefault="00002B6D" w:rsidP="00002B6D">
      <w:pPr>
        <w:spacing w:line="360" w:lineRule="auto"/>
        <w:jc w:val="both"/>
        <w:rPr>
          <w:rFonts w:ascii="Arial" w:hAnsi="Arial" w:cs="Arial"/>
          <w:sz w:val="22"/>
          <w:szCs w:val="22"/>
        </w:rPr>
      </w:pPr>
      <w:r w:rsidRPr="00002B6D">
        <w:rPr>
          <w:rFonts w:ascii="Arial" w:hAnsi="Arial" w:cs="Arial"/>
          <w:sz w:val="22"/>
          <w:szCs w:val="22"/>
        </w:rPr>
        <w:t>Bowlby, J. (1969) Attachment and Loss: Volume I – Attachment. London: Hogarth Press.</w:t>
      </w:r>
    </w:p>
    <w:p w14:paraId="4556D4D6" w14:textId="77777777" w:rsidR="00D357FF" w:rsidRPr="00D357FF" w:rsidRDefault="00002B6D" w:rsidP="00D357FF">
      <w:pPr>
        <w:spacing w:line="360" w:lineRule="auto"/>
        <w:jc w:val="both"/>
        <w:rPr>
          <w:rFonts w:ascii="Arial" w:hAnsi="Arial" w:cs="Arial"/>
          <w:sz w:val="22"/>
          <w:szCs w:val="22"/>
        </w:rPr>
      </w:pPr>
      <w:r w:rsidRPr="00002B6D">
        <w:rPr>
          <w:rFonts w:ascii="Arial" w:hAnsi="Arial" w:cs="Arial"/>
          <w:sz w:val="22"/>
          <w:szCs w:val="22"/>
        </w:rPr>
        <w:t>Erikson, E.H. (1950) Childhood and Society. New York: W.W. Norton.</w:t>
      </w:r>
    </w:p>
    <w:p w14:paraId="304433D7" w14:textId="2F2FFC8C" w:rsidR="00002B6D" w:rsidRDefault="00D357FF" w:rsidP="00D357FF">
      <w:pPr>
        <w:spacing w:line="360" w:lineRule="auto"/>
        <w:jc w:val="both"/>
        <w:rPr>
          <w:rFonts w:ascii="Arial" w:hAnsi="Arial" w:cs="Arial"/>
          <w:sz w:val="22"/>
          <w:szCs w:val="22"/>
        </w:rPr>
      </w:pPr>
      <w:r w:rsidRPr="00D357FF">
        <w:rPr>
          <w:rFonts w:ascii="Arial" w:hAnsi="Arial" w:cs="Arial"/>
          <w:sz w:val="22"/>
          <w:szCs w:val="22"/>
        </w:rPr>
        <w:lastRenderedPageBreak/>
        <w:t>Erikson, E.H. (1982) The Life Cycle Completed. New York: W.W. Norton &amp; Company.</w:t>
      </w:r>
    </w:p>
    <w:p w14:paraId="55B30C7D" w14:textId="7975F48E" w:rsidR="007D6CCF" w:rsidRDefault="007D6CCF" w:rsidP="00D357FF">
      <w:pPr>
        <w:spacing w:line="360" w:lineRule="auto"/>
        <w:jc w:val="both"/>
        <w:rPr>
          <w:rFonts w:ascii="Arial" w:hAnsi="Arial" w:cs="Arial"/>
          <w:sz w:val="22"/>
          <w:szCs w:val="22"/>
        </w:rPr>
      </w:pPr>
      <w:r w:rsidRPr="007D6CCF">
        <w:rPr>
          <w:rFonts w:ascii="Arial" w:hAnsi="Arial" w:cs="Arial"/>
          <w:sz w:val="22"/>
          <w:szCs w:val="22"/>
        </w:rPr>
        <w:t>Havighurst, R.J. (1961) ‘Successful aging’, The Gerontologist, 1(1), pp. 8–13</w:t>
      </w:r>
    </w:p>
    <w:p w14:paraId="6476F199" w14:textId="1C4FE3BB" w:rsidR="007D6CCF" w:rsidRPr="00002B6D" w:rsidRDefault="00D357FF" w:rsidP="00002B6D">
      <w:pPr>
        <w:spacing w:line="360" w:lineRule="auto"/>
        <w:jc w:val="both"/>
        <w:rPr>
          <w:rFonts w:ascii="Arial" w:hAnsi="Arial" w:cs="Arial"/>
          <w:sz w:val="22"/>
          <w:szCs w:val="22"/>
        </w:rPr>
      </w:pPr>
      <w:r w:rsidRPr="00D357FF">
        <w:rPr>
          <w:rFonts w:ascii="Arial" w:hAnsi="Arial" w:cs="Arial"/>
          <w:sz w:val="22"/>
          <w:szCs w:val="22"/>
        </w:rPr>
        <w:t>Pinquart, M. and Forstmeier, S. (2012) 'Effects of reminiscence interventions on psychosocial outcomes: A meta-analysis', Aging &amp; Mental Health, 16(5), pp. 541-558.</w:t>
      </w:r>
      <w:r w:rsidR="007D6CCF" w:rsidRPr="007D6CCF">
        <w:t xml:space="preserve"> </w:t>
      </w:r>
      <w:r w:rsidR="007D6CCF" w:rsidRPr="007D6CCF">
        <w:rPr>
          <w:rFonts w:ascii="Arial" w:hAnsi="Arial" w:cs="Arial"/>
          <w:sz w:val="22"/>
          <w:szCs w:val="22"/>
        </w:rPr>
        <w:t>Hilgeman, M.M., &amp; DeCoster, J. (2008) 'Legacy activities as interventions approaching the end of life', Journal of Palliative Medicine, 11(7), pp. 1029-1038.</w:t>
      </w:r>
    </w:p>
    <w:p w14:paraId="5D3879A8" w14:textId="3FE0320F" w:rsidR="00D357FF" w:rsidRPr="00D357FF" w:rsidRDefault="00002B6D" w:rsidP="00D357FF">
      <w:pPr>
        <w:spacing w:line="360" w:lineRule="auto"/>
        <w:jc w:val="both"/>
        <w:rPr>
          <w:rFonts w:ascii="Arial" w:hAnsi="Arial" w:cs="Arial"/>
          <w:sz w:val="22"/>
          <w:szCs w:val="22"/>
        </w:rPr>
      </w:pPr>
      <w:r w:rsidRPr="00002B6D">
        <w:rPr>
          <w:rFonts w:ascii="Arial" w:hAnsi="Arial" w:cs="Arial"/>
          <w:sz w:val="22"/>
          <w:szCs w:val="22"/>
        </w:rPr>
        <w:t>Ryff, C.D. and Singer, B. (1998) ‘The contours of positive human health’, Psychological</w:t>
      </w:r>
      <w:r w:rsidR="00D357FF" w:rsidRPr="00D357FF">
        <w:t xml:space="preserve"> </w:t>
      </w:r>
      <w:proofErr w:type="spellStart"/>
      <w:r w:rsidR="00D357FF" w:rsidRPr="00D357FF">
        <w:rPr>
          <w:rFonts w:ascii="Arial" w:hAnsi="Arial" w:cs="Arial"/>
          <w:sz w:val="22"/>
          <w:szCs w:val="22"/>
        </w:rPr>
        <w:t>llen</w:t>
      </w:r>
      <w:proofErr w:type="spellEnd"/>
      <w:r w:rsidR="00D357FF" w:rsidRPr="00D357FF">
        <w:rPr>
          <w:rFonts w:ascii="Arial" w:hAnsi="Arial" w:cs="Arial"/>
          <w:sz w:val="22"/>
          <w:szCs w:val="22"/>
        </w:rPr>
        <w:t xml:space="preserve">, R.S., Allen, J.Y., </w:t>
      </w:r>
    </w:p>
    <w:p w14:paraId="47E47C4B" w14:textId="16ED3AF9" w:rsidR="00D357FF" w:rsidRPr="00D357FF" w:rsidRDefault="00D357FF" w:rsidP="00D357FF">
      <w:pPr>
        <w:spacing w:line="360" w:lineRule="auto"/>
        <w:jc w:val="both"/>
        <w:rPr>
          <w:rFonts w:ascii="Arial" w:hAnsi="Arial" w:cs="Arial"/>
          <w:sz w:val="22"/>
          <w:szCs w:val="22"/>
        </w:rPr>
      </w:pPr>
      <w:r w:rsidRPr="00D357FF">
        <w:rPr>
          <w:rFonts w:ascii="Arial" w:hAnsi="Arial" w:cs="Arial"/>
          <w:sz w:val="22"/>
          <w:szCs w:val="22"/>
        </w:rPr>
        <w:t>Sadler, E. and Biggs, S. (2006) 'Exploring the Links Between Life Review and Ego Integrity in Older People', Journal of Gerontological Social Work, 47(3-4), pp. 3-28.</w:t>
      </w:r>
    </w:p>
    <w:p w14:paraId="23812AF4" w14:textId="77777777" w:rsidR="00D357FF" w:rsidRPr="00D357FF" w:rsidRDefault="00D357FF" w:rsidP="00D357FF">
      <w:pPr>
        <w:spacing w:line="360" w:lineRule="auto"/>
        <w:jc w:val="both"/>
        <w:rPr>
          <w:rFonts w:ascii="Arial" w:hAnsi="Arial" w:cs="Arial"/>
          <w:sz w:val="22"/>
          <w:szCs w:val="22"/>
        </w:rPr>
      </w:pPr>
      <w:r w:rsidRPr="00D357FF">
        <w:rPr>
          <w:rFonts w:ascii="Arial" w:hAnsi="Arial" w:cs="Arial"/>
          <w:sz w:val="22"/>
          <w:szCs w:val="22"/>
        </w:rPr>
        <w:t>Westerhof, G.J. and Bohlmeijer, E.T. (2014) 'Life review and narrative meaning: Theoretical considerations and therapeutic implications', Ageing &amp; Society, 34(3), pp. 513-530.</w:t>
      </w:r>
    </w:p>
    <w:p w14:paraId="2D59A716" w14:textId="77777777" w:rsidR="00D357FF" w:rsidRPr="00D357FF" w:rsidRDefault="00D357FF" w:rsidP="00D357FF">
      <w:pPr>
        <w:spacing w:line="360" w:lineRule="auto"/>
        <w:jc w:val="both"/>
        <w:rPr>
          <w:rFonts w:ascii="Arial" w:hAnsi="Arial" w:cs="Arial"/>
          <w:sz w:val="22"/>
          <w:szCs w:val="22"/>
        </w:rPr>
      </w:pPr>
    </w:p>
    <w:p w14:paraId="466CDB91" w14:textId="636BC5AA" w:rsidR="00277147" w:rsidRDefault="00D357FF" w:rsidP="00D357FF">
      <w:pPr>
        <w:spacing w:line="360" w:lineRule="auto"/>
        <w:jc w:val="both"/>
        <w:rPr>
          <w:rFonts w:ascii="Arial" w:hAnsi="Arial" w:cs="Arial"/>
          <w:sz w:val="22"/>
          <w:szCs w:val="22"/>
        </w:rPr>
      </w:pPr>
      <w:r w:rsidRPr="00D357FF">
        <w:rPr>
          <w:rFonts w:ascii="Arial" w:hAnsi="Arial" w:cs="Arial"/>
          <w:sz w:val="22"/>
          <w:szCs w:val="22"/>
        </w:rPr>
        <w:t xml:space="preserve">Westerhof, G.J., </w:t>
      </w:r>
      <w:proofErr w:type="spellStart"/>
      <w:r w:rsidRPr="00D357FF">
        <w:rPr>
          <w:rFonts w:ascii="Arial" w:hAnsi="Arial" w:cs="Arial"/>
          <w:sz w:val="22"/>
          <w:szCs w:val="22"/>
        </w:rPr>
        <w:t>Bohlmeijer</w:t>
      </w:r>
      <w:proofErr w:type="spellEnd"/>
      <w:r w:rsidRPr="00D357FF">
        <w:rPr>
          <w:rFonts w:ascii="Arial" w:hAnsi="Arial" w:cs="Arial"/>
          <w:sz w:val="22"/>
          <w:szCs w:val="22"/>
        </w:rPr>
        <w:t xml:space="preserve">, E.T., van </w:t>
      </w:r>
      <w:proofErr w:type="spellStart"/>
      <w:r w:rsidRPr="00D357FF">
        <w:rPr>
          <w:rFonts w:ascii="Arial" w:hAnsi="Arial" w:cs="Arial"/>
          <w:sz w:val="22"/>
          <w:szCs w:val="22"/>
        </w:rPr>
        <w:t>Beljouw</w:t>
      </w:r>
      <w:proofErr w:type="spellEnd"/>
      <w:r w:rsidRPr="00D357FF">
        <w:rPr>
          <w:rFonts w:ascii="Arial" w:hAnsi="Arial" w:cs="Arial"/>
          <w:sz w:val="22"/>
          <w:szCs w:val="22"/>
        </w:rPr>
        <w:t>, I.M.J., &amp; Pot, A.M. (2010) 'Improvement in personal meaning mediates the effects of a life review intervention on depressive symptoms in a randomized controlled trial', The Gerontologist, 50(4), pp. 541-549.</w:t>
      </w:r>
    </w:p>
    <w:p w14:paraId="231DCE3A" w14:textId="77777777" w:rsidR="00D357FF" w:rsidRDefault="00D357FF" w:rsidP="00002B6D">
      <w:pPr>
        <w:spacing w:line="360" w:lineRule="auto"/>
        <w:jc w:val="both"/>
        <w:rPr>
          <w:rFonts w:ascii="Arial" w:hAnsi="Arial" w:cs="Arial"/>
          <w:sz w:val="22"/>
          <w:szCs w:val="22"/>
        </w:rPr>
      </w:pPr>
    </w:p>
    <w:p w14:paraId="4111339A" w14:textId="77777777" w:rsidR="00D357FF" w:rsidRDefault="00D357FF" w:rsidP="00002B6D">
      <w:pPr>
        <w:spacing w:line="360" w:lineRule="auto"/>
        <w:jc w:val="both"/>
        <w:rPr>
          <w:rFonts w:ascii="Arial" w:hAnsi="Arial" w:cs="Arial"/>
          <w:sz w:val="22"/>
          <w:szCs w:val="22"/>
        </w:rPr>
      </w:pPr>
    </w:p>
    <w:p w14:paraId="0D970023" w14:textId="77777777" w:rsidR="00D357FF" w:rsidRPr="00002B6D" w:rsidRDefault="00D357FF" w:rsidP="00002B6D">
      <w:pPr>
        <w:spacing w:line="360" w:lineRule="auto"/>
        <w:jc w:val="both"/>
        <w:rPr>
          <w:rFonts w:ascii="Arial" w:hAnsi="Arial" w:cs="Arial"/>
          <w:sz w:val="22"/>
          <w:szCs w:val="22"/>
        </w:rPr>
      </w:pPr>
    </w:p>
    <w:sectPr w:rsidR="00D357FF" w:rsidRPr="00002B6D" w:rsidSect="00B11473">
      <w:footerReference w:type="default" r:id="rId6"/>
      <w:pgSz w:w="11906" w:h="16838"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B4DCD" w14:textId="77777777" w:rsidR="00290F95" w:rsidRDefault="00290F95" w:rsidP="00B77E48">
      <w:pPr>
        <w:spacing w:after="0" w:line="240" w:lineRule="auto"/>
      </w:pPr>
      <w:r>
        <w:separator/>
      </w:r>
    </w:p>
  </w:endnote>
  <w:endnote w:type="continuationSeparator" w:id="0">
    <w:p w14:paraId="3205774F" w14:textId="77777777" w:rsidR="00290F95" w:rsidRDefault="00290F95" w:rsidP="00B77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93133"/>
      <w:docPartObj>
        <w:docPartGallery w:val="Page Numbers (Bottom of Page)"/>
        <w:docPartUnique/>
      </w:docPartObj>
    </w:sdtPr>
    <w:sdtEndPr/>
    <w:sdtContent>
      <w:p w14:paraId="4F970B97" w14:textId="708A1715" w:rsidR="00B77E48" w:rsidRDefault="00B77E48">
        <w:pPr>
          <w:pStyle w:val="Footer"/>
          <w:jc w:val="center"/>
        </w:pPr>
        <w:r>
          <w:fldChar w:fldCharType="begin"/>
        </w:r>
        <w:r>
          <w:instrText>PAGE   \* MERGEFORMAT</w:instrText>
        </w:r>
        <w:r>
          <w:fldChar w:fldCharType="separate"/>
        </w:r>
        <w:r>
          <w:t>2</w:t>
        </w:r>
        <w:r>
          <w:fldChar w:fldCharType="end"/>
        </w:r>
      </w:p>
    </w:sdtContent>
  </w:sdt>
  <w:p w14:paraId="1C46C877" w14:textId="77777777" w:rsidR="00B77E48" w:rsidRDefault="00B77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E53F1" w14:textId="77777777" w:rsidR="00290F95" w:rsidRDefault="00290F95" w:rsidP="00B77E48">
      <w:pPr>
        <w:spacing w:after="0" w:line="240" w:lineRule="auto"/>
      </w:pPr>
      <w:r>
        <w:separator/>
      </w:r>
    </w:p>
  </w:footnote>
  <w:footnote w:type="continuationSeparator" w:id="0">
    <w:p w14:paraId="477E78F9" w14:textId="77777777" w:rsidR="00290F95" w:rsidRDefault="00290F95" w:rsidP="00B77E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BE7"/>
    <w:rsid w:val="00000DEF"/>
    <w:rsid w:val="00002B6D"/>
    <w:rsid w:val="00022180"/>
    <w:rsid w:val="000805C6"/>
    <w:rsid w:val="001103C3"/>
    <w:rsid w:val="00124C83"/>
    <w:rsid w:val="00277147"/>
    <w:rsid w:val="00290F95"/>
    <w:rsid w:val="00376BF9"/>
    <w:rsid w:val="0040292F"/>
    <w:rsid w:val="005419DC"/>
    <w:rsid w:val="00637BE7"/>
    <w:rsid w:val="0067046D"/>
    <w:rsid w:val="006947C0"/>
    <w:rsid w:val="006B43CC"/>
    <w:rsid w:val="00764939"/>
    <w:rsid w:val="00766861"/>
    <w:rsid w:val="00774D67"/>
    <w:rsid w:val="007B4D68"/>
    <w:rsid w:val="007D6CCF"/>
    <w:rsid w:val="0085774F"/>
    <w:rsid w:val="008B305B"/>
    <w:rsid w:val="00922EAD"/>
    <w:rsid w:val="00944480"/>
    <w:rsid w:val="00950971"/>
    <w:rsid w:val="00A22C1E"/>
    <w:rsid w:val="00A74313"/>
    <w:rsid w:val="00AA67B0"/>
    <w:rsid w:val="00B11473"/>
    <w:rsid w:val="00B77E48"/>
    <w:rsid w:val="00BE46A0"/>
    <w:rsid w:val="00C22D94"/>
    <w:rsid w:val="00C372DC"/>
    <w:rsid w:val="00C54B7F"/>
    <w:rsid w:val="00C67D3D"/>
    <w:rsid w:val="00CF3FA3"/>
    <w:rsid w:val="00CF63FD"/>
    <w:rsid w:val="00D357FF"/>
    <w:rsid w:val="00D866EF"/>
    <w:rsid w:val="00DA563F"/>
    <w:rsid w:val="00DC1494"/>
    <w:rsid w:val="00DC5015"/>
    <w:rsid w:val="00E257B5"/>
    <w:rsid w:val="00EB053F"/>
    <w:rsid w:val="00F402E1"/>
    <w:rsid w:val="00F80647"/>
    <w:rsid w:val="00FB7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674EC"/>
  <w15:chartTrackingRefBased/>
  <w15:docId w15:val="{5A2A15D8-7B43-42FC-842A-22E8E2D13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B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7B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7B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7B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7B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7B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B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B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B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B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7B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7B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7B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7B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7B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B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B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BE7"/>
    <w:rPr>
      <w:rFonts w:eastAsiaTheme="majorEastAsia" w:cstheme="majorBidi"/>
      <w:color w:val="272727" w:themeColor="text1" w:themeTint="D8"/>
    </w:rPr>
  </w:style>
  <w:style w:type="paragraph" w:styleId="Title">
    <w:name w:val="Title"/>
    <w:basedOn w:val="Normal"/>
    <w:next w:val="Normal"/>
    <w:link w:val="TitleChar"/>
    <w:uiPriority w:val="10"/>
    <w:qFormat/>
    <w:rsid w:val="00637B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B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B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B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BE7"/>
    <w:pPr>
      <w:spacing w:before="160"/>
      <w:jc w:val="center"/>
    </w:pPr>
    <w:rPr>
      <w:i/>
      <w:iCs/>
      <w:color w:val="404040" w:themeColor="text1" w:themeTint="BF"/>
    </w:rPr>
  </w:style>
  <w:style w:type="character" w:customStyle="1" w:styleId="QuoteChar">
    <w:name w:val="Quote Char"/>
    <w:basedOn w:val="DefaultParagraphFont"/>
    <w:link w:val="Quote"/>
    <w:uiPriority w:val="29"/>
    <w:rsid w:val="00637BE7"/>
    <w:rPr>
      <w:i/>
      <w:iCs/>
      <w:color w:val="404040" w:themeColor="text1" w:themeTint="BF"/>
    </w:rPr>
  </w:style>
  <w:style w:type="paragraph" w:styleId="ListParagraph">
    <w:name w:val="List Paragraph"/>
    <w:basedOn w:val="Normal"/>
    <w:uiPriority w:val="34"/>
    <w:qFormat/>
    <w:rsid w:val="00637BE7"/>
    <w:pPr>
      <w:ind w:left="720"/>
      <w:contextualSpacing/>
    </w:pPr>
  </w:style>
  <w:style w:type="character" w:styleId="IntenseEmphasis">
    <w:name w:val="Intense Emphasis"/>
    <w:basedOn w:val="DefaultParagraphFont"/>
    <w:uiPriority w:val="21"/>
    <w:qFormat/>
    <w:rsid w:val="00637BE7"/>
    <w:rPr>
      <w:i/>
      <w:iCs/>
      <w:color w:val="0F4761" w:themeColor="accent1" w:themeShade="BF"/>
    </w:rPr>
  </w:style>
  <w:style w:type="paragraph" w:styleId="IntenseQuote">
    <w:name w:val="Intense Quote"/>
    <w:basedOn w:val="Normal"/>
    <w:next w:val="Normal"/>
    <w:link w:val="IntenseQuoteChar"/>
    <w:uiPriority w:val="30"/>
    <w:qFormat/>
    <w:rsid w:val="00637B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7BE7"/>
    <w:rPr>
      <w:i/>
      <w:iCs/>
      <w:color w:val="0F4761" w:themeColor="accent1" w:themeShade="BF"/>
    </w:rPr>
  </w:style>
  <w:style w:type="character" w:styleId="IntenseReference">
    <w:name w:val="Intense Reference"/>
    <w:basedOn w:val="DefaultParagraphFont"/>
    <w:uiPriority w:val="32"/>
    <w:qFormat/>
    <w:rsid w:val="00637BE7"/>
    <w:rPr>
      <w:b/>
      <w:bCs/>
      <w:smallCaps/>
      <w:color w:val="0F4761" w:themeColor="accent1" w:themeShade="BF"/>
      <w:spacing w:val="5"/>
    </w:rPr>
  </w:style>
  <w:style w:type="paragraph" w:styleId="Header">
    <w:name w:val="header"/>
    <w:basedOn w:val="Normal"/>
    <w:link w:val="HeaderChar"/>
    <w:uiPriority w:val="99"/>
    <w:unhideWhenUsed/>
    <w:rsid w:val="00B77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E48"/>
  </w:style>
  <w:style w:type="paragraph" w:styleId="Footer">
    <w:name w:val="footer"/>
    <w:basedOn w:val="Normal"/>
    <w:link w:val="FooterChar"/>
    <w:uiPriority w:val="99"/>
    <w:unhideWhenUsed/>
    <w:rsid w:val="00B77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Usman Ali Khan (2524017)</cp:lastModifiedBy>
  <cp:revision>2</cp:revision>
  <dcterms:created xsi:type="dcterms:W3CDTF">2026-03-23T22:03:00Z</dcterms:created>
  <dcterms:modified xsi:type="dcterms:W3CDTF">2026-03-23T22:03:00Z</dcterms:modified>
</cp:coreProperties>
</file>