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Community engagement </w:t>
      </w:r>
    </w:p>
    <w:p>
      <w:pPr>
        <w:spacing w:before="0" w:after="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Student Name:Hristo Tsvetanov Hristozov  </w:t>
      </w:r>
    </w:p>
    <w:p>
      <w:pPr>
        <w:spacing w:before="0" w:after="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Student ID:2030334 </w:t>
      </w:r>
    </w:p>
    <w:p>
      <w:pPr>
        <w:spacing w:before="0" w:after="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i/>
          <w:color w:val="auto"/>
          <w:spacing w:val="0"/>
          <w:position w:val="0"/>
          <w:sz w:val="24"/>
          <w:u w:val="single"/>
          <w:shd w:fill="auto" w:val="clear"/>
        </w:rPr>
        <w:t xml:space="preserve">Assessment 2</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research module consisted of self-viewed perspectives of the researcher based on the effectiveness of the community engagement plans. The relevant theories, models and existing literature have been focused upon such that the best practices and community standards of the engagement activities could be efficiently focused upon. With the advancement of technologies, companies have also started incorporating many mechanizations within their overall brand promotional activities. Through such artificial intelligence-based approaches, the targeted organic searches could be productively prioritized such that revenue targets could easily be fulfilled with the needs satisfaction of the customers too. Henceforth community engagement practices aided the marketeers in engaging and attracting more potential customers to their products and services. "Marcom", Marketing communication is one of the most widely used terms in which the marketers often used the media technologies for communicating with people all over the globe. For instance, community engagement and Marcom consist of marketing techniques such as social media marketing, email marketing, traditional advertisement, print images, sponsorships and much more. Thus, the primary role of the community engagement managers is to advertise their products and services in front of the potential customer base such that better practices could be efficiently focused upon as well as potential customer base could be expanded productively. With the changing needs of the customers, now it has become one of the prime requirements for investing within such diversified media channels such that efficient focus groups could be highlighted and accordingly the profit gains could be enhanced with time. The researchers have also focused on the feedback pattern as the quality opinions of the target customers motivate the marketers and also aided them in understanding the exact area of improvisations such that more quality materials could be prioritized efficiently. It would also aid them in creating brand loyal customers and more brand recommendations thus exist for particular products and services. Henceforth it can be concluded that the following reflection research module focused on the exact communication activities such as the current requirements of the customers could be focused upon and the exact products that could be manufactured and marketed accordingly. Furthermore, the practices of ROI for controlling and coordinating the media practices also aided in visualizing the brand to their targeted organic customer base.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Discussion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observed that the traditional marketing practices are much different compared to the present ones. The traditional ones are mainly focused on manufactured products and services (Reynolds and Sariola, 2018). On the contrary, the current ones are focused on the customers. This particular feature has attracted me a lot that now the marketers formed tailored products as per our demands and value requirements. With respect to the presented case study, I have observed that the Mitsubishi corporation is one of the giants and most favoured trading entities across Japan. The employing capacity of 86,000 people and multiple categories of business segments aided them in targeting a lot of consumer variants. I noted that this particular organization has initiated email marketing from a much earlier era such that better communications and targeted communities could be focused upon. I was also getting fascinated by reviewing the fact that effective sponsorship forms of government and customers were also being focused on and prioritized by the organization such that an enhanced customer base could be targeted productively.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best techniques for improving the community engagement approaches have been discussed as follows: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practised the fact that the organizations are nowadays focusing upon the exact requirements of the customers, tailored approaches thus aided in enhancing the customers' value propositions and their further improvisations. A product or a service may have more versatile usage and as per the needs of the customers, it needs to be amended (Lin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 Henceforth I have concluded that community engagement programs are beneficial both to the targeted communities as well as for the marketers all over the globe.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9091" w:dyaOrig="9091">
          <v:rect xmlns:o="urn:schemas-microsoft-com:office:office" xmlns:v="urn:schemas-microsoft-com:vml" id="rectole0000000000" style="width:454.550000pt;height:454.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Steps of community engagement programs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Hamann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 figure illustrates the community engagement plans for different organizations. As derived from the above figure, I have concluded that the steps mentioned above provided a detailed format for engaging different types of communities and minimizing the risk factors associated with them. Also, the actively hiring groups of mine have surveyed the fact that providing a specific forum of discussion aided in enhancing the communication channels such that a better understanding of the needs (Hamann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 Henceforth with the understanding of the community engagement steps, I have understood the fascinations provided with the tailored services and better practices and services could be focused upon. I too have underwood the challenges faced by the community marketers. For instance, focusing on each of the customers is not possible as there could be thousands of customers at a time. Thus, there is a need of segmenting costumes as per their requirements and it imposed several challenges on them as well (Islam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 Furthermore, with the advancement of the uncertain pandemic, the varied businesses have got adversely impacted. Thus I too have understood that now segmentation is a necessity for effective targeting of customers and positioning of the products.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understood that there is a need for appointing line managers. Line managers are the ones that aided in streamlining and connecting the activities of different departments (Andrianova, 2019). For instance, it is usually not possible for every section of the organization to effectively coordinate and control all different activities. Henceforth appointment of line managers aided in streamlining the various departmental activities such that enhanced productivity could be focused upon and daily issues and challenges could be resolved on an everyday basis. Furthermore, line managers are well-experienced individuals having enhanced knowledge sets and skill bases (Andrianova, 2019). Thus, I recommend that you appoint them on an immediate basis. It would also reduce the pressures on the managers as line managers could also simultaneously control and monitor the targeted customers as well as manufacturing processes.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also recommend conducting multiple meetings such that during the decision making time, various opinions and feedback of the participating employees could also be incorporated. With respect to the innovative approaches and techniques of today's world, there is a need to improvise the existing knowledge bases and skill sets as per the evolution of the mechanized forums (Staniszewska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Henceforth transformational and strategic forms of leadership attributes are much relevant here as employees could effectively think of themselves as part of the organization by purporting their innovative ideas too. The showcasing of the innovative approaches and the participative forums have aided the managers in understanding the perceptions of the individual employees such that better policies and practices could be focused upon.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Significances of active consultations in community engagement: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Active consultations from both the employees as well as customers aided the marketeers in understanding the changing demands of the customers and the issues faced by the employees (De Weger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I have understood that several conflicts and rivalries are going on within the organizational premises. Henceforth it can be concluded that the increasing disturbances hamper the overall productivity of the organization. Henceforth active consultation aided in improvising the actual needs of the people all over the globe and the potential enhancements of the marketeers too.</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Significances of effective communication in community engagement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aided in the ease of transferring messages and information from one person to another (Cain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Usually, it has been observed that the messages to be conveyed are broken in between or there can be unnecessary sounds or noises that lead to disruption of the communication information system further. Henceforth I recommend incorporating better communication channels such that the employees could put forth tier issues to the decision-makers without any hesitations.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Significances of stakeholders’ participation and inclusion in community engagement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Stakeholders' are the ones that contribute to both the financial stability as well as channel the effectiveness of the decision making processes (Konsti-Laakso and Rantala, 2018). I have observed that stakeholders' contributions impacted the overall profit gains and revenue margins of the organization. While doing the evolutionary projects, my overall opinion about the participants of the stakeholders has changed a lot as now I have understood the fact that stakeholders are an integral part of the decision making processes of an organization. Henceforth, I recommend incorporating the various opinions and optimistic feedback of the stakeholders such that multiple dimensions of the products and services could be efficiently focused upon.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Conducting research and community mapping is significant in the initial phases that would aid in incorporating better community engagement processes (Grant, 2018). I have understood that for effective research methodologies both primary and secondary research techniques need to be implemented. Primary research works through interviews and surveys to highlight the present needs of the customers. On the contrary, the secondary research processes would aid the marketers in comparing and contrasting the existing articles on different community-related programs and strategies.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also surveyed a detailed version and its relevant impacts on the social media platforms' roles within community development entities. With the advancement of technologies and mobile applications, social media has become one of the majority favoured media coverage platforms where people of varied demographics are easily found (Levin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 Henceforth highlighting the concerning community development programs within social media platforms, is much more relevant and strategic for the visualization of the products and services. Henceforth I recommend creating a strong online presence as the search engine optimization with efficient web content and keyword searches aided in understanding the exact needs of the customers too.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9091" w:dyaOrig="6519">
          <v:rect xmlns:o="urn:schemas-microsoft-com:office:office" xmlns:v="urn:schemas-microsoft-com:vml" id="rectole0000000001" style="width:454.550000pt;height:325.9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Influences of the impact analysis on community engagement programs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Gilmore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 figure illustrates the different sequential impact analyses on the activities of community engagement. As derived from the above figure, I concluded that strategies, portfolio management, programs and projects deliveries, and enhancing the business operations are some of the diversified means of enhancing the overall community business plans. I have also understood the fact that all activities are interconnected and thus better brand recommendations and enhancement participation practices could only be incorporated if all the activities are being performed on a continuous basis (David-Chavez and Gavin, 2018). While working in the groups, we have also found out the fact that exact analysis and value evaluation methods are significant business operations such that the marketers could differentiate what activities are optimistic for communities and needed to continue and whom to stop immediately for mitigating the adversities too. Henceforth I conclude that impacts and further analysis through the varied feedback and opinion of the customers have aided the marketers in understanding the exact areas that need to be re-improvised such that all other value chains could be developed and managed efficiently.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Henceforth it can be concluded that people from all over the globe are majorly focusing on the immediate need fulfilment activities such that better evolutionary practices could be practised and followed. With the rapid advancement of technologies and the imposed lockdown having a  strong online presence has become the need of the hour. Thus, the organization has majorly focused on community engagement activities such that better targeting and positioning could be incorporated. The understanding of the changing marketing demands and sustainability of the achieved value propositions are thus much advanced and assisted in coordinating with the evolved trends of consumer marketing forums. Thus, through reflecting on part of the research report, the researchers have portrayed the effectiveness of the consumers' and thus the organizational sustainabilities are being favoured for a long-term approach.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 List</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Andrianova, O., 2019. </w:t>
      </w:r>
      <w:r>
        <w:rPr>
          <w:rFonts w:ascii="Times New Roman" w:hAnsi="Times New Roman" w:cs="Times New Roman" w:eastAsia="Times New Roman"/>
          <w:i/>
          <w:color w:val="222222"/>
          <w:spacing w:val="0"/>
          <w:position w:val="0"/>
          <w:sz w:val="24"/>
          <w:shd w:fill="FFFFFF" w:val="clear"/>
        </w:rPr>
        <w:t xml:space="preserve">Employee Engagement in Corporate Greening: A Study of Front-Line Managers in Belarusian Companies</w:t>
      </w:r>
      <w:r>
        <w:rPr>
          <w:rFonts w:ascii="Times New Roman" w:hAnsi="Times New Roman" w:cs="Times New Roman" w:eastAsia="Times New Roman"/>
          <w:color w:val="222222"/>
          <w:spacing w:val="0"/>
          <w:position w:val="0"/>
          <w:sz w:val="24"/>
          <w:shd w:fill="FFFFFF" w:val="clear"/>
        </w:rPr>
        <w:t xml:space="preserve">. Open University (United Kingdom).</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Cain, C.L., Surbone, A., Elk, R. and Kagawa-Singer, M., 2018. Culture and palliative care: preferences, communication, meaning, and mutual decision making. </w:t>
      </w:r>
      <w:r>
        <w:rPr>
          <w:rFonts w:ascii="Times New Roman" w:hAnsi="Times New Roman" w:cs="Times New Roman" w:eastAsia="Times New Roman"/>
          <w:i/>
          <w:color w:val="222222"/>
          <w:spacing w:val="0"/>
          <w:position w:val="0"/>
          <w:sz w:val="24"/>
          <w:shd w:fill="FFFFFF" w:val="clear"/>
        </w:rPr>
        <w:t xml:space="preserve">Journal of pain and symptom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55</w:t>
      </w:r>
      <w:r>
        <w:rPr>
          <w:rFonts w:ascii="Times New Roman" w:hAnsi="Times New Roman" w:cs="Times New Roman" w:eastAsia="Times New Roman"/>
          <w:color w:val="222222"/>
          <w:spacing w:val="0"/>
          <w:position w:val="0"/>
          <w:sz w:val="24"/>
          <w:shd w:fill="FFFFFF" w:val="clear"/>
        </w:rPr>
        <w:t xml:space="preserve">(5), pp.1408-1419.</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David-Chavez, D.M. and Gavin, M.C., 2018. A global assessment of Indigenous community engagement in climate research. </w:t>
      </w:r>
      <w:r>
        <w:rPr>
          <w:rFonts w:ascii="Times New Roman" w:hAnsi="Times New Roman" w:cs="Times New Roman" w:eastAsia="Times New Roman"/>
          <w:i/>
          <w:color w:val="222222"/>
          <w:spacing w:val="0"/>
          <w:position w:val="0"/>
          <w:sz w:val="24"/>
          <w:shd w:fill="FFFFFF" w:val="clear"/>
        </w:rPr>
        <w:t xml:space="preserve">Environmental Research Letters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13</w:t>
      </w:r>
      <w:r>
        <w:rPr>
          <w:rFonts w:ascii="Times New Roman" w:hAnsi="Times New Roman" w:cs="Times New Roman" w:eastAsia="Times New Roman"/>
          <w:color w:val="222222"/>
          <w:spacing w:val="0"/>
          <w:position w:val="0"/>
          <w:sz w:val="24"/>
          <w:shd w:fill="FFFFFF" w:val="clear"/>
        </w:rPr>
        <w:t xml:space="preserve">(12), p.123005.</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De Weger, E., Van Vooren, N., Luijkx, K.G., Baan, C.A. and Drewes, H.W., 2018. Achieving successful community engagement: a rapid realist review. </w:t>
      </w:r>
      <w:r>
        <w:rPr>
          <w:rFonts w:ascii="Times New Roman" w:hAnsi="Times New Roman" w:cs="Times New Roman" w:eastAsia="Times New Roman"/>
          <w:i/>
          <w:color w:val="222222"/>
          <w:spacing w:val="0"/>
          <w:position w:val="0"/>
          <w:sz w:val="24"/>
          <w:shd w:fill="FFFFFF" w:val="clear"/>
        </w:rPr>
        <w:t xml:space="preserve">BMC health services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18</w:t>
      </w:r>
      <w:r>
        <w:rPr>
          <w:rFonts w:ascii="Times New Roman" w:hAnsi="Times New Roman" w:cs="Times New Roman" w:eastAsia="Times New Roman"/>
          <w:color w:val="222222"/>
          <w:spacing w:val="0"/>
          <w:position w:val="0"/>
          <w:sz w:val="24"/>
          <w:shd w:fill="FFFFFF" w:val="clear"/>
        </w:rPr>
        <w:t xml:space="preserve">(1), pp.1-18.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Gilmore, B., Ndejjo, R., Tchetchia, A., De Claro, V., Mago, E., Lopes, C. and Bhattacharyya, S., 2020. Community engagement for COVID-19 prevention and control: a rapid evidence synthesis. </w:t>
      </w:r>
      <w:r>
        <w:rPr>
          <w:rFonts w:ascii="Times New Roman" w:hAnsi="Times New Roman" w:cs="Times New Roman" w:eastAsia="Times New Roman"/>
          <w:i/>
          <w:color w:val="222222"/>
          <w:spacing w:val="0"/>
          <w:position w:val="0"/>
          <w:sz w:val="24"/>
          <w:shd w:fill="FFFFFF" w:val="clear"/>
        </w:rPr>
        <w:t xml:space="preserve">BMJ global health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(10), p.e003188.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Grant, C., 2018, August. Tactics for Connecting Entrepreneurship and Technical Communication through Community Engagement: Experience Report. In </w:t>
      </w:r>
      <w:r>
        <w:rPr>
          <w:rFonts w:ascii="Times New Roman" w:hAnsi="Times New Roman" w:cs="Times New Roman" w:eastAsia="Times New Roman"/>
          <w:i/>
          <w:color w:val="222222"/>
          <w:spacing w:val="0"/>
          <w:position w:val="0"/>
          <w:sz w:val="24"/>
          <w:shd w:fill="FFFFFF" w:val="clear"/>
        </w:rPr>
        <w:t xml:space="preserve">Proceedings of the 36th ACM International Conference on the Design of Communication</w:t>
      </w:r>
      <w:r>
        <w:rPr>
          <w:rFonts w:ascii="Times New Roman" w:hAnsi="Times New Roman" w:cs="Times New Roman" w:eastAsia="Times New Roman"/>
          <w:color w:val="222222"/>
          <w:spacing w:val="0"/>
          <w:position w:val="0"/>
          <w:sz w:val="24"/>
          <w:shd w:fill="FFFFFF" w:val="clear"/>
        </w:rPr>
        <w:t xml:space="preserve"> (pp. 1-6).</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Hamann, C.J., Daly, E., Schwab-Reese, L., Askelson, N. and Peek-Asa, C., 2021. Community engagement in the development and implementation of a rural road safety campaign: Steps and lessons learned. </w:t>
      </w:r>
      <w:r>
        <w:rPr>
          <w:rFonts w:ascii="Times New Roman" w:hAnsi="Times New Roman" w:cs="Times New Roman" w:eastAsia="Times New Roman"/>
          <w:i/>
          <w:color w:val="222222"/>
          <w:spacing w:val="0"/>
          <w:position w:val="0"/>
          <w:sz w:val="24"/>
          <w:shd w:fill="FFFFFF" w:val="clear"/>
        </w:rPr>
        <w:t xml:space="preserve">Journal of Transport &amp; Health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23</w:t>
      </w:r>
      <w:r>
        <w:rPr>
          <w:rFonts w:ascii="Times New Roman" w:hAnsi="Times New Roman" w:cs="Times New Roman" w:eastAsia="Times New Roman"/>
          <w:color w:val="222222"/>
          <w:spacing w:val="0"/>
          <w:position w:val="0"/>
          <w:sz w:val="24"/>
          <w:shd w:fill="FFFFFF" w:val="clear"/>
        </w:rPr>
        <w:t xml:space="preserve">, p.101282.</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Islam, M.S., Das, B.C., Meah, M.M., Paul, S.K., Saha, A.K., Chowdhury, R.U., Ashraf, M., Chowdhury, S.M. and Sultana Ahona, K.T., 2021. Community engagement in the telehealth service for aged people with diabetes: Covid-19 response in Bangladesh. </w:t>
      </w:r>
      <w:r>
        <w:rPr>
          <w:rFonts w:ascii="Times New Roman" w:hAnsi="Times New Roman" w:cs="Times New Roman" w:eastAsia="Times New Roman"/>
          <w:i/>
          <w:color w:val="222222"/>
          <w:spacing w:val="0"/>
          <w:position w:val="0"/>
          <w:sz w:val="24"/>
          <w:shd w:fill="FFFFFF" w:val="clear"/>
        </w:rPr>
        <w:t xml:space="preserve">Asia Pacific Journal of Health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16</w:t>
      </w:r>
      <w:r>
        <w:rPr>
          <w:rFonts w:ascii="Times New Roman" w:hAnsi="Times New Roman" w:cs="Times New Roman" w:eastAsia="Times New Roman"/>
          <w:color w:val="222222"/>
          <w:spacing w:val="0"/>
          <w:position w:val="0"/>
          <w:sz w:val="24"/>
          <w:shd w:fill="FFFFFF" w:val="clear"/>
        </w:rPr>
        <w:t xml:space="preserve">(4), pp.89-95.</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Konsti-Laakso, S. and Rantala, T., 2018. Managing community engagement: A process model for urban planning. </w:t>
      </w:r>
      <w:r>
        <w:rPr>
          <w:rFonts w:ascii="Times New Roman" w:hAnsi="Times New Roman" w:cs="Times New Roman" w:eastAsia="Times New Roman"/>
          <w:i/>
          <w:color w:val="222222"/>
          <w:spacing w:val="0"/>
          <w:position w:val="0"/>
          <w:sz w:val="24"/>
          <w:shd w:fill="FFFFFF" w:val="clear"/>
        </w:rPr>
        <w:t xml:space="preserve">European Journal of Operational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268</w:t>
      </w:r>
      <w:r>
        <w:rPr>
          <w:rFonts w:ascii="Times New Roman" w:hAnsi="Times New Roman" w:cs="Times New Roman" w:eastAsia="Times New Roman"/>
          <w:color w:val="222222"/>
          <w:spacing w:val="0"/>
          <w:position w:val="0"/>
          <w:sz w:val="24"/>
          <w:shd w:fill="FFFFFF" w:val="clear"/>
        </w:rPr>
        <w:t xml:space="preserve">(3), pp.1040-1049.</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Levin, M.B., Bowie, J.V., Ragsdale, S.K., Gawad, A.L., Cooper, L.A. and Sharfstein, J.M., 2021. Enhancing Community Engagement by Schools and Programs of Public Health in the United States. </w:t>
      </w:r>
      <w:r>
        <w:rPr>
          <w:rFonts w:ascii="Times New Roman" w:hAnsi="Times New Roman" w:cs="Times New Roman" w:eastAsia="Times New Roman"/>
          <w:i/>
          <w:color w:val="222222"/>
          <w:spacing w:val="0"/>
          <w:position w:val="0"/>
          <w:sz w:val="24"/>
          <w:shd w:fill="FFFFFF" w:val="clear"/>
        </w:rPr>
        <w:t xml:space="preserve">Annual Review of Public Health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42</w:t>
      </w:r>
      <w:r>
        <w:rPr>
          <w:rFonts w:ascii="Times New Roman" w:hAnsi="Times New Roman" w:cs="Times New Roman" w:eastAsia="Times New Roman"/>
          <w:color w:val="222222"/>
          <w:spacing w:val="0"/>
          <w:position w:val="0"/>
          <w:sz w:val="24"/>
          <w:shd w:fill="FFFFFF" w:val="clear"/>
        </w:rPr>
        <w:t xml:space="preserve">, pp.405-421.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Lin, C.Y., Loyola-Sanchez, A., Boyling, E. and Barnabe, C., 2020. Community engagement approaches for Indigenous health research: recommendations based on an integrative review. </w:t>
      </w:r>
      <w:r>
        <w:rPr>
          <w:rFonts w:ascii="Times New Roman" w:hAnsi="Times New Roman" w:cs="Times New Roman" w:eastAsia="Times New Roman"/>
          <w:i/>
          <w:color w:val="222222"/>
          <w:spacing w:val="0"/>
          <w:position w:val="0"/>
          <w:sz w:val="24"/>
          <w:shd w:fill="FFFFFF" w:val="clear"/>
        </w:rPr>
        <w:t xml:space="preserve">BMJ open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w:t>
      </w:r>
      <w:r>
        <w:rPr>
          <w:rFonts w:ascii="Times New Roman" w:hAnsi="Times New Roman" w:cs="Times New Roman" w:eastAsia="Times New Roman"/>
          <w:color w:val="222222"/>
          <w:spacing w:val="0"/>
          <w:position w:val="0"/>
          <w:sz w:val="24"/>
          <w:shd w:fill="FFFFFF" w:val="clear"/>
        </w:rPr>
        <w:t xml:space="preserve">(11), p.e039736.</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Reynolds, L. and Sariola, S., 2018. The ethics and politics of community engagement in global health research. </w:t>
      </w:r>
      <w:r>
        <w:rPr>
          <w:rFonts w:ascii="Times New Roman" w:hAnsi="Times New Roman" w:cs="Times New Roman" w:eastAsia="Times New Roman"/>
          <w:i/>
          <w:color w:val="222222"/>
          <w:spacing w:val="0"/>
          <w:position w:val="0"/>
          <w:sz w:val="24"/>
          <w:shd w:fill="FFFFFF" w:val="clear"/>
        </w:rPr>
        <w:t xml:space="preserve">Critical Public Health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28</w:t>
      </w:r>
      <w:r>
        <w:rPr>
          <w:rFonts w:ascii="Times New Roman" w:hAnsi="Times New Roman" w:cs="Times New Roman" w:eastAsia="Times New Roman"/>
          <w:color w:val="222222"/>
          <w:spacing w:val="0"/>
          <w:position w:val="0"/>
          <w:sz w:val="24"/>
          <w:shd w:fill="FFFFFF" w:val="clear"/>
        </w:rPr>
        <w:t xml:space="preserve">(3), pp.257-268.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Staniszewska, S., Denegri, S., Matthews, R. and Minogue, V., 2018. Reviewing progress in public involvement in NIHR research: developing and implementing a new vision for the future. </w:t>
      </w:r>
      <w:r>
        <w:rPr>
          <w:rFonts w:ascii="Times New Roman" w:hAnsi="Times New Roman" w:cs="Times New Roman" w:eastAsia="Times New Roman"/>
          <w:i/>
          <w:color w:val="222222"/>
          <w:spacing w:val="0"/>
          <w:position w:val="0"/>
          <w:sz w:val="24"/>
          <w:shd w:fill="FFFFFF" w:val="clear"/>
        </w:rPr>
        <w:t xml:space="preserve">BMJ open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w:t>
      </w:r>
      <w:r>
        <w:rPr>
          <w:rFonts w:ascii="Times New Roman" w:hAnsi="Times New Roman" w:cs="Times New Roman" w:eastAsia="Times New Roman"/>
          <w:color w:val="222222"/>
          <w:spacing w:val="0"/>
          <w:position w:val="0"/>
          <w:sz w:val="24"/>
          <w:shd w:fill="FFFFFF" w:val="clear"/>
        </w:rPr>
        <w:t xml:space="preserve">(7), p.e017124.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